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0156" w14:textId="5063E08B" w:rsidR="00076003" w:rsidRPr="00076003" w:rsidRDefault="00076003" w:rsidP="009A15A8">
      <w:pPr>
        <w:tabs>
          <w:tab w:val="num" w:pos="720"/>
        </w:tabs>
        <w:rPr>
          <w:rFonts w:ascii="Arial" w:hAnsi="Arial" w:cs="Arial"/>
          <w:b/>
          <w:bCs/>
        </w:rPr>
      </w:pPr>
      <w:r w:rsidRPr="00076003">
        <w:rPr>
          <w:rFonts w:ascii="Arial" w:hAnsi="Arial" w:cs="Arial"/>
          <w:b/>
          <w:bCs/>
        </w:rPr>
        <w:t>Methods – Figure 1</w:t>
      </w:r>
    </w:p>
    <w:p w14:paraId="7164E5DE" w14:textId="77777777" w:rsidR="00076003" w:rsidRDefault="00076003" w:rsidP="009A15A8">
      <w:pPr>
        <w:tabs>
          <w:tab w:val="num" w:pos="720"/>
        </w:tabs>
        <w:rPr>
          <w:rFonts w:ascii="Arial" w:hAnsi="Arial" w:cs="Arial"/>
        </w:rPr>
      </w:pPr>
    </w:p>
    <w:p w14:paraId="5DA73CDF" w14:textId="22AA1142" w:rsidR="00C87CCD" w:rsidRPr="009008AC" w:rsidRDefault="009A15A8" w:rsidP="009A15A8">
      <w:pPr>
        <w:tabs>
          <w:tab w:val="num" w:pos="720"/>
        </w:tabs>
        <w:rPr>
          <w:rFonts w:ascii="Arial" w:hAnsi="Arial" w:cs="Arial"/>
        </w:rPr>
      </w:pPr>
      <w:r w:rsidRPr="009008AC">
        <w:rPr>
          <w:rFonts w:ascii="Arial" w:hAnsi="Arial" w:cs="Arial"/>
        </w:rPr>
        <w:t>Genomic data and celiac status were available for 2</w:t>
      </w:r>
      <w:r w:rsidR="00C87CCD" w:rsidRPr="009008AC">
        <w:rPr>
          <w:rFonts w:ascii="Arial" w:hAnsi="Arial" w:cs="Arial"/>
        </w:rPr>
        <w:t>01</w:t>
      </w:r>
      <w:r w:rsidRPr="009008AC">
        <w:rPr>
          <w:rFonts w:ascii="Arial" w:hAnsi="Arial" w:cs="Arial"/>
        </w:rPr>
        <w:t xml:space="preserve"> individuals with T21 from the Human </w:t>
      </w:r>
      <w:proofErr w:type="spellStart"/>
      <w:r w:rsidRPr="009008AC">
        <w:rPr>
          <w:rFonts w:ascii="Arial" w:hAnsi="Arial" w:cs="Arial"/>
        </w:rPr>
        <w:t>Trisome</w:t>
      </w:r>
      <w:proofErr w:type="spellEnd"/>
      <w:r w:rsidRPr="009008AC">
        <w:rPr>
          <w:rFonts w:ascii="Arial" w:hAnsi="Arial" w:cs="Arial"/>
        </w:rPr>
        <w:t xml:space="preserve"> Project (HTP)</w:t>
      </w:r>
      <w:r w:rsidR="00C87CCD" w:rsidRPr="009008AC">
        <w:rPr>
          <w:rFonts w:ascii="Arial" w:hAnsi="Arial" w:cs="Arial"/>
        </w:rPr>
        <w:t>, including 19 individuals with CD and 182 without CD</w:t>
      </w:r>
      <w:r w:rsidRPr="009008AC">
        <w:rPr>
          <w:rFonts w:ascii="Arial" w:hAnsi="Arial" w:cs="Arial"/>
        </w:rPr>
        <w:t xml:space="preserve">. Celiac diagnosis was ascertained from participant surveys and medical records. </w:t>
      </w:r>
    </w:p>
    <w:p w14:paraId="1DB6C0F9" w14:textId="77777777" w:rsidR="00C87CCD" w:rsidRPr="009008AC" w:rsidRDefault="00C87CCD" w:rsidP="009A15A8">
      <w:pPr>
        <w:tabs>
          <w:tab w:val="num" w:pos="720"/>
        </w:tabs>
        <w:rPr>
          <w:rFonts w:ascii="Arial" w:hAnsi="Arial" w:cs="Arial"/>
        </w:rPr>
      </w:pPr>
    </w:p>
    <w:p w14:paraId="041A0CC9" w14:textId="77777777" w:rsidR="00372DB3" w:rsidRPr="009008AC" w:rsidRDefault="00372DB3" w:rsidP="00372DB3">
      <w:pPr>
        <w:tabs>
          <w:tab w:val="num" w:pos="720"/>
        </w:tabs>
        <w:rPr>
          <w:rFonts w:ascii="Arial" w:hAnsi="Arial" w:cs="Arial"/>
        </w:rPr>
      </w:pPr>
      <w:r w:rsidRPr="009008AC">
        <w:rPr>
          <w:rFonts w:ascii="Arial" w:hAnsi="Arial" w:cs="Arial"/>
        </w:rPr>
        <w:t>Of 38 non-HLA-DQ SNPs in the GRS, 34 were directly genotyped on the Illumina Multi-Ethnic Global Array (MEGA). Genotypes for the remaining four SNPs were obtained through whole genome imputation via the Michigan imputation server (ref).</w:t>
      </w:r>
    </w:p>
    <w:p w14:paraId="3C1290D8" w14:textId="77777777" w:rsidR="00372DB3" w:rsidRPr="009008AC" w:rsidRDefault="00372DB3" w:rsidP="009A15A8">
      <w:pPr>
        <w:tabs>
          <w:tab w:val="num" w:pos="720"/>
        </w:tabs>
        <w:rPr>
          <w:rFonts w:ascii="Arial" w:hAnsi="Arial" w:cs="Arial"/>
        </w:rPr>
      </w:pPr>
    </w:p>
    <w:p w14:paraId="179C4D3B" w14:textId="0CA905A8" w:rsidR="002B3CF4" w:rsidRPr="009008AC" w:rsidRDefault="00157FA8" w:rsidP="009A15A8">
      <w:pPr>
        <w:tabs>
          <w:tab w:val="num" w:pos="720"/>
        </w:tabs>
        <w:rPr>
          <w:rFonts w:ascii="Arial" w:hAnsi="Arial" w:cs="Arial"/>
        </w:rPr>
      </w:pPr>
      <w:r w:rsidRPr="009008AC">
        <w:rPr>
          <w:rFonts w:ascii="Arial" w:hAnsi="Arial" w:cs="Arial"/>
        </w:rPr>
        <w:t xml:space="preserve">While the </w:t>
      </w:r>
      <w:r w:rsidR="008277FD" w:rsidRPr="009008AC">
        <w:rPr>
          <w:rFonts w:ascii="Arial" w:hAnsi="Arial" w:cs="Arial"/>
        </w:rPr>
        <w:t>published</w:t>
      </w:r>
      <w:r w:rsidRPr="009008AC">
        <w:rPr>
          <w:rFonts w:ascii="Arial" w:hAnsi="Arial" w:cs="Arial"/>
        </w:rPr>
        <w:t xml:space="preserve"> GRS </w:t>
      </w:r>
      <w:r w:rsidR="002B3CF4" w:rsidRPr="009008AC">
        <w:rPr>
          <w:rFonts w:ascii="Arial" w:hAnsi="Arial" w:cs="Arial"/>
        </w:rPr>
        <w:t>used</w:t>
      </w:r>
      <w:r w:rsidRPr="009008AC">
        <w:rPr>
          <w:rFonts w:ascii="Arial" w:hAnsi="Arial" w:cs="Arial"/>
        </w:rPr>
        <w:t xml:space="preserve"> </w:t>
      </w:r>
      <w:r w:rsidR="008277FD" w:rsidRPr="009008AC">
        <w:rPr>
          <w:rFonts w:ascii="Arial" w:hAnsi="Arial" w:cs="Arial"/>
        </w:rPr>
        <w:t>haplotype</w:t>
      </w:r>
      <w:r w:rsidRPr="009008AC">
        <w:rPr>
          <w:rFonts w:ascii="Arial" w:hAnsi="Arial" w:cs="Arial"/>
        </w:rPr>
        <w:t xml:space="preserve"> </w:t>
      </w:r>
      <w:r w:rsidR="002B3CF4" w:rsidRPr="009008AC">
        <w:rPr>
          <w:rFonts w:ascii="Arial" w:hAnsi="Arial" w:cs="Arial"/>
        </w:rPr>
        <w:t xml:space="preserve">tag </w:t>
      </w:r>
      <w:r w:rsidRPr="009008AC">
        <w:rPr>
          <w:rFonts w:ascii="Arial" w:hAnsi="Arial" w:cs="Arial"/>
        </w:rPr>
        <w:t xml:space="preserve">SNPs to </w:t>
      </w:r>
      <w:r w:rsidR="002B3CF4" w:rsidRPr="009008AC">
        <w:rPr>
          <w:rFonts w:ascii="Arial" w:hAnsi="Arial" w:cs="Arial"/>
        </w:rPr>
        <w:t>infer</w:t>
      </w:r>
      <w:r w:rsidRPr="009008AC">
        <w:rPr>
          <w:rFonts w:ascii="Arial" w:hAnsi="Arial" w:cs="Arial"/>
        </w:rPr>
        <w:t xml:space="preserve"> HLA-DQ genotype</w:t>
      </w:r>
      <w:r w:rsidR="002B3CF4" w:rsidRPr="009008AC">
        <w:rPr>
          <w:rFonts w:ascii="Arial" w:hAnsi="Arial" w:cs="Arial"/>
        </w:rPr>
        <w:t>s</w:t>
      </w:r>
      <w:r w:rsidRPr="009008AC">
        <w:rPr>
          <w:rFonts w:ascii="Arial" w:hAnsi="Arial" w:cs="Arial"/>
        </w:rPr>
        <w:t>,</w:t>
      </w:r>
      <w:r w:rsidR="0059439A" w:rsidRPr="009008AC">
        <w:rPr>
          <w:rFonts w:ascii="Arial" w:hAnsi="Arial" w:cs="Arial"/>
        </w:rPr>
        <w:t xml:space="preserve"> we performed HLA allele imputation using the HIBAG algorithm (ref), </w:t>
      </w:r>
      <w:r w:rsidR="002B3CF4" w:rsidRPr="009008AC">
        <w:rPr>
          <w:rFonts w:ascii="Arial" w:hAnsi="Arial" w:cs="Arial"/>
        </w:rPr>
        <w:t xml:space="preserve">which predicts HLA alleles from whole genome genotyping data. </w:t>
      </w:r>
      <w:r w:rsidR="0059439A" w:rsidRPr="009008AC">
        <w:rPr>
          <w:rFonts w:ascii="Arial" w:hAnsi="Arial" w:cs="Arial"/>
        </w:rPr>
        <w:t xml:space="preserve">Imputed </w:t>
      </w:r>
      <w:r w:rsidR="002B3CF4" w:rsidRPr="009008AC">
        <w:rPr>
          <w:rFonts w:ascii="Arial" w:hAnsi="Arial" w:cs="Arial"/>
        </w:rPr>
        <w:t>HLA-DQ alleles were used to infer the</w:t>
      </w:r>
      <w:r w:rsidR="0059439A" w:rsidRPr="009008AC">
        <w:rPr>
          <w:rFonts w:ascii="Arial" w:hAnsi="Arial" w:cs="Arial"/>
        </w:rPr>
        <w:t xml:space="preserve"> presence or absence of each </w:t>
      </w:r>
      <w:r w:rsidR="002B3CF4" w:rsidRPr="009008AC">
        <w:rPr>
          <w:rFonts w:ascii="Arial" w:hAnsi="Arial" w:cs="Arial"/>
        </w:rPr>
        <w:t xml:space="preserve">CD-associated </w:t>
      </w:r>
      <w:r w:rsidR="0059439A" w:rsidRPr="009008AC">
        <w:rPr>
          <w:rFonts w:ascii="Arial" w:hAnsi="Arial" w:cs="Arial"/>
        </w:rPr>
        <w:t xml:space="preserve">DQ </w:t>
      </w:r>
      <w:r w:rsidR="002B3CF4" w:rsidRPr="009008AC">
        <w:rPr>
          <w:rFonts w:ascii="Arial" w:hAnsi="Arial" w:cs="Arial"/>
        </w:rPr>
        <w:t>heterodimer</w:t>
      </w:r>
      <w:r w:rsidR="0059439A" w:rsidRPr="009008AC">
        <w:rPr>
          <w:rFonts w:ascii="Arial" w:hAnsi="Arial" w:cs="Arial"/>
        </w:rPr>
        <w:t xml:space="preserve"> (DQ2.5, DQ8, DQ2.2, DQ7.5) in </w:t>
      </w:r>
      <w:r w:rsidR="002B3CF4" w:rsidRPr="009008AC">
        <w:rPr>
          <w:rFonts w:ascii="Arial" w:hAnsi="Arial" w:cs="Arial"/>
        </w:rPr>
        <w:t>each participant</w:t>
      </w:r>
      <w:r w:rsidR="00C87CCD" w:rsidRPr="009008AC">
        <w:rPr>
          <w:rFonts w:ascii="Arial" w:hAnsi="Arial" w:cs="Arial"/>
        </w:rPr>
        <w:t>.</w:t>
      </w:r>
      <w:r w:rsidR="0059439A" w:rsidRPr="009008AC">
        <w:rPr>
          <w:rFonts w:ascii="Arial" w:hAnsi="Arial" w:cs="Arial"/>
        </w:rPr>
        <w:t xml:space="preserve"> From </w:t>
      </w:r>
      <w:r w:rsidR="00372DB3" w:rsidRPr="009008AC">
        <w:rPr>
          <w:rFonts w:ascii="Arial" w:hAnsi="Arial" w:cs="Arial"/>
        </w:rPr>
        <w:t xml:space="preserve">the combination of heterodimers carried, we then derived the HLA-DQ genotype carried by each participant. Imputed HLA-DQ genotypes for Celiac cases were subsequently validated through </w:t>
      </w:r>
      <w:r w:rsidR="00D23D84">
        <w:rPr>
          <w:rFonts w:ascii="Arial" w:hAnsi="Arial" w:cs="Arial"/>
        </w:rPr>
        <w:t>molecular HLA genotyping</w:t>
      </w:r>
      <w:r w:rsidR="00372DB3" w:rsidRPr="009008AC">
        <w:rPr>
          <w:rFonts w:ascii="Arial" w:hAnsi="Arial" w:cs="Arial"/>
        </w:rPr>
        <w:t>, with 100% concordance between the imputed and observed genotypes.</w:t>
      </w:r>
    </w:p>
    <w:p w14:paraId="52795D6E" w14:textId="77777777" w:rsidR="00FE6BFC" w:rsidRPr="009008AC" w:rsidRDefault="00FE6BFC" w:rsidP="009A15A8">
      <w:pPr>
        <w:tabs>
          <w:tab w:val="num" w:pos="720"/>
        </w:tabs>
        <w:rPr>
          <w:rFonts w:ascii="Arial" w:hAnsi="Arial" w:cs="Arial"/>
        </w:rPr>
      </w:pPr>
    </w:p>
    <w:p w14:paraId="3C7AA5C5" w14:textId="71FF2AD8" w:rsidR="00104E54" w:rsidRPr="00D23D84" w:rsidRDefault="00FE6BFC" w:rsidP="009A15A8">
      <w:pPr>
        <w:tabs>
          <w:tab w:val="num" w:pos="720"/>
        </w:tabs>
        <w:rPr>
          <w:rFonts w:ascii="Arial" w:hAnsi="Arial" w:cs="Arial"/>
          <w:vertAlign w:val="superscript"/>
        </w:rPr>
      </w:pPr>
      <w:r w:rsidRPr="009008AC">
        <w:rPr>
          <w:rFonts w:ascii="Arial" w:hAnsi="Arial" w:cs="Arial"/>
        </w:rPr>
        <w:t>The frequency of each HLA-DQ genotype was calculated among DS individuals with and without CD. We qualitatively compared HLA genotype frequencies among CD cases and controls with DS to published frequencies observed in the typical population.</w:t>
      </w:r>
      <w:r w:rsidRPr="009008AC">
        <w:rPr>
          <w:rFonts w:ascii="Arial" w:hAnsi="Arial" w:cs="Arial"/>
          <w:vertAlign w:val="superscript"/>
        </w:rPr>
        <w:t>2</w:t>
      </w:r>
    </w:p>
    <w:p w14:paraId="7F2A808F" w14:textId="1C92D79A" w:rsidR="00B323AA" w:rsidRPr="009008AC" w:rsidRDefault="00B323AA" w:rsidP="009A15A8">
      <w:pPr>
        <w:tabs>
          <w:tab w:val="num" w:pos="720"/>
        </w:tabs>
        <w:rPr>
          <w:rFonts w:ascii="Arial" w:hAnsi="Arial" w:cs="Arial"/>
        </w:rPr>
      </w:pPr>
    </w:p>
    <w:p w14:paraId="4865E6EB" w14:textId="47247A89" w:rsidR="00B323AA" w:rsidRDefault="00B323AA" w:rsidP="009A15A8">
      <w:pPr>
        <w:tabs>
          <w:tab w:val="num" w:pos="720"/>
        </w:tabs>
        <w:rPr>
          <w:rFonts w:ascii="Arial" w:hAnsi="Arial" w:cs="Arial"/>
        </w:rPr>
      </w:pPr>
      <w:r w:rsidRPr="009008AC">
        <w:rPr>
          <w:rFonts w:ascii="Arial" w:hAnsi="Arial" w:cs="Arial"/>
        </w:rPr>
        <w:t xml:space="preserve">Principal components for genetic ancestry were estimated </w:t>
      </w:r>
      <w:r w:rsidR="00D23D84">
        <w:rPr>
          <w:rFonts w:ascii="Arial" w:hAnsi="Arial" w:cs="Arial"/>
        </w:rPr>
        <w:t xml:space="preserve">from directly observed genotypes </w:t>
      </w:r>
      <w:r w:rsidRPr="009008AC">
        <w:rPr>
          <w:rFonts w:ascii="Arial" w:hAnsi="Arial" w:cs="Arial"/>
        </w:rPr>
        <w:t>using Plink1.9.</w:t>
      </w:r>
      <w:r w:rsidR="00D23D84">
        <w:rPr>
          <w:rFonts w:ascii="Arial" w:hAnsi="Arial" w:cs="Arial"/>
        </w:rPr>
        <w:t xml:space="preserve"> Input to the PCA calculation included only the samples eligible for inclusion in the GRS analysis, namely unrelated individuals with Down syndrome, known Celiac status, and complete genotypes for all genetic predictors in the GRS. </w:t>
      </w:r>
      <w:r w:rsidR="00D23D84" w:rsidRPr="00D23D84">
        <w:rPr>
          <w:rFonts w:ascii="Arial" w:hAnsi="Arial" w:cs="Arial"/>
        </w:rPr>
        <w:t>Excluded from input to PCA</w:t>
      </w:r>
      <w:r w:rsidR="00D23D84">
        <w:rPr>
          <w:rFonts w:ascii="Arial" w:hAnsi="Arial" w:cs="Arial"/>
        </w:rPr>
        <w:t xml:space="preserve"> calculation</w:t>
      </w:r>
      <w:r w:rsidR="00D23D84" w:rsidRPr="00D23D84">
        <w:rPr>
          <w:rFonts w:ascii="Arial" w:hAnsi="Arial" w:cs="Arial"/>
        </w:rPr>
        <w:t xml:space="preserve"> were chromosome 21, sex chromosomes, mitochondrial variants, variants with unknown chromosomal mapping, and the specific </w:t>
      </w:r>
      <w:r w:rsidR="00D23D84">
        <w:rPr>
          <w:rFonts w:ascii="Arial" w:hAnsi="Arial" w:cs="Arial"/>
        </w:rPr>
        <w:t xml:space="preserve">non-HLA-DQ </w:t>
      </w:r>
      <w:r w:rsidR="00D23D84" w:rsidRPr="00D23D84">
        <w:rPr>
          <w:rFonts w:ascii="Arial" w:hAnsi="Arial" w:cs="Arial"/>
        </w:rPr>
        <w:t xml:space="preserve">SNPs used in the GRS. Also excluded from the PCA calculation were ancestry-specific regions which can confound PCA (Krebs et al., 2020, Lam et al., 2015), including chr8:8135000-1200000, chr17: 40900000-45000000, and the HLA region plus or minus 200kb (chr6:28277797-33648354). Because HLA alleles have been demonstrated to strongly associate with variants up to 200kb outside of the formal boundaries of the HLA region (Lam et al., 2013, de Bakker et al., 2006), we excluded </w:t>
      </w:r>
      <w:r w:rsidR="00D23D84">
        <w:rPr>
          <w:rFonts w:ascii="Arial" w:hAnsi="Arial" w:cs="Arial"/>
        </w:rPr>
        <w:t xml:space="preserve">variants within the </w:t>
      </w:r>
      <w:r w:rsidR="00D23D84" w:rsidRPr="00D23D84">
        <w:rPr>
          <w:rFonts w:ascii="Arial" w:hAnsi="Arial" w:cs="Arial"/>
        </w:rPr>
        <w:t>HLA region a</w:t>
      </w:r>
      <w:r w:rsidR="00D23D84">
        <w:rPr>
          <w:rFonts w:ascii="Arial" w:hAnsi="Arial" w:cs="Arial"/>
        </w:rPr>
        <w:t>s well as</w:t>
      </w:r>
      <w:r w:rsidR="00D23D84" w:rsidRPr="00D23D84">
        <w:rPr>
          <w:rFonts w:ascii="Arial" w:hAnsi="Arial" w:cs="Arial"/>
        </w:rPr>
        <w:t xml:space="preserve"> variants located within 200kb of the HLA region boundaries. We further filtered input variants to common variants with </w:t>
      </w:r>
      <w:r w:rsidR="00D23D84">
        <w:rPr>
          <w:rFonts w:ascii="Arial" w:hAnsi="Arial" w:cs="Arial"/>
        </w:rPr>
        <w:t xml:space="preserve">a </w:t>
      </w:r>
      <w:r w:rsidR="00D23D84" w:rsidRPr="00D23D84">
        <w:rPr>
          <w:rFonts w:ascii="Arial" w:hAnsi="Arial" w:cs="Arial"/>
        </w:rPr>
        <w:t>minor allele frequency &gt;5% (Plink --</w:t>
      </w:r>
      <w:proofErr w:type="spellStart"/>
      <w:r w:rsidR="00D23D84" w:rsidRPr="00D23D84">
        <w:rPr>
          <w:rFonts w:ascii="Arial" w:hAnsi="Arial" w:cs="Arial"/>
        </w:rPr>
        <w:t>maf</w:t>
      </w:r>
      <w:proofErr w:type="spellEnd"/>
      <w:r w:rsidR="00D23D84" w:rsidRPr="00D23D84">
        <w:rPr>
          <w:rFonts w:ascii="Arial" w:hAnsi="Arial" w:cs="Arial"/>
        </w:rPr>
        <w:t xml:space="preserve"> 0.05), sample call rate &gt; 95% (--mind 0.05), and variant call rate &gt; 98% (Plink --</w:t>
      </w:r>
      <w:proofErr w:type="spellStart"/>
      <w:r w:rsidR="00D23D84" w:rsidRPr="00D23D84">
        <w:rPr>
          <w:rFonts w:ascii="Arial" w:hAnsi="Arial" w:cs="Arial"/>
        </w:rPr>
        <w:t>geno</w:t>
      </w:r>
      <w:proofErr w:type="spellEnd"/>
      <w:r w:rsidR="00D23D84" w:rsidRPr="00D23D84">
        <w:rPr>
          <w:rFonts w:ascii="Arial" w:hAnsi="Arial" w:cs="Arial"/>
        </w:rPr>
        <w:t xml:space="preserve"> 0.02). Lastly, we performed SNP pruning to identify a subset of pairwise independent variants with a maximum pairwise correlation of 0.20 (Plink --</w:t>
      </w:r>
      <w:proofErr w:type="spellStart"/>
      <w:r w:rsidR="00D23D84" w:rsidRPr="00D23D84">
        <w:rPr>
          <w:rFonts w:ascii="Arial" w:hAnsi="Arial" w:cs="Arial"/>
        </w:rPr>
        <w:t>indep</w:t>
      </w:r>
      <w:proofErr w:type="spellEnd"/>
      <w:r w:rsidR="00D23D84" w:rsidRPr="00D23D84">
        <w:rPr>
          <w:rFonts w:ascii="Arial" w:hAnsi="Arial" w:cs="Arial"/>
        </w:rPr>
        <w:t>-pairwise 50 5 0.2).</w:t>
      </w:r>
      <w:r w:rsidR="00D23D84">
        <w:rPr>
          <w:rFonts w:ascii="Arial" w:hAnsi="Arial" w:cs="Arial"/>
        </w:rPr>
        <w:t xml:space="preserve"> </w:t>
      </w:r>
      <w:r w:rsidRPr="009008AC">
        <w:rPr>
          <w:rFonts w:ascii="Arial" w:hAnsi="Arial" w:cs="Arial"/>
        </w:rPr>
        <w:t xml:space="preserve">The first 5 PCs for ancestry were used as covariates in </w:t>
      </w:r>
      <w:r w:rsidR="00D23D84">
        <w:rPr>
          <w:rFonts w:ascii="Arial" w:hAnsi="Arial" w:cs="Arial"/>
        </w:rPr>
        <w:t xml:space="preserve">single-variant logistic regression models to account </w:t>
      </w:r>
      <w:r w:rsidRPr="009008AC">
        <w:rPr>
          <w:rFonts w:ascii="Arial" w:hAnsi="Arial" w:cs="Arial"/>
        </w:rPr>
        <w:t>for population stratification.</w:t>
      </w:r>
      <w:r w:rsidR="00D23D84">
        <w:rPr>
          <w:rFonts w:ascii="Arial" w:hAnsi="Arial" w:cs="Arial"/>
        </w:rPr>
        <w:t xml:space="preserve"> PCA plots colored by self-reported race and ethnicity are shown in Supplemental Figure </w:t>
      </w:r>
      <w:r w:rsidR="00D23D84" w:rsidRPr="00D23D84">
        <w:rPr>
          <w:rFonts w:ascii="Arial" w:hAnsi="Arial" w:cs="Arial"/>
          <w:highlight w:val="yellow"/>
        </w:rPr>
        <w:t>_</w:t>
      </w:r>
      <w:r w:rsidR="00D23D84">
        <w:rPr>
          <w:rFonts w:ascii="Arial" w:hAnsi="Arial" w:cs="Arial"/>
          <w:highlight w:val="yellow"/>
        </w:rPr>
        <w:t>TBD</w:t>
      </w:r>
      <w:r w:rsidR="00D23D84" w:rsidRPr="00D23D84">
        <w:rPr>
          <w:rFonts w:ascii="Arial" w:hAnsi="Arial" w:cs="Arial"/>
          <w:highlight w:val="yellow"/>
        </w:rPr>
        <w:t>_</w:t>
      </w:r>
      <w:r w:rsidR="00D23D84">
        <w:rPr>
          <w:rFonts w:ascii="Arial" w:hAnsi="Arial" w:cs="Arial"/>
        </w:rPr>
        <w:t xml:space="preserve">. </w:t>
      </w:r>
    </w:p>
    <w:p w14:paraId="5D7DA4EC" w14:textId="382CD2B1" w:rsidR="00B3745C" w:rsidRDefault="00B3745C" w:rsidP="009A15A8">
      <w:pPr>
        <w:tabs>
          <w:tab w:val="num" w:pos="720"/>
        </w:tabs>
        <w:rPr>
          <w:rFonts w:ascii="Arial" w:hAnsi="Arial" w:cs="Arial"/>
        </w:rPr>
      </w:pPr>
    </w:p>
    <w:p w14:paraId="6803E4B5" w14:textId="10CADA7C" w:rsidR="00B3745C" w:rsidRDefault="00B3745C" w:rsidP="00B3745C">
      <w:pPr>
        <w:tabs>
          <w:tab w:val="num" w:pos="720"/>
        </w:tabs>
        <w:rPr>
          <w:rFonts w:ascii="Arial" w:eastAsiaTheme="minorEastAsia" w:hAnsi="Arial" w:cs="Arial"/>
        </w:rPr>
      </w:pPr>
      <w:r>
        <w:rPr>
          <w:rFonts w:ascii="Arial" w:hAnsi="Arial" w:cs="Arial"/>
        </w:rPr>
        <w:lastRenderedPageBreak/>
        <w:t>For one GRS SNP located on chromosome 21, we performed manual genotyping from raw intensity data.</w:t>
      </w:r>
      <w:r w:rsidR="00077EC1">
        <w:rPr>
          <w:rFonts w:ascii="Arial" w:hAnsi="Arial" w:cs="Arial"/>
        </w:rPr>
        <w:t xml:space="preserve"> </w:t>
      </w:r>
      <w:r w:rsidR="00CC5356">
        <w:rPr>
          <w:rFonts w:ascii="Arial" w:hAnsi="Arial" w:cs="Arial"/>
        </w:rPr>
        <w:t xml:space="preserve">Study identifiers were mapped to experiment barcodes using the </w:t>
      </w:r>
      <w:proofErr w:type="spellStart"/>
      <w:r w:rsidR="00CC5356">
        <w:rPr>
          <w:rFonts w:ascii="Arial" w:hAnsi="Arial" w:cs="Arial"/>
        </w:rPr>
        <w:t>SentrixBarcode_A</w:t>
      </w:r>
      <w:proofErr w:type="spellEnd"/>
      <w:r w:rsidR="00CC5356">
        <w:rPr>
          <w:rFonts w:ascii="Arial" w:hAnsi="Arial" w:cs="Arial"/>
        </w:rPr>
        <w:t xml:space="preserve"> column of the HTP sample manifest.</w:t>
      </w:r>
      <w:r>
        <w:rPr>
          <w:rFonts w:ascii="Arial" w:hAnsi="Arial" w:cs="Arial"/>
        </w:rPr>
        <w:t xml:space="preserve"> </w:t>
      </w:r>
      <w:r w:rsidR="00CC5356">
        <w:rPr>
          <w:rFonts w:ascii="Arial" w:hAnsi="Arial" w:cs="Arial"/>
        </w:rPr>
        <w:t xml:space="preserve">In order to identify the probe identifier </w:t>
      </w:r>
      <w:r w:rsidR="00382B8E">
        <w:rPr>
          <w:rFonts w:ascii="Arial" w:hAnsi="Arial" w:cs="Arial"/>
        </w:rPr>
        <w:t>corresponding to the SNP of interest, we downloaded the MEGA product manifest from the Illumina website (</w:t>
      </w:r>
      <w:r w:rsidR="00076003" w:rsidRPr="00076003">
        <w:rPr>
          <w:rFonts w:ascii="Arial" w:hAnsi="Arial" w:cs="Arial"/>
        </w:rPr>
        <w:t>https://webdata.illumina.com/downloads/productfiles/multiethnic-global-8/v1-0/infinium-multi-ethnic-global-8-d1-csv.zip</w:t>
      </w:r>
      <w:r w:rsidR="00382B8E">
        <w:rPr>
          <w:rFonts w:ascii="Arial" w:hAnsi="Arial" w:cs="Arial"/>
        </w:rPr>
        <w:t xml:space="preserve">). Using the </w:t>
      </w:r>
      <w:proofErr w:type="spellStart"/>
      <w:r w:rsidR="00382B8E">
        <w:rPr>
          <w:rFonts w:ascii="Arial" w:hAnsi="Arial" w:cs="Arial"/>
        </w:rPr>
        <w:t>illuminaio</w:t>
      </w:r>
      <w:proofErr w:type="spellEnd"/>
      <w:r w:rsidR="00382B8E">
        <w:rPr>
          <w:rFonts w:ascii="Arial" w:hAnsi="Arial" w:cs="Arial"/>
        </w:rPr>
        <w:t xml:space="preserve"> R package, we read the raw intensity data into R and extracted a matrix of data from each </w:t>
      </w:r>
      <w:proofErr w:type="spellStart"/>
      <w:r w:rsidR="00382B8E">
        <w:rPr>
          <w:rFonts w:ascii="Arial" w:hAnsi="Arial" w:cs="Arial"/>
        </w:rPr>
        <w:t>idat</w:t>
      </w:r>
      <w:proofErr w:type="spellEnd"/>
      <w:r w:rsidR="00382B8E">
        <w:rPr>
          <w:rFonts w:ascii="Arial" w:hAnsi="Arial" w:cs="Arial"/>
        </w:rPr>
        <w:t xml:space="preserve"> file. We then mapped the </w:t>
      </w:r>
      <w:proofErr w:type="spellStart"/>
      <w:r w:rsidR="00382B8E">
        <w:rPr>
          <w:rFonts w:ascii="Arial" w:hAnsi="Arial" w:cs="Arial"/>
        </w:rPr>
        <w:t>rownames</w:t>
      </w:r>
      <w:proofErr w:type="spellEnd"/>
      <w:r w:rsidR="00382B8E">
        <w:rPr>
          <w:rFonts w:ascii="Arial" w:hAnsi="Arial" w:cs="Arial"/>
        </w:rPr>
        <w:t xml:space="preserve"> of the raw intensity data to the </w:t>
      </w:r>
      <w:proofErr w:type="spellStart"/>
      <w:r w:rsidR="00382B8E">
        <w:rPr>
          <w:rFonts w:ascii="Arial" w:hAnsi="Arial" w:cs="Arial"/>
        </w:rPr>
        <w:t>AddressA_ID</w:t>
      </w:r>
      <w:proofErr w:type="spellEnd"/>
      <w:r w:rsidR="00382B8E">
        <w:rPr>
          <w:rFonts w:ascii="Arial" w:hAnsi="Arial" w:cs="Arial"/>
        </w:rPr>
        <w:t xml:space="preserve"> column of the Illumina product manifest to identify that </w:t>
      </w:r>
      <w:proofErr w:type="spellStart"/>
      <w:r w:rsidR="00382B8E">
        <w:rPr>
          <w:rFonts w:ascii="Arial" w:hAnsi="Arial" w:cs="Arial"/>
        </w:rPr>
        <w:t>AddressA_ID</w:t>
      </w:r>
      <w:proofErr w:type="spellEnd"/>
      <w:r w:rsidR="00382B8E">
        <w:rPr>
          <w:rFonts w:ascii="Arial" w:hAnsi="Arial" w:cs="Arial"/>
        </w:rPr>
        <w:t xml:space="preserve"> of ‘</w:t>
      </w:r>
      <w:r w:rsidR="00382B8E" w:rsidRPr="002F31E5">
        <w:rPr>
          <w:rFonts w:ascii="Arial" w:hAnsi="Arial" w:cs="Arial"/>
        </w:rPr>
        <w:t>29800833</w:t>
      </w:r>
      <w:r w:rsidR="00382B8E" w:rsidRPr="002F31E5">
        <w:rPr>
          <w:rFonts w:ascii="Arial" w:hAnsi="Arial" w:cs="Arial"/>
        </w:rPr>
        <w:t xml:space="preserve">’ corresponded to the chr21 SNP of interest, </w:t>
      </w:r>
      <w:r w:rsidR="00382B8E" w:rsidRPr="002F31E5">
        <w:rPr>
          <w:rFonts w:ascii="Arial" w:hAnsi="Arial" w:cs="Arial"/>
        </w:rPr>
        <w:t>rs1893592</w:t>
      </w:r>
      <w:r w:rsidR="00382B8E" w:rsidRPr="002F31E5">
        <w:rPr>
          <w:rFonts w:ascii="Arial" w:hAnsi="Arial" w:cs="Arial"/>
        </w:rPr>
        <w:t xml:space="preserve">. </w:t>
      </w:r>
      <w:r>
        <w:rPr>
          <w:rFonts w:ascii="Arial" w:hAnsi="Arial" w:cs="Arial"/>
        </w:rPr>
        <w:t xml:space="preserve">We identified </w:t>
      </w:r>
      <w:r w:rsidR="00077EC1">
        <w:rPr>
          <w:rFonts w:ascii="Arial" w:hAnsi="Arial" w:cs="Arial"/>
        </w:rPr>
        <w:t>the TOP/BOT (A/B) alleles for the probe using the strand report for the MEGA product provided on the Illumina website (</w:t>
      </w:r>
      <w:r w:rsidR="002F31E5" w:rsidRPr="002F31E5">
        <w:rPr>
          <w:rFonts w:ascii="Arial" w:hAnsi="Arial" w:cs="Arial"/>
        </w:rPr>
        <w:t>https://webdata.illumina.com/downloads/productfiles/multiethnic-global-8/v1-0/multi-ethnic-global-8-d1-strand-report.zip</w:t>
      </w:r>
      <w:r w:rsidR="00077EC1">
        <w:rPr>
          <w:rFonts w:ascii="Arial" w:hAnsi="Arial" w:cs="Arial"/>
        </w:rPr>
        <w:t xml:space="preserve">). </w:t>
      </w:r>
      <w:r w:rsidR="00382B8E">
        <w:rPr>
          <w:rFonts w:ascii="Arial" w:hAnsi="Arial" w:cs="Arial"/>
        </w:rPr>
        <w:t>Having identified the probe specific to the SNP of interest and the A and B alleles for that probe, we next derived</w:t>
      </w:r>
      <w:r>
        <w:rPr>
          <w:rFonts w:ascii="Arial" w:hAnsi="Arial" w:cs="Arial"/>
        </w:rPr>
        <w:t xml:space="preserve"> the Combined SNP intensity (R) and the Allelic Intensity Ratio (</w:t>
      </w:r>
      <m:oMath>
        <m:r>
          <w:rPr>
            <w:rFonts w:ascii="Cambria Math" w:hAnsi="Cambria Math" w:cs="Arial"/>
          </w:rPr>
          <m:t>θ</m:t>
        </m:r>
      </m:oMath>
      <w:r>
        <w:rPr>
          <w:rFonts w:ascii="Arial" w:eastAsiaTheme="minorEastAsia" w:hAnsi="Arial" w:cs="Arial"/>
        </w:rPr>
        <w:t>) using the equations:</w:t>
      </w:r>
    </w:p>
    <w:p w14:paraId="7CD0AEF1" w14:textId="77777777" w:rsidR="00B3745C" w:rsidRDefault="00B3745C" w:rsidP="002F31E5">
      <w:pPr>
        <w:tabs>
          <w:tab w:val="num" w:pos="720"/>
        </w:tabs>
        <w:ind w:left="720"/>
        <w:rPr>
          <w:rFonts w:ascii="Arial" w:eastAsiaTheme="minorEastAsia" w:hAnsi="Arial" w:cs="Arial"/>
          <w:iCs/>
        </w:rPr>
      </w:pPr>
      <w:r w:rsidRPr="00B3745C">
        <w:rPr>
          <w:rFonts w:ascii="Arial" w:hAnsi="Arial" w:cs="Arial"/>
          <w:b/>
          <w:bCs/>
        </w:rPr>
        <w:t>R</w:t>
      </w:r>
      <w:r w:rsidRPr="00B3745C">
        <w:rPr>
          <w:rFonts w:ascii="Arial" w:hAnsi="Arial" w:cs="Arial"/>
        </w:rPr>
        <w:t xml:space="preserve"> = </w:t>
      </w:r>
      <m:oMath>
        <m:r>
          <m:rPr>
            <m:sty m:val="p"/>
          </m:rPr>
          <w:rPr>
            <w:rFonts w:ascii="Cambria Math" w:hAnsi="Cambria Math" w:cs="Arial"/>
          </w:rPr>
          <m:t>Mean intensit</m:t>
        </m:r>
        <m:sSub>
          <m:sSubPr>
            <m:ctrlPr>
              <w:rPr>
                <w:rFonts w:ascii="Cambria Math" w:hAnsi="Cambria Math" w:cs="Arial"/>
                <w:i/>
                <w:iCs/>
              </w:rPr>
            </m:ctrlPr>
          </m:sSubPr>
          <m:e>
            <m:r>
              <m:rPr>
                <m:sty m:val="p"/>
              </m:rPr>
              <w:rPr>
                <w:rFonts w:ascii="Cambria Math" w:hAnsi="Cambria Math" w:cs="Arial"/>
              </w:rPr>
              <m:t>y</m:t>
            </m:r>
          </m:e>
          <m:sub>
            <m:r>
              <m:rPr>
                <m:sty m:val="p"/>
              </m:rPr>
              <w:rPr>
                <w:rFonts w:ascii="Cambria Math" w:hAnsi="Cambria Math" w:cs="Arial"/>
              </w:rPr>
              <m:t>Red</m:t>
            </m:r>
          </m:sub>
        </m:sSub>
        <m:r>
          <m:rPr>
            <m:sty m:val="p"/>
          </m:rPr>
          <w:rPr>
            <w:rFonts w:ascii="Cambria Math" w:hAnsi="Cambria Math" w:cs="Arial"/>
          </w:rPr>
          <m:t>+Mean intensit</m:t>
        </m:r>
        <m:sSub>
          <m:sSubPr>
            <m:ctrlPr>
              <w:rPr>
                <w:rFonts w:ascii="Cambria Math" w:hAnsi="Cambria Math" w:cs="Arial"/>
                <w:i/>
                <w:iCs/>
              </w:rPr>
            </m:ctrlPr>
          </m:sSubPr>
          <m:e>
            <m:r>
              <m:rPr>
                <m:sty m:val="p"/>
              </m:rPr>
              <w:rPr>
                <w:rFonts w:ascii="Cambria Math" w:hAnsi="Cambria Math" w:cs="Arial"/>
              </w:rPr>
              <m:t>y</m:t>
            </m:r>
          </m:e>
          <m:sub>
            <m:r>
              <m:rPr>
                <m:sty m:val="p"/>
              </m:rPr>
              <w:rPr>
                <w:rFonts w:ascii="Cambria Math" w:hAnsi="Cambria Math" w:cs="Arial"/>
              </w:rPr>
              <m:t>Grn</m:t>
            </m:r>
          </m:sub>
        </m:sSub>
      </m:oMath>
      <w:r>
        <w:rPr>
          <w:rFonts w:ascii="Arial" w:eastAsiaTheme="minorEastAsia" w:hAnsi="Arial" w:cs="Arial"/>
          <w:iCs/>
        </w:rPr>
        <w:t>, and</w:t>
      </w:r>
    </w:p>
    <w:p w14:paraId="1116C0ED" w14:textId="2136B2A5" w:rsidR="00B3745C" w:rsidRDefault="00B3745C" w:rsidP="002F31E5">
      <w:pPr>
        <w:tabs>
          <w:tab w:val="num" w:pos="720"/>
        </w:tabs>
        <w:ind w:left="720"/>
        <w:rPr>
          <w:rFonts w:ascii="Arial" w:hAnsi="Arial" w:cs="Arial"/>
          <w:iCs/>
        </w:rPr>
      </w:pPr>
      <w:r w:rsidRPr="00B3745C">
        <w:rPr>
          <w:rFonts w:ascii="Arial" w:hAnsi="Arial" w:cs="Arial"/>
          <w:b/>
          <w:bCs/>
          <w:iCs/>
          <w:lang w:val="el-GR"/>
        </w:rPr>
        <w:t xml:space="preserve">θ </w:t>
      </w:r>
      <w:r w:rsidRPr="00B3745C">
        <w:rPr>
          <w:rFonts w:ascii="Arial" w:hAnsi="Arial" w:cs="Arial"/>
          <w:iCs/>
          <w:lang w:val="el-GR"/>
        </w:rPr>
        <w:t xml:space="preserve">= </w:t>
      </w:r>
      <m:oMath>
        <m:d>
          <m:dPr>
            <m:ctrlPr>
              <w:rPr>
                <w:rFonts w:ascii="Cambria Math" w:eastAsiaTheme="minorEastAsia" w:hAnsi="Cambria Math" w:cs="Arial"/>
                <w:i/>
                <w:iCs/>
              </w:rPr>
            </m:ctrlPr>
          </m:dPr>
          <m:e>
            <m:f>
              <m:fPr>
                <m:ctrlPr>
                  <w:rPr>
                    <w:rFonts w:ascii="Cambria Math" w:eastAsiaTheme="minorEastAsia" w:hAnsi="Cambria Math" w:cs="Arial"/>
                    <w:i/>
                    <w:iCs/>
                  </w:rPr>
                </m:ctrlPr>
              </m:fPr>
              <m:num>
                <m:r>
                  <m:rPr>
                    <m:sty m:val="p"/>
                  </m:rPr>
                  <w:rPr>
                    <w:rFonts w:ascii="Cambria Math" w:hAnsi="Cambria Math" w:cs="Arial"/>
                  </w:rPr>
                  <m:t>2</m:t>
                </m:r>
              </m:num>
              <m:den>
                <m:r>
                  <m:rPr>
                    <m:sty m:val="p"/>
                  </m:rPr>
                  <w:rPr>
                    <w:rFonts w:ascii="Cambria Math" w:hAnsi="Cambria Math" w:cs="Arial"/>
                  </w:rPr>
                  <m:t>pi</m:t>
                </m:r>
              </m:den>
            </m:f>
          </m:e>
        </m:d>
        <m:r>
          <w:rPr>
            <w:rFonts w:ascii="Cambria Math" w:hAnsi="Cambria Math" w:cs="Arial"/>
          </w:rPr>
          <m:t>*</m:t>
        </m:r>
        <m:func>
          <m:funcPr>
            <m:ctrlPr>
              <w:rPr>
                <w:rFonts w:ascii="Cambria Math" w:eastAsiaTheme="minorEastAsia" w:hAnsi="Cambria Math" w:cs="Arial"/>
                <w:i/>
                <w:iCs/>
              </w:rPr>
            </m:ctrlPr>
          </m:funcPr>
          <m:fName>
            <m:r>
              <m:rPr>
                <m:sty m:val="p"/>
              </m:rPr>
              <w:rPr>
                <w:rFonts w:ascii="Cambria Math" w:hAnsi="Cambria Math" w:cs="Arial"/>
              </w:rPr>
              <m:t>arctan</m:t>
            </m:r>
          </m:fName>
          <m:e>
            <m:d>
              <m:dPr>
                <m:ctrlPr>
                  <w:rPr>
                    <w:rFonts w:ascii="Cambria Math" w:eastAsiaTheme="minorEastAsia" w:hAnsi="Cambria Math" w:cs="Arial"/>
                    <w:i/>
                    <w:iCs/>
                  </w:rPr>
                </m:ctrlPr>
              </m:dPr>
              <m:e>
                <m:f>
                  <m:fPr>
                    <m:ctrlPr>
                      <w:rPr>
                        <w:rFonts w:ascii="Cambria Math" w:eastAsiaTheme="minorEastAsia" w:hAnsi="Cambria Math" w:cs="Arial"/>
                        <w:i/>
                        <w:iCs/>
                      </w:rPr>
                    </m:ctrlPr>
                  </m:fPr>
                  <m:num>
                    <m:r>
                      <m:rPr>
                        <m:sty m:val="p"/>
                      </m:rPr>
                      <w:rPr>
                        <w:rFonts w:ascii="Cambria Math" w:hAnsi="Cambria Math" w:cs="Arial"/>
                      </w:rPr>
                      <m:t>Mean intensit</m:t>
                    </m:r>
                    <m:sSub>
                      <m:sSubPr>
                        <m:ctrlPr>
                          <w:rPr>
                            <w:rFonts w:ascii="Cambria Math" w:eastAsiaTheme="minorEastAsia" w:hAnsi="Cambria Math" w:cs="Arial"/>
                            <w:i/>
                            <w:iCs/>
                          </w:rPr>
                        </m:ctrlPr>
                      </m:sSubPr>
                      <m:e>
                        <m:r>
                          <m:rPr>
                            <m:sty m:val="p"/>
                          </m:rPr>
                          <w:rPr>
                            <w:rFonts w:ascii="Cambria Math" w:hAnsi="Cambria Math" w:cs="Arial"/>
                          </w:rPr>
                          <m:t>y</m:t>
                        </m:r>
                      </m:e>
                      <m:sub>
                        <m:r>
                          <m:rPr>
                            <m:sty m:val="p"/>
                          </m:rPr>
                          <w:rPr>
                            <w:rFonts w:ascii="Cambria Math" w:hAnsi="Cambria Math" w:cs="Arial"/>
                          </w:rPr>
                          <m:t>Grn</m:t>
                        </m:r>
                      </m:sub>
                    </m:sSub>
                  </m:num>
                  <m:den>
                    <m:r>
                      <m:rPr>
                        <m:sty m:val="p"/>
                      </m:rPr>
                      <w:rPr>
                        <w:rFonts w:ascii="Cambria Math" w:hAnsi="Cambria Math" w:cs="Arial"/>
                      </w:rPr>
                      <m:t>Mean intensit</m:t>
                    </m:r>
                    <m:sSub>
                      <m:sSubPr>
                        <m:ctrlPr>
                          <w:rPr>
                            <w:rFonts w:ascii="Cambria Math" w:eastAsiaTheme="minorEastAsia" w:hAnsi="Cambria Math" w:cs="Arial"/>
                            <w:i/>
                            <w:iCs/>
                          </w:rPr>
                        </m:ctrlPr>
                      </m:sSubPr>
                      <m:e>
                        <m:r>
                          <m:rPr>
                            <m:sty m:val="p"/>
                          </m:rPr>
                          <w:rPr>
                            <w:rFonts w:ascii="Cambria Math" w:hAnsi="Cambria Math" w:cs="Arial"/>
                          </w:rPr>
                          <m:t>y</m:t>
                        </m:r>
                      </m:e>
                      <m:sub>
                        <m:r>
                          <m:rPr>
                            <m:sty m:val="p"/>
                          </m:rPr>
                          <w:rPr>
                            <w:rFonts w:ascii="Cambria Math" w:hAnsi="Cambria Math" w:cs="Arial"/>
                          </w:rPr>
                          <m:t>Red</m:t>
                        </m:r>
                      </m:sub>
                    </m:sSub>
                  </m:den>
                </m:f>
              </m:e>
            </m:d>
          </m:e>
        </m:func>
      </m:oMath>
      <w:r w:rsidRPr="00B3745C">
        <w:rPr>
          <w:rFonts w:ascii="Arial" w:hAnsi="Arial" w:cs="Arial"/>
          <w:iCs/>
        </w:rPr>
        <w:t>)</w:t>
      </w:r>
      <w:r>
        <w:rPr>
          <w:rFonts w:ascii="Arial" w:hAnsi="Arial" w:cs="Arial"/>
          <w:iCs/>
        </w:rPr>
        <w:t>.</w:t>
      </w:r>
    </w:p>
    <w:p w14:paraId="4A703A69" w14:textId="684FD341" w:rsidR="00B3745C" w:rsidRPr="00B3745C" w:rsidRDefault="00382B8E" w:rsidP="00B3745C">
      <w:pPr>
        <w:tabs>
          <w:tab w:val="num" w:pos="720"/>
        </w:tabs>
        <w:rPr>
          <w:rFonts w:ascii="Arial" w:eastAsiaTheme="minorEastAsia" w:hAnsi="Arial" w:cs="Arial"/>
          <w:iCs/>
        </w:rPr>
      </w:pPr>
      <w:r>
        <w:rPr>
          <w:rFonts w:ascii="Arial" w:hAnsi="Arial" w:cs="Arial"/>
          <w:iCs/>
        </w:rPr>
        <w:t xml:space="preserve">We then produced scatterplots of </w:t>
      </w:r>
      <m:oMath>
        <m:r>
          <w:rPr>
            <w:rFonts w:ascii="Cambria Math" w:hAnsi="Cambria Math" w:cs="Arial"/>
          </w:rPr>
          <m:t>θ</m:t>
        </m:r>
      </m:oMath>
      <w:r>
        <w:rPr>
          <w:rFonts w:ascii="Arial" w:eastAsiaTheme="minorEastAsia" w:hAnsi="Arial" w:cs="Arial"/>
          <w:iCs/>
        </w:rPr>
        <w:t xml:space="preserve"> versus R and visually identified thresholds of </w:t>
      </w:r>
      <m:oMath>
        <m:r>
          <w:rPr>
            <w:rFonts w:ascii="Cambria Math" w:eastAsiaTheme="minorEastAsia" w:hAnsi="Cambria Math" w:cs="Arial"/>
          </w:rPr>
          <m:t>θ</m:t>
        </m:r>
      </m:oMath>
      <w:r>
        <w:rPr>
          <w:rFonts w:ascii="Arial" w:eastAsiaTheme="minorEastAsia" w:hAnsi="Arial" w:cs="Arial"/>
          <w:iCs/>
        </w:rPr>
        <w:t xml:space="preserve"> that clearly separated the samples into four genotype clusters</w:t>
      </w:r>
      <w:r w:rsidR="002F31E5">
        <w:rPr>
          <w:rFonts w:ascii="Arial" w:eastAsiaTheme="minorEastAsia" w:hAnsi="Arial" w:cs="Arial"/>
          <w:iCs/>
        </w:rPr>
        <w:t xml:space="preserve"> (</w:t>
      </w:r>
      <w:r w:rsidR="002F31E5" w:rsidRPr="002F31E5">
        <w:rPr>
          <w:rFonts w:ascii="Arial" w:eastAsiaTheme="minorEastAsia" w:hAnsi="Arial" w:cs="Arial"/>
          <w:iCs/>
          <w:highlight w:val="yellow"/>
        </w:rPr>
        <w:t>Supplemental Figure _TBD_</w:t>
      </w:r>
      <w:r w:rsidR="002F31E5">
        <w:rPr>
          <w:rFonts w:ascii="Arial" w:eastAsiaTheme="minorEastAsia" w:hAnsi="Arial" w:cs="Arial"/>
          <w:iCs/>
        </w:rPr>
        <w:t>)</w:t>
      </w:r>
      <w:r>
        <w:rPr>
          <w:rFonts w:ascii="Arial" w:eastAsiaTheme="minorEastAsia" w:hAnsi="Arial" w:cs="Arial"/>
          <w:iCs/>
        </w:rPr>
        <w:t>. We then used the identified theta thresholds to manually assign a genotype for each sample</w:t>
      </w:r>
      <w:r w:rsidR="002F31E5">
        <w:rPr>
          <w:rFonts w:ascii="Arial" w:eastAsiaTheme="minorEastAsia" w:hAnsi="Arial" w:cs="Arial"/>
          <w:iCs/>
        </w:rPr>
        <w:t>. From the assigned genotype clusters, we then defined the Dosage variable as the count of the score allele used in the GRS for the SNP.</w:t>
      </w:r>
    </w:p>
    <w:p w14:paraId="3F966D1A" w14:textId="30F40C2E" w:rsidR="00D23D84" w:rsidRDefault="00D23D84" w:rsidP="009A15A8">
      <w:pPr>
        <w:tabs>
          <w:tab w:val="num" w:pos="720"/>
        </w:tabs>
        <w:rPr>
          <w:rFonts w:ascii="Arial" w:hAnsi="Arial" w:cs="Arial"/>
        </w:rPr>
      </w:pPr>
    </w:p>
    <w:p w14:paraId="3827BC34" w14:textId="66C79E69" w:rsidR="00D23D84" w:rsidRPr="002F31E5" w:rsidRDefault="00D23D84" w:rsidP="009A15A8">
      <w:pPr>
        <w:tabs>
          <w:tab w:val="num" w:pos="720"/>
        </w:tabs>
        <w:rPr>
          <w:rFonts w:ascii="Arial" w:hAnsi="Arial" w:cs="Arial"/>
        </w:rPr>
      </w:pPr>
      <w:r w:rsidRPr="002F31E5">
        <w:rPr>
          <w:rFonts w:ascii="Arial" w:hAnsi="Arial" w:cs="Arial"/>
        </w:rPr>
        <w:t xml:space="preserve">MEGA genotype data </w:t>
      </w:r>
      <w:r w:rsidRPr="002F31E5">
        <w:rPr>
          <w:rFonts w:ascii="Arial" w:hAnsi="Arial" w:cs="Arial"/>
        </w:rPr>
        <w:t xml:space="preserve">was prepared </w:t>
      </w:r>
      <w:r w:rsidRPr="002F31E5">
        <w:rPr>
          <w:rFonts w:ascii="Arial" w:hAnsi="Arial" w:cs="Arial"/>
        </w:rPr>
        <w:t>for</w:t>
      </w:r>
      <w:r w:rsidRPr="002F31E5">
        <w:rPr>
          <w:rFonts w:ascii="Arial" w:hAnsi="Arial" w:cs="Arial"/>
        </w:rPr>
        <w:t xml:space="preserve"> whole genome i</w:t>
      </w:r>
      <w:r w:rsidRPr="002F31E5">
        <w:rPr>
          <w:rFonts w:ascii="Arial" w:hAnsi="Arial" w:cs="Arial"/>
        </w:rPr>
        <w:t xml:space="preserve">mputation according to best practices, as recommended in documentation provided by the Michigan Imputation Server and using resources curated by Will Rayner at the </w:t>
      </w:r>
      <w:proofErr w:type="spellStart"/>
      <w:r w:rsidRPr="002F31E5">
        <w:rPr>
          <w:rFonts w:ascii="Arial" w:hAnsi="Arial" w:cs="Arial"/>
        </w:rPr>
        <w:t>Wellcome</w:t>
      </w:r>
      <w:proofErr w:type="spellEnd"/>
      <w:r w:rsidRPr="002F31E5">
        <w:rPr>
          <w:rFonts w:ascii="Arial" w:hAnsi="Arial" w:cs="Arial"/>
        </w:rPr>
        <w:t xml:space="preserve"> Trust Institute (Michigan Imputation Server, Rayner et al.). Whole genome imputation was performed by the Michigan Imputation Server using the 1000 Genome Reference Panel (Phase 3, version 5) with reference population “Other/Mixed”. All non-HLA-DQ SNPs </w:t>
      </w:r>
      <w:r w:rsidRPr="002F31E5">
        <w:rPr>
          <w:rFonts w:ascii="Arial" w:hAnsi="Arial" w:cs="Arial"/>
        </w:rPr>
        <w:t xml:space="preserve">in the GRS </w:t>
      </w:r>
      <w:r w:rsidRPr="002F31E5">
        <w:rPr>
          <w:rFonts w:ascii="Arial" w:hAnsi="Arial" w:cs="Arial"/>
        </w:rPr>
        <w:t>were imputed with R2&gt;0.5 and were therefore considered eligible for downstream</w:t>
      </w:r>
      <w:r w:rsidRPr="002F31E5">
        <w:rPr>
          <w:rFonts w:ascii="Arial" w:hAnsi="Arial" w:cs="Arial"/>
        </w:rPr>
        <w:t xml:space="preserve"> analyses.</w:t>
      </w:r>
    </w:p>
    <w:p w14:paraId="131521D3" w14:textId="2CBF62E9" w:rsidR="00D23D84" w:rsidRDefault="00D23D84" w:rsidP="009A15A8">
      <w:pPr>
        <w:tabs>
          <w:tab w:val="num" w:pos="720"/>
        </w:tabs>
      </w:pPr>
    </w:p>
    <w:p w14:paraId="45425485" w14:textId="5DB13305" w:rsidR="00D23D84" w:rsidRPr="009008AC" w:rsidRDefault="00D23D84" w:rsidP="009A15A8">
      <w:pPr>
        <w:tabs>
          <w:tab w:val="num" w:pos="720"/>
        </w:tabs>
        <w:rPr>
          <w:rFonts w:ascii="Arial" w:hAnsi="Arial" w:cs="Arial"/>
        </w:rPr>
      </w:pPr>
      <w:r>
        <w:rPr>
          <w:rFonts w:ascii="Arial" w:hAnsi="Arial" w:cs="Arial"/>
        </w:rPr>
        <w:t>Following genomic imputation, SNPs required for the GRS calculation were extracted from imputed VCF files. Dosage data was then cleaned in R to reflect the dosage of GRS score allele for each SNP. The GRS for each participant was then calculated using the dosage of each HLA-DQ genotype, the dosage of each non-HLA-DQ SNP, and the weight of each genetic predictor as published in Sharp et al., 2019.</w:t>
      </w:r>
    </w:p>
    <w:p w14:paraId="09EFE7EC" w14:textId="77777777" w:rsidR="00104E54" w:rsidRPr="009008AC" w:rsidRDefault="00104E54" w:rsidP="009A15A8">
      <w:pPr>
        <w:tabs>
          <w:tab w:val="num" w:pos="720"/>
        </w:tabs>
        <w:rPr>
          <w:rFonts w:ascii="Arial" w:hAnsi="Arial" w:cs="Arial"/>
        </w:rPr>
      </w:pPr>
    </w:p>
    <w:p w14:paraId="68A9D4C2" w14:textId="10F434DA" w:rsidR="007F1A0F" w:rsidRPr="009008AC" w:rsidRDefault="00104E54" w:rsidP="00C87CCD">
      <w:pPr>
        <w:tabs>
          <w:tab w:val="num" w:pos="720"/>
        </w:tabs>
        <w:rPr>
          <w:rFonts w:ascii="Arial" w:hAnsi="Arial" w:cs="Arial"/>
        </w:rPr>
      </w:pPr>
      <w:r w:rsidRPr="009008AC">
        <w:rPr>
          <w:rFonts w:ascii="Arial" w:hAnsi="Arial" w:cs="Arial"/>
        </w:rPr>
        <w:t xml:space="preserve">Having derived the GRS summary metric, we evaluated its association with Celiac disease in trisomy 21 </w:t>
      </w:r>
      <w:r w:rsidR="0011688C" w:rsidRPr="009008AC">
        <w:rPr>
          <w:rFonts w:ascii="Arial" w:hAnsi="Arial" w:cs="Arial"/>
        </w:rPr>
        <w:t xml:space="preserve">and quantified its </w:t>
      </w:r>
      <w:r w:rsidRPr="009008AC">
        <w:rPr>
          <w:rFonts w:ascii="Arial" w:hAnsi="Arial" w:cs="Arial"/>
        </w:rPr>
        <w:t xml:space="preserve">ability to predict Celiac in </w:t>
      </w:r>
      <w:r w:rsidR="0011688C" w:rsidRPr="009008AC">
        <w:rPr>
          <w:rFonts w:ascii="Arial" w:hAnsi="Arial" w:cs="Arial"/>
        </w:rPr>
        <w:t>these individuals</w:t>
      </w:r>
      <w:r w:rsidRPr="009008AC">
        <w:rPr>
          <w:rFonts w:ascii="Arial" w:hAnsi="Arial" w:cs="Arial"/>
        </w:rPr>
        <w:t xml:space="preserve">. </w:t>
      </w:r>
      <w:r w:rsidR="0011688C" w:rsidRPr="009008AC">
        <w:rPr>
          <w:rFonts w:ascii="Arial" w:hAnsi="Arial" w:cs="Arial"/>
        </w:rPr>
        <w:t xml:space="preserve">To evaluate whether the GRS was significantly associated with CD in DS, we fit a logistic regression model for Celiac status versus the GRS. From the fitted logistic </w:t>
      </w:r>
      <w:proofErr w:type="gramStart"/>
      <w:r w:rsidR="0011688C" w:rsidRPr="009008AC">
        <w:rPr>
          <w:rFonts w:ascii="Arial" w:hAnsi="Arial" w:cs="Arial"/>
        </w:rPr>
        <w:t>regression</w:t>
      </w:r>
      <w:proofErr w:type="gramEnd"/>
      <w:r w:rsidR="0011688C" w:rsidRPr="009008AC">
        <w:rPr>
          <w:rFonts w:ascii="Arial" w:hAnsi="Arial" w:cs="Arial"/>
        </w:rPr>
        <w:t xml:space="preserve"> we estimated a receiver operating characteristic (ROC) curve. The Area Under the Curve (AUC) was used to </w:t>
      </w:r>
      <w:r w:rsidR="00FE6BFC" w:rsidRPr="009008AC">
        <w:rPr>
          <w:rFonts w:ascii="Arial" w:hAnsi="Arial" w:cs="Arial"/>
        </w:rPr>
        <w:t xml:space="preserve">quantify the </w:t>
      </w:r>
      <w:r w:rsidR="007F1A0F" w:rsidRPr="009008AC">
        <w:rPr>
          <w:rFonts w:ascii="Arial" w:hAnsi="Arial" w:cs="Arial"/>
        </w:rPr>
        <w:t>predictive accuracy of the GRS</w:t>
      </w:r>
      <w:r w:rsidR="0011688C" w:rsidRPr="009008AC">
        <w:rPr>
          <w:rFonts w:ascii="Arial" w:hAnsi="Arial" w:cs="Arial"/>
        </w:rPr>
        <w:t xml:space="preserve"> in</w:t>
      </w:r>
      <w:r w:rsidR="00FE6BFC" w:rsidRPr="009008AC">
        <w:rPr>
          <w:rFonts w:ascii="Arial" w:hAnsi="Arial" w:cs="Arial"/>
        </w:rPr>
        <w:t xml:space="preserve"> individuals with </w:t>
      </w:r>
      <w:r w:rsidR="00FE6BFC" w:rsidRPr="009008AC">
        <w:rPr>
          <w:rFonts w:ascii="Arial" w:hAnsi="Arial" w:cs="Arial"/>
        </w:rPr>
        <w:lastRenderedPageBreak/>
        <w:t>DS and facilitate comparison of the GRS’s performance in DS compared to in the typical population for which it was developed.</w:t>
      </w:r>
    </w:p>
    <w:p w14:paraId="6DACFFCB" w14:textId="77777777" w:rsidR="007F1A0F" w:rsidRPr="009008AC" w:rsidRDefault="007F1A0F" w:rsidP="00C87CCD">
      <w:pPr>
        <w:tabs>
          <w:tab w:val="num" w:pos="720"/>
        </w:tabs>
        <w:rPr>
          <w:rFonts w:ascii="Arial" w:hAnsi="Arial" w:cs="Arial"/>
        </w:rPr>
      </w:pPr>
    </w:p>
    <w:p w14:paraId="11E0CBB1" w14:textId="592E4194" w:rsidR="00FE6BFC" w:rsidRPr="009008AC" w:rsidRDefault="00FE6BFC" w:rsidP="00FE6BFC">
      <w:pPr>
        <w:tabs>
          <w:tab w:val="num" w:pos="720"/>
        </w:tabs>
        <w:rPr>
          <w:rFonts w:ascii="Arial" w:hAnsi="Arial" w:cs="Arial"/>
        </w:rPr>
      </w:pPr>
      <w:r w:rsidRPr="009008AC">
        <w:rPr>
          <w:rFonts w:ascii="Arial" w:hAnsi="Arial" w:cs="Arial"/>
        </w:rPr>
        <w:t xml:space="preserve">In addition to analyses of the GRS, we conducted variant-level analyses to identify whether any genetic predictor in the aggregate GRS was a significant independent predictor of CD in DS. For each HLA-DQ genotype </w:t>
      </w:r>
      <w:r w:rsidR="00B323AA" w:rsidRPr="009008AC">
        <w:rPr>
          <w:rFonts w:ascii="Arial" w:hAnsi="Arial" w:cs="Arial"/>
        </w:rPr>
        <w:t xml:space="preserve">or non-HLA-DQ SNP, </w:t>
      </w:r>
      <w:r w:rsidRPr="009008AC">
        <w:rPr>
          <w:rFonts w:ascii="Arial" w:hAnsi="Arial" w:cs="Arial"/>
        </w:rPr>
        <w:t>we fit a</w:t>
      </w:r>
      <w:r w:rsidR="00B323AA" w:rsidRPr="009008AC">
        <w:rPr>
          <w:rFonts w:ascii="Arial" w:hAnsi="Arial" w:cs="Arial"/>
        </w:rPr>
        <w:t xml:space="preserve"> separate</w:t>
      </w:r>
      <w:r w:rsidRPr="009008AC">
        <w:rPr>
          <w:rFonts w:ascii="Arial" w:hAnsi="Arial" w:cs="Arial"/>
        </w:rPr>
        <w:t xml:space="preserve"> logistic regression model for CD status versus the dosage of the</w:t>
      </w:r>
      <w:r w:rsidR="00B323AA" w:rsidRPr="009008AC">
        <w:rPr>
          <w:rFonts w:ascii="Arial" w:hAnsi="Arial" w:cs="Arial"/>
        </w:rPr>
        <w:t xml:space="preserve"> GRS predictor, with adjustment for</w:t>
      </w:r>
      <w:r w:rsidR="009C4FC6" w:rsidRPr="009008AC">
        <w:rPr>
          <w:rFonts w:ascii="Arial" w:hAnsi="Arial" w:cs="Arial"/>
        </w:rPr>
        <w:t xml:space="preserve"> the top</w:t>
      </w:r>
      <w:r w:rsidR="00B323AA" w:rsidRPr="009008AC">
        <w:rPr>
          <w:rFonts w:ascii="Arial" w:hAnsi="Arial" w:cs="Arial"/>
        </w:rPr>
        <w:t xml:space="preserve"> 5 PCs for ancestry. Possible dosage values for HLA-DQ genotypes were 0 or 1, while possible values of dosage for non-HLA-DQ SNPs were 0, 1, or 2. Following model fitting, we calculated adjusted p-values for variant dosage using the </w:t>
      </w:r>
      <w:proofErr w:type="spellStart"/>
      <w:r w:rsidR="00B323AA" w:rsidRPr="009008AC">
        <w:rPr>
          <w:rFonts w:ascii="Arial" w:hAnsi="Arial" w:cs="Arial"/>
        </w:rPr>
        <w:t>Benjamini</w:t>
      </w:r>
      <w:proofErr w:type="spellEnd"/>
      <w:r w:rsidR="00B323AA" w:rsidRPr="009008AC">
        <w:rPr>
          <w:rFonts w:ascii="Arial" w:hAnsi="Arial" w:cs="Arial"/>
        </w:rPr>
        <w:t xml:space="preserve"> and Hochberg method.</w:t>
      </w:r>
    </w:p>
    <w:p w14:paraId="5E969EAF" w14:textId="53528A32" w:rsidR="00424BD1" w:rsidRPr="009008AC" w:rsidRDefault="00424BD1" w:rsidP="00FE6BFC">
      <w:pPr>
        <w:tabs>
          <w:tab w:val="num" w:pos="720"/>
        </w:tabs>
        <w:rPr>
          <w:rFonts w:ascii="Arial" w:hAnsi="Arial" w:cs="Arial"/>
        </w:rPr>
      </w:pPr>
    </w:p>
    <w:p w14:paraId="208C8C37" w14:textId="19A394B0" w:rsidR="00424BD1" w:rsidRPr="009008AC" w:rsidRDefault="00884A1F" w:rsidP="00FE6BFC">
      <w:pPr>
        <w:tabs>
          <w:tab w:val="num" w:pos="720"/>
        </w:tabs>
        <w:rPr>
          <w:rFonts w:ascii="Arial" w:hAnsi="Arial" w:cs="Arial"/>
        </w:rPr>
      </w:pPr>
      <w:r w:rsidRPr="009008AC">
        <w:rPr>
          <w:rFonts w:ascii="Arial" w:hAnsi="Arial" w:cs="Arial"/>
        </w:rPr>
        <w:t xml:space="preserve">Lastly, </w:t>
      </w:r>
      <w:r w:rsidR="00424BD1" w:rsidRPr="009008AC">
        <w:rPr>
          <w:rFonts w:ascii="Arial" w:hAnsi="Arial" w:cs="Arial"/>
        </w:rPr>
        <w:t>we performed analyses of HLA-DQ allele group dosages</w:t>
      </w:r>
      <w:r w:rsidR="006B1B69" w:rsidRPr="009008AC">
        <w:rPr>
          <w:rFonts w:ascii="Arial" w:hAnsi="Arial" w:cs="Arial"/>
        </w:rPr>
        <w:t xml:space="preserve"> (2-digit HLA alleles)</w:t>
      </w:r>
      <w:r w:rsidR="00424BD1" w:rsidRPr="009008AC">
        <w:rPr>
          <w:rFonts w:ascii="Arial" w:hAnsi="Arial" w:cs="Arial"/>
        </w:rPr>
        <w:t>.</w:t>
      </w:r>
      <w:r w:rsidR="006B1B69" w:rsidRPr="009008AC">
        <w:rPr>
          <w:rFonts w:ascii="Arial" w:hAnsi="Arial" w:cs="Arial"/>
        </w:rPr>
        <w:t xml:space="preserve"> Whereas 4-digit HLA allele codes denote the specific protein encoded by the allele, 2-</w:t>
      </w:r>
      <w:r w:rsidR="006B1B69" w:rsidRPr="00D23D84">
        <w:rPr>
          <w:rFonts w:ascii="Arial" w:hAnsi="Arial" w:cs="Arial"/>
        </w:rPr>
        <w:t xml:space="preserve">digit HLA-DQ alleles groups typically correspond to a specific antigen </w:t>
      </w:r>
      <w:r w:rsidR="006B1B69" w:rsidRPr="009008AC">
        <w:rPr>
          <w:rFonts w:ascii="Arial" w:hAnsi="Arial" w:cs="Arial"/>
          <w:highlight w:val="yellow"/>
        </w:rPr>
        <w:t>(REF</w:t>
      </w:r>
      <w:r w:rsidR="00D23D84">
        <w:rPr>
          <w:rFonts w:ascii="Arial" w:hAnsi="Arial" w:cs="Arial"/>
          <w:highlight w:val="yellow"/>
        </w:rPr>
        <w:t xml:space="preserve"> – Kate Waugh?</w:t>
      </w:r>
      <w:r w:rsidR="006B1B69" w:rsidRPr="009008AC">
        <w:rPr>
          <w:rFonts w:ascii="Arial" w:hAnsi="Arial" w:cs="Arial"/>
          <w:highlight w:val="yellow"/>
        </w:rPr>
        <w:t>).</w:t>
      </w:r>
      <w:r w:rsidR="00424BD1" w:rsidRPr="009008AC">
        <w:rPr>
          <w:rFonts w:ascii="Arial" w:hAnsi="Arial" w:cs="Arial"/>
        </w:rPr>
        <w:t xml:space="preserve"> For each HLA-DQA1 and HLA-DQB1 allele observed in the HTP, we fit a separate logistic regression for Celiac status versus the dosage of </w:t>
      </w:r>
      <w:r w:rsidRPr="009008AC">
        <w:rPr>
          <w:rFonts w:ascii="Arial" w:hAnsi="Arial" w:cs="Arial"/>
        </w:rPr>
        <w:t xml:space="preserve">the </w:t>
      </w:r>
      <w:r w:rsidR="00424BD1" w:rsidRPr="009008AC">
        <w:rPr>
          <w:rFonts w:ascii="Arial" w:hAnsi="Arial" w:cs="Arial"/>
        </w:rPr>
        <w:t>two-digit allele group, again with adjustment for the top 5 PCs for ancestry.</w:t>
      </w:r>
      <w:r w:rsidRPr="009008AC">
        <w:rPr>
          <w:rFonts w:ascii="Arial" w:hAnsi="Arial" w:cs="Arial"/>
        </w:rPr>
        <w:t xml:space="preserve"> Given that some HLA-DQ alleles have been reported to have non-additive genetic associations, we also performed analyses of HLA-DQ allele group dosage as a categorical predictor with reference level of 1. Variants with a </w:t>
      </w:r>
      <w:proofErr w:type="gramStart"/>
      <w:r w:rsidRPr="009008AC">
        <w:rPr>
          <w:rFonts w:ascii="Arial" w:hAnsi="Arial" w:cs="Arial"/>
        </w:rPr>
        <w:t>significant associations of dosage</w:t>
      </w:r>
      <w:proofErr w:type="gramEnd"/>
      <w:r w:rsidRPr="009008AC">
        <w:rPr>
          <w:rFonts w:ascii="Arial" w:hAnsi="Arial" w:cs="Arial"/>
        </w:rPr>
        <w:t xml:space="preserve"> of 0 compared to 1</w:t>
      </w:r>
      <w:r w:rsidR="009008AC">
        <w:rPr>
          <w:rFonts w:ascii="Arial" w:hAnsi="Arial" w:cs="Arial"/>
        </w:rPr>
        <w:t>, but no significant association of dosage 2 compared to 1, were considered suggestive of a possible dominant mode of inheritance. Meanwhile, variants with a significant association of dosage 2 compared to 1, but no significant association of 0 compared to 1,</w:t>
      </w:r>
      <w:r w:rsidRPr="009008AC">
        <w:rPr>
          <w:rFonts w:ascii="Arial" w:hAnsi="Arial" w:cs="Arial"/>
        </w:rPr>
        <w:t xml:space="preserve"> were defined as suggestive of a </w:t>
      </w:r>
      <w:r w:rsidR="009008AC">
        <w:rPr>
          <w:rFonts w:ascii="Arial" w:hAnsi="Arial" w:cs="Arial"/>
        </w:rPr>
        <w:t xml:space="preserve">recessive mode of inheritance. Further research with larger sample sizes will be needed </w:t>
      </w:r>
      <w:r w:rsidR="00ED3CFD">
        <w:rPr>
          <w:rFonts w:ascii="Arial" w:hAnsi="Arial" w:cs="Arial"/>
        </w:rPr>
        <w:t>for conclusive findings regarding non-additive genetic associations of DQ allele groups in DS.</w:t>
      </w:r>
    </w:p>
    <w:p w14:paraId="7576FA8F" w14:textId="77777777" w:rsidR="00FE6BFC" w:rsidRPr="009008AC" w:rsidRDefault="00FE6BFC" w:rsidP="00C87CCD">
      <w:pPr>
        <w:tabs>
          <w:tab w:val="num" w:pos="720"/>
        </w:tabs>
        <w:rPr>
          <w:rFonts w:ascii="Arial" w:hAnsi="Arial" w:cs="Arial"/>
        </w:rPr>
      </w:pPr>
    </w:p>
    <w:p w14:paraId="65135B5B" w14:textId="77777777" w:rsidR="00220E5B" w:rsidRDefault="00220E5B">
      <w:pPr>
        <w:rPr>
          <w:rFonts w:ascii="Arial" w:hAnsi="Arial" w:cs="Arial"/>
          <w:b/>
          <w:bCs/>
        </w:rPr>
      </w:pPr>
    </w:p>
    <w:p w14:paraId="6F413515" w14:textId="77777777" w:rsidR="00220E5B" w:rsidRDefault="00220E5B">
      <w:pPr>
        <w:rPr>
          <w:rFonts w:ascii="Arial" w:hAnsi="Arial" w:cs="Arial"/>
          <w:b/>
          <w:bCs/>
        </w:rPr>
      </w:pPr>
    </w:p>
    <w:p w14:paraId="5F60052D" w14:textId="77777777" w:rsidR="00220E5B" w:rsidRDefault="00220E5B">
      <w:pPr>
        <w:rPr>
          <w:rFonts w:ascii="Arial" w:hAnsi="Arial" w:cs="Arial"/>
          <w:b/>
          <w:bCs/>
        </w:rPr>
      </w:pPr>
    </w:p>
    <w:p w14:paraId="5C2778FA" w14:textId="77777777" w:rsidR="00220E5B" w:rsidRDefault="00220E5B">
      <w:pPr>
        <w:rPr>
          <w:rFonts w:ascii="Arial" w:hAnsi="Arial" w:cs="Arial"/>
          <w:b/>
          <w:bCs/>
        </w:rPr>
      </w:pPr>
    </w:p>
    <w:p w14:paraId="7D4C8843" w14:textId="77777777" w:rsidR="00220E5B" w:rsidRDefault="00220E5B">
      <w:pPr>
        <w:rPr>
          <w:rFonts w:ascii="Arial" w:hAnsi="Arial" w:cs="Arial"/>
          <w:b/>
          <w:bCs/>
        </w:rPr>
      </w:pPr>
    </w:p>
    <w:p w14:paraId="35812701" w14:textId="77777777" w:rsidR="00220E5B" w:rsidRDefault="00220E5B">
      <w:pPr>
        <w:rPr>
          <w:rFonts w:ascii="Arial" w:hAnsi="Arial" w:cs="Arial"/>
          <w:b/>
          <w:bCs/>
        </w:rPr>
      </w:pPr>
    </w:p>
    <w:p w14:paraId="52733663" w14:textId="77777777" w:rsidR="00220E5B" w:rsidRDefault="00220E5B">
      <w:pPr>
        <w:rPr>
          <w:rFonts w:ascii="Arial" w:hAnsi="Arial" w:cs="Arial"/>
          <w:b/>
          <w:bCs/>
        </w:rPr>
      </w:pPr>
    </w:p>
    <w:p w14:paraId="29813BBA" w14:textId="77777777" w:rsidR="00220E5B" w:rsidRDefault="00220E5B">
      <w:pPr>
        <w:rPr>
          <w:rFonts w:ascii="Arial" w:hAnsi="Arial" w:cs="Arial"/>
          <w:b/>
          <w:bCs/>
        </w:rPr>
      </w:pPr>
    </w:p>
    <w:p w14:paraId="082A9868" w14:textId="77777777" w:rsidR="00220E5B" w:rsidRDefault="00220E5B">
      <w:pPr>
        <w:rPr>
          <w:rFonts w:ascii="Arial" w:hAnsi="Arial" w:cs="Arial"/>
          <w:b/>
          <w:bCs/>
        </w:rPr>
      </w:pPr>
    </w:p>
    <w:p w14:paraId="6BA5C998" w14:textId="77777777" w:rsidR="00220E5B" w:rsidRDefault="00220E5B">
      <w:pPr>
        <w:rPr>
          <w:rFonts w:ascii="Arial" w:hAnsi="Arial" w:cs="Arial"/>
          <w:b/>
          <w:bCs/>
        </w:rPr>
      </w:pPr>
    </w:p>
    <w:p w14:paraId="25284029" w14:textId="77777777" w:rsidR="00220E5B" w:rsidRDefault="00220E5B">
      <w:pPr>
        <w:rPr>
          <w:rFonts w:ascii="Arial" w:hAnsi="Arial" w:cs="Arial"/>
          <w:b/>
          <w:bCs/>
        </w:rPr>
      </w:pPr>
    </w:p>
    <w:p w14:paraId="6319CC72" w14:textId="77777777" w:rsidR="00220E5B" w:rsidRDefault="00220E5B">
      <w:pPr>
        <w:rPr>
          <w:rFonts w:ascii="Arial" w:hAnsi="Arial" w:cs="Arial"/>
          <w:b/>
          <w:bCs/>
        </w:rPr>
      </w:pPr>
    </w:p>
    <w:p w14:paraId="78D145CE" w14:textId="77777777" w:rsidR="00220E5B" w:rsidRDefault="00220E5B">
      <w:pPr>
        <w:rPr>
          <w:rFonts w:ascii="Arial" w:hAnsi="Arial" w:cs="Arial"/>
          <w:b/>
          <w:bCs/>
        </w:rPr>
      </w:pPr>
    </w:p>
    <w:p w14:paraId="50B52B48" w14:textId="77777777" w:rsidR="00220E5B" w:rsidRDefault="00220E5B">
      <w:pPr>
        <w:rPr>
          <w:rFonts w:ascii="Arial" w:hAnsi="Arial" w:cs="Arial"/>
          <w:b/>
          <w:bCs/>
        </w:rPr>
      </w:pPr>
    </w:p>
    <w:p w14:paraId="28D3A3FE" w14:textId="77777777" w:rsidR="00220E5B" w:rsidRDefault="00220E5B">
      <w:pPr>
        <w:rPr>
          <w:rFonts w:ascii="Arial" w:hAnsi="Arial" w:cs="Arial"/>
          <w:b/>
          <w:bCs/>
        </w:rPr>
      </w:pPr>
    </w:p>
    <w:p w14:paraId="7244AFF1" w14:textId="77777777" w:rsidR="00220E5B" w:rsidRDefault="00220E5B">
      <w:pPr>
        <w:rPr>
          <w:rFonts w:ascii="Arial" w:hAnsi="Arial" w:cs="Arial"/>
          <w:b/>
          <w:bCs/>
        </w:rPr>
      </w:pPr>
    </w:p>
    <w:p w14:paraId="436FD972" w14:textId="77777777" w:rsidR="00220E5B" w:rsidRDefault="00220E5B">
      <w:pPr>
        <w:rPr>
          <w:rFonts w:ascii="Arial" w:hAnsi="Arial" w:cs="Arial"/>
          <w:b/>
          <w:bCs/>
        </w:rPr>
      </w:pPr>
    </w:p>
    <w:p w14:paraId="52F5691B" w14:textId="77777777" w:rsidR="00220E5B" w:rsidRDefault="00220E5B">
      <w:pPr>
        <w:rPr>
          <w:rFonts w:ascii="Arial" w:hAnsi="Arial" w:cs="Arial"/>
          <w:b/>
          <w:bCs/>
        </w:rPr>
      </w:pPr>
    </w:p>
    <w:p w14:paraId="6B7CCDFF" w14:textId="34F5C0E2" w:rsidR="00D23D84" w:rsidRPr="002F31E5" w:rsidRDefault="002F31E5">
      <w:pPr>
        <w:rPr>
          <w:rFonts w:ascii="Arial" w:hAnsi="Arial" w:cs="Arial"/>
          <w:b/>
          <w:bCs/>
        </w:rPr>
      </w:pPr>
      <w:r w:rsidRPr="002F31E5">
        <w:rPr>
          <w:rFonts w:ascii="Arial" w:hAnsi="Arial" w:cs="Arial"/>
          <w:b/>
          <w:bCs/>
        </w:rPr>
        <w:lastRenderedPageBreak/>
        <w:t>References</w:t>
      </w:r>
    </w:p>
    <w:p w14:paraId="45A2F4DF" w14:textId="77777777" w:rsidR="002F31E5" w:rsidRDefault="002F31E5">
      <w:pPr>
        <w:rPr>
          <w:rFonts w:ascii="Arial" w:hAnsi="Arial" w:cs="Arial"/>
        </w:rPr>
      </w:pPr>
    </w:p>
    <w:p w14:paraId="3D045C39" w14:textId="03DC360D" w:rsidR="00D23D84" w:rsidRPr="00D23D84" w:rsidRDefault="00D23D84" w:rsidP="00D23D84">
      <w:pPr>
        <w:rPr>
          <w:rFonts w:ascii="Arial" w:hAnsi="Arial" w:cs="Arial"/>
        </w:rPr>
      </w:pPr>
      <w:r w:rsidRPr="00D23D84">
        <w:rPr>
          <w:rFonts w:ascii="Arial" w:hAnsi="Arial" w:cs="Arial"/>
          <w:i/>
          <w:iCs/>
        </w:rPr>
        <w:t>MHC Region of the Human Genome - Genome Reference Consortium</w:t>
      </w:r>
      <w:r w:rsidRPr="00D23D84">
        <w:rPr>
          <w:rFonts w:ascii="Arial" w:hAnsi="Arial" w:cs="Arial"/>
        </w:rPr>
        <w:t>. https://www.ncbi.nlm.nih.gov/grc/human/regions/MHC?asm=GRCh37. Accessed 24 Feb. 2022.</w:t>
      </w:r>
    </w:p>
    <w:p w14:paraId="02F17D24" w14:textId="77777777" w:rsidR="002F31E5" w:rsidRDefault="002F31E5" w:rsidP="00D23D84">
      <w:pPr>
        <w:rPr>
          <w:rFonts w:ascii="Arial" w:hAnsi="Arial" w:cs="Arial"/>
        </w:rPr>
      </w:pPr>
    </w:p>
    <w:p w14:paraId="6B52D2F1" w14:textId="60039098" w:rsidR="00D23D84" w:rsidRPr="00D23D84" w:rsidRDefault="00D23D84" w:rsidP="00D23D84">
      <w:pPr>
        <w:rPr>
          <w:rFonts w:ascii="Arial" w:hAnsi="Arial" w:cs="Arial"/>
        </w:rPr>
      </w:pPr>
      <w:r w:rsidRPr="00D23D84">
        <w:rPr>
          <w:rFonts w:ascii="Arial" w:hAnsi="Arial" w:cs="Arial"/>
        </w:rPr>
        <w:t>Krebs, Kristi, et al. “Genome-Wide Study Identifies Association between HLA-B</w:t>
      </w:r>
      <w:r w:rsidRPr="00D23D84">
        <w:rPr>
          <w:rFonts w:ascii="Cambria Math" w:hAnsi="Cambria Math" w:cs="Cambria Math"/>
        </w:rPr>
        <w:t>∗</w:t>
      </w:r>
      <w:r w:rsidRPr="00D23D84">
        <w:rPr>
          <w:rFonts w:ascii="Arial" w:hAnsi="Arial" w:cs="Arial"/>
        </w:rPr>
        <w:t>55:01 and Self-Reported Penicillin Allergy.” </w:t>
      </w:r>
      <w:r w:rsidRPr="00D23D84">
        <w:rPr>
          <w:rFonts w:ascii="Arial" w:hAnsi="Arial" w:cs="Arial"/>
          <w:i/>
          <w:iCs/>
        </w:rPr>
        <w:t>American Journal of Human Genetics</w:t>
      </w:r>
      <w:r w:rsidRPr="00D23D84">
        <w:rPr>
          <w:rFonts w:ascii="Arial" w:hAnsi="Arial" w:cs="Arial"/>
        </w:rPr>
        <w:t>, vol. 107, no. 4, Oct. 2020, pp. 612–21. </w:t>
      </w:r>
      <w:r w:rsidRPr="00D23D84">
        <w:rPr>
          <w:rFonts w:ascii="Arial" w:hAnsi="Arial" w:cs="Arial"/>
          <w:i/>
          <w:iCs/>
        </w:rPr>
        <w:t>PubMed</w:t>
      </w:r>
      <w:r w:rsidRPr="00D23D84">
        <w:rPr>
          <w:rFonts w:ascii="Arial" w:hAnsi="Arial" w:cs="Arial"/>
        </w:rPr>
        <w:t xml:space="preserve">, </w:t>
      </w:r>
      <w:hyperlink r:id="rId5" w:history="1">
        <w:r w:rsidRPr="00D23D84">
          <w:rPr>
            <w:rStyle w:val="Hyperlink"/>
            <w:rFonts w:ascii="Arial" w:hAnsi="Arial" w:cs="Arial"/>
          </w:rPr>
          <w:t>https://doi.org/10.1016/j.ajhg.2020.08.008</w:t>
        </w:r>
      </w:hyperlink>
      <w:r w:rsidRPr="00D23D84">
        <w:rPr>
          <w:rFonts w:ascii="Arial" w:hAnsi="Arial" w:cs="Arial"/>
        </w:rPr>
        <w:t>.</w:t>
      </w:r>
    </w:p>
    <w:p w14:paraId="395DEBF1" w14:textId="77777777" w:rsidR="002F31E5" w:rsidRDefault="002F31E5" w:rsidP="00D23D84">
      <w:pPr>
        <w:rPr>
          <w:rFonts w:ascii="Arial" w:hAnsi="Arial" w:cs="Arial"/>
        </w:rPr>
      </w:pPr>
    </w:p>
    <w:p w14:paraId="63735864" w14:textId="1C6A901E" w:rsidR="00D23D84" w:rsidRPr="00D23D84" w:rsidRDefault="00D23D84" w:rsidP="00D23D84">
      <w:pPr>
        <w:rPr>
          <w:rFonts w:ascii="Arial" w:hAnsi="Arial" w:cs="Arial"/>
        </w:rPr>
      </w:pPr>
      <w:r w:rsidRPr="00D23D84">
        <w:rPr>
          <w:rFonts w:ascii="Arial" w:hAnsi="Arial" w:cs="Arial"/>
        </w:rPr>
        <w:t xml:space="preserve">Lam, </w:t>
      </w:r>
      <w:proofErr w:type="spellStart"/>
      <w:r w:rsidRPr="00D23D84">
        <w:rPr>
          <w:rFonts w:ascii="Arial" w:hAnsi="Arial" w:cs="Arial"/>
        </w:rPr>
        <w:t>Tze</w:t>
      </w:r>
      <w:proofErr w:type="spellEnd"/>
      <w:r w:rsidRPr="00D23D84">
        <w:rPr>
          <w:rFonts w:ascii="Arial" w:hAnsi="Arial" w:cs="Arial"/>
        </w:rPr>
        <w:t xml:space="preserve"> </w:t>
      </w:r>
      <w:proofErr w:type="spellStart"/>
      <w:r w:rsidRPr="00D23D84">
        <w:rPr>
          <w:rFonts w:ascii="Arial" w:hAnsi="Arial" w:cs="Arial"/>
        </w:rPr>
        <w:t>Hau</w:t>
      </w:r>
      <w:proofErr w:type="spellEnd"/>
      <w:r w:rsidRPr="00D23D84">
        <w:rPr>
          <w:rFonts w:ascii="Arial" w:hAnsi="Arial" w:cs="Arial"/>
        </w:rPr>
        <w:t>, et al. “</w:t>
      </w:r>
      <w:proofErr w:type="spellStart"/>
      <w:r w:rsidRPr="00D23D84">
        <w:rPr>
          <w:rFonts w:ascii="Arial" w:hAnsi="Arial" w:cs="Arial"/>
        </w:rPr>
        <w:t>Intrahaplotypic</w:t>
      </w:r>
      <w:proofErr w:type="spellEnd"/>
      <w:r w:rsidRPr="00D23D84">
        <w:rPr>
          <w:rFonts w:ascii="Arial" w:hAnsi="Arial" w:cs="Arial"/>
        </w:rPr>
        <w:t xml:space="preserve"> Variants Differentiate Complex Linkage Disequilibrium within Human MHC Haplotypes.” Scientific Reports, vol. 5, no. 1, Nov. 2015, p. 16972. www.nature.com, </w:t>
      </w:r>
      <w:hyperlink r:id="rId6" w:history="1">
        <w:r w:rsidRPr="00D23D84">
          <w:rPr>
            <w:rStyle w:val="Hyperlink"/>
            <w:rFonts w:ascii="Arial" w:hAnsi="Arial" w:cs="Arial"/>
          </w:rPr>
          <w:t>https://doi.org/10.1038/srep16972</w:t>
        </w:r>
      </w:hyperlink>
      <w:r w:rsidRPr="00D23D84">
        <w:rPr>
          <w:rFonts w:ascii="Arial" w:hAnsi="Arial" w:cs="Arial"/>
        </w:rPr>
        <w:t>.</w:t>
      </w:r>
    </w:p>
    <w:p w14:paraId="6B25DE82" w14:textId="77777777" w:rsidR="002F31E5" w:rsidRDefault="002F31E5" w:rsidP="00D23D84">
      <w:pPr>
        <w:rPr>
          <w:rFonts w:ascii="Arial" w:hAnsi="Arial" w:cs="Arial"/>
        </w:rPr>
      </w:pPr>
    </w:p>
    <w:p w14:paraId="5B12E372" w14:textId="46F590B3" w:rsidR="00D23D84" w:rsidRPr="00D23D84" w:rsidRDefault="00D23D84" w:rsidP="00D23D84">
      <w:pPr>
        <w:rPr>
          <w:rFonts w:ascii="Arial" w:hAnsi="Arial" w:cs="Arial"/>
        </w:rPr>
      </w:pPr>
      <w:r w:rsidRPr="00D23D84">
        <w:rPr>
          <w:rFonts w:ascii="Arial" w:hAnsi="Arial" w:cs="Arial"/>
        </w:rPr>
        <w:t xml:space="preserve">de Bakker, P. I. W. et al. A high-resolution HLA and SNP haplotype map for disease association studies in the extended human MHC. Nat Genet 38, 1166–1172, </w:t>
      </w:r>
      <w:proofErr w:type="spellStart"/>
      <w:r w:rsidRPr="00D23D84">
        <w:rPr>
          <w:rFonts w:ascii="Arial" w:hAnsi="Arial" w:cs="Arial"/>
        </w:rPr>
        <w:t>doi</w:t>
      </w:r>
      <w:proofErr w:type="spellEnd"/>
      <w:r w:rsidRPr="00D23D84">
        <w:rPr>
          <w:rFonts w:ascii="Arial" w:hAnsi="Arial" w:cs="Arial"/>
        </w:rPr>
        <w:t>: 10.1038/ng1885 (2006).</w:t>
      </w:r>
    </w:p>
    <w:p w14:paraId="157DC8A9" w14:textId="77777777" w:rsidR="002F31E5" w:rsidRDefault="002F31E5" w:rsidP="00D23D84">
      <w:pPr>
        <w:rPr>
          <w:rFonts w:ascii="Arial" w:hAnsi="Arial" w:cs="Arial"/>
        </w:rPr>
      </w:pPr>
    </w:p>
    <w:p w14:paraId="7EAC7490" w14:textId="04AA54A4" w:rsidR="00D23D84" w:rsidRPr="00D23D84" w:rsidRDefault="00D23D84" w:rsidP="00D23D84">
      <w:pPr>
        <w:rPr>
          <w:rFonts w:ascii="Arial" w:hAnsi="Arial" w:cs="Arial"/>
        </w:rPr>
      </w:pPr>
      <w:r w:rsidRPr="00D23D84">
        <w:rPr>
          <w:rFonts w:ascii="Arial" w:hAnsi="Arial" w:cs="Arial"/>
        </w:rPr>
        <w:t xml:space="preserve">Lam, T. H., Shen, M., Chia, J. M., Chan, S. H. &amp; Ren, E. C. Population-specific recombination sites within the human MHC region. Heredity, </w:t>
      </w:r>
      <w:proofErr w:type="spellStart"/>
      <w:r w:rsidRPr="00D23D84">
        <w:rPr>
          <w:rFonts w:ascii="Arial" w:hAnsi="Arial" w:cs="Arial"/>
        </w:rPr>
        <w:t>doi</w:t>
      </w:r>
      <w:proofErr w:type="spellEnd"/>
      <w:r w:rsidRPr="00D23D84">
        <w:rPr>
          <w:rFonts w:ascii="Arial" w:hAnsi="Arial" w:cs="Arial"/>
        </w:rPr>
        <w:t>: 10.1038/hdy.2013.27 (2013).</w:t>
      </w:r>
    </w:p>
    <w:p w14:paraId="6B219177" w14:textId="09C5CD2F" w:rsidR="00D86B53" w:rsidRDefault="00D86B53">
      <w:pPr>
        <w:rPr>
          <w:rFonts w:ascii="Arial" w:hAnsi="Arial" w:cs="Arial"/>
        </w:rPr>
      </w:pPr>
    </w:p>
    <w:p w14:paraId="2E4CD1AB" w14:textId="77777777" w:rsidR="002F31E5" w:rsidRDefault="00D23D84" w:rsidP="00D23D84">
      <w:pPr>
        <w:rPr>
          <w:rFonts w:ascii="Arial" w:hAnsi="Arial" w:cs="Arial"/>
        </w:rPr>
      </w:pPr>
      <w:r w:rsidRPr="002F31E5">
        <w:rPr>
          <w:rFonts w:ascii="Arial" w:hAnsi="Arial" w:cs="Arial"/>
        </w:rPr>
        <w:t>Data Preparation - Michigan Imputation Server. https://imputationserver.readthedocs.io/en/latest/prepare-your-data/. Accessed 29 Apr. 2022.</w:t>
      </w:r>
    </w:p>
    <w:p w14:paraId="2B0FBBF3" w14:textId="77777777" w:rsidR="002F31E5" w:rsidRDefault="002F31E5" w:rsidP="00D23D84">
      <w:pPr>
        <w:rPr>
          <w:rFonts w:ascii="Arial" w:hAnsi="Arial" w:cs="Arial"/>
        </w:rPr>
      </w:pPr>
    </w:p>
    <w:p w14:paraId="29DB9D63" w14:textId="5414550D" w:rsidR="00D23D84" w:rsidRPr="002F31E5" w:rsidRDefault="00D23D84" w:rsidP="00D23D84">
      <w:pPr>
        <w:rPr>
          <w:rFonts w:ascii="Arial" w:hAnsi="Arial" w:cs="Arial"/>
        </w:rPr>
      </w:pPr>
      <w:r w:rsidRPr="002F31E5">
        <w:rPr>
          <w:rFonts w:ascii="Arial" w:hAnsi="Arial" w:cs="Arial"/>
        </w:rPr>
        <w:t xml:space="preserve">Rayner, William et al. </w:t>
      </w:r>
      <w:r w:rsidRPr="002F31E5">
        <w:rPr>
          <w:rFonts w:ascii="Arial" w:hAnsi="Arial" w:cs="Arial"/>
        </w:rPr>
        <w:t>Strand Home. https://www.well.ox.ac.uk/~wrayner/strand/. Accessed 29 Apr. 2022.</w:t>
      </w:r>
    </w:p>
    <w:p w14:paraId="24F17484" w14:textId="77777777" w:rsidR="00D23D84" w:rsidRDefault="00D23D84" w:rsidP="00D23D84">
      <w:pPr>
        <w:rPr>
          <w:rFonts w:ascii="Arial" w:hAnsi="Arial" w:cs="Arial"/>
        </w:rPr>
      </w:pPr>
    </w:p>
    <w:p w14:paraId="011B5096" w14:textId="77777777" w:rsidR="00B3745C" w:rsidRPr="00B3745C" w:rsidRDefault="00B3745C" w:rsidP="00B3745C">
      <w:pPr>
        <w:rPr>
          <w:rFonts w:ascii="Arial" w:hAnsi="Arial" w:cs="Arial"/>
        </w:rPr>
      </w:pPr>
      <w:r w:rsidRPr="00B3745C">
        <w:rPr>
          <w:rFonts w:ascii="Arial" w:hAnsi="Arial" w:cs="Arial"/>
        </w:rPr>
        <w:t>Bajaj, Deepak, et al. “A Combinatorial Approach of Comprehensive QTL-Based Comparative Genome Mapping and Transcript Profiling Identified a Seed Weight-Regulating Candidate Gene in Chickpea.” </w:t>
      </w:r>
      <w:r w:rsidRPr="00B3745C">
        <w:rPr>
          <w:rFonts w:ascii="Arial" w:hAnsi="Arial" w:cs="Arial"/>
          <w:i/>
          <w:iCs/>
        </w:rPr>
        <w:t>Scientific Reports</w:t>
      </w:r>
      <w:r w:rsidRPr="00B3745C">
        <w:rPr>
          <w:rFonts w:ascii="Arial" w:hAnsi="Arial" w:cs="Arial"/>
        </w:rPr>
        <w:t>, vol. 5, no. 1, Mar. 2015, p. 9264. </w:t>
      </w:r>
      <w:r w:rsidRPr="00B3745C">
        <w:rPr>
          <w:rFonts w:ascii="Arial" w:hAnsi="Arial" w:cs="Arial"/>
          <w:i/>
          <w:iCs/>
        </w:rPr>
        <w:t>www.nature.com</w:t>
      </w:r>
      <w:r w:rsidRPr="00B3745C">
        <w:rPr>
          <w:rFonts w:ascii="Arial" w:hAnsi="Arial" w:cs="Arial"/>
        </w:rPr>
        <w:t>, https://doi.org/10.1038/srep09264.</w:t>
      </w:r>
    </w:p>
    <w:p w14:paraId="045D44AB" w14:textId="1B1F4D74" w:rsidR="00D23D84" w:rsidRDefault="00D23D84">
      <w:pPr>
        <w:rPr>
          <w:rFonts w:ascii="Arial" w:hAnsi="Arial" w:cs="Arial"/>
        </w:rPr>
      </w:pPr>
    </w:p>
    <w:p w14:paraId="7F8C360C" w14:textId="118E308B" w:rsidR="00076003" w:rsidRDefault="00076003">
      <w:pPr>
        <w:rPr>
          <w:rFonts w:ascii="Arial" w:hAnsi="Arial" w:cs="Arial"/>
        </w:rPr>
      </w:pPr>
      <w:hyperlink r:id="rId7" w:history="1">
        <w:r w:rsidRPr="00583DDE">
          <w:rPr>
            <w:rStyle w:val="Hyperlink"/>
            <w:rFonts w:ascii="Arial" w:hAnsi="Arial" w:cs="Arial"/>
          </w:rPr>
          <w:t>https://webdata.illumina.com/downloads/productfiles/multiethnic-global-8/v1-0/infinium-multi-ethnic-global-8-d1-csv.zip</w:t>
        </w:r>
      </w:hyperlink>
    </w:p>
    <w:p w14:paraId="02725DA6" w14:textId="77777777" w:rsidR="00076003" w:rsidRDefault="00076003">
      <w:pPr>
        <w:rPr>
          <w:rFonts w:ascii="Arial" w:hAnsi="Arial" w:cs="Arial"/>
        </w:rPr>
      </w:pPr>
    </w:p>
    <w:p w14:paraId="0547E4B2" w14:textId="498C93AA" w:rsidR="00076003" w:rsidRPr="009008AC" w:rsidRDefault="00076003">
      <w:pPr>
        <w:rPr>
          <w:rFonts w:ascii="Arial" w:hAnsi="Arial" w:cs="Arial"/>
        </w:rPr>
      </w:pPr>
      <w:hyperlink r:id="rId8" w:history="1">
        <w:r w:rsidRPr="00583DDE">
          <w:rPr>
            <w:rStyle w:val="Hyperlink"/>
            <w:rFonts w:ascii="Arial" w:hAnsi="Arial" w:cs="Arial"/>
          </w:rPr>
          <w:t>https://webdata.illumina.com/downloads/productfiles/multiethnic-global-8/v1-0/multi-ethnic-global-8-d1-strand-report.zip</w:t>
        </w:r>
      </w:hyperlink>
      <w:r>
        <w:rPr>
          <w:rFonts w:ascii="Arial" w:hAnsi="Arial" w:cs="Arial"/>
        </w:rPr>
        <w:t xml:space="preserve"> </w:t>
      </w:r>
    </w:p>
    <w:sectPr w:rsidR="00076003" w:rsidRPr="009008AC" w:rsidSect="00941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B054B"/>
    <w:multiLevelType w:val="hybridMultilevel"/>
    <w:tmpl w:val="5B0A1068"/>
    <w:lvl w:ilvl="0" w:tplc="A44A3228">
      <w:start w:val="1"/>
      <w:numFmt w:val="bullet"/>
      <w:lvlText w:val="•"/>
      <w:lvlJc w:val="left"/>
      <w:pPr>
        <w:tabs>
          <w:tab w:val="num" w:pos="720"/>
        </w:tabs>
        <w:ind w:left="720" w:hanging="360"/>
      </w:pPr>
      <w:rPr>
        <w:rFonts w:ascii="Arial" w:hAnsi="Arial" w:hint="default"/>
      </w:rPr>
    </w:lvl>
    <w:lvl w:ilvl="1" w:tplc="7AB295D2" w:tentative="1">
      <w:start w:val="1"/>
      <w:numFmt w:val="bullet"/>
      <w:lvlText w:val="•"/>
      <w:lvlJc w:val="left"/>
      <w:pPr>
        <w:tabs>
          <w:tab w:val="num" w:pos="1440"/>
        </w:tabs>
        <w:ind w:left="1440" w:hanging="360"/>
      </w:pPr>
      <w:rPr>
        <w:rFonts w:ascii="Arial" w:hAnsi="Arial" w:hint="default"/>
      </w:rPr>
    </w:lvl>
    <w:lvl w:ilvl="2" w:tplc="27F2DB2A" w:tentative="1">
      <w:start w:val="1"/>
      <w:numFmt w:val="bullet"/>
      <w:lvlText w:val="•"/>
      <w:lvlJc w:val="left"/>
      <w:pPr>
        <w:tabs>
          <w:tab w:val="num" w:pos="2160"/>
        </w:tabs>
        <w:ind w:left="2160" w:hanging="360"/>
      </w:pPr>
      <w:rPr>
        <w:rFonts w:ascii="Arial" w:hAnsi="Arial" w:hint="default"/>
      </w:rPr>
    </w:lvl>
    <w:lvl w:ilvl="3" w:tplc="827EA22E" w:tentative="1">
      <w:start w:val="1"/>
      <w:numFmt w:val="bullet"/>
      <w:lvlText w:val="•"/>
      <w:lvlJc w:val="left"/>
      <w:pPr>
        <w:tabs>
          <w:tab w:val="num" w:pos="2880"/>
        </w:tabs>
        <w:ind w:left="2880" w:hanging="360"/>
      </w:pPr>
      <w:rPr>
        <w:rFonts w:ascii="Arial" w:hAnsi="Arial" w:hint="default"/>
      </w:rPr>
    </w:lvl>
    <w:lvl w:ilvl="4" w:tplc="2DAA2206" w:tentative="1">
      <w:start w:val="1"/>
      <w:numFmt w:val="bullet"/>
      <w:lvlText w:val="•"/>
      <w:lvlJc w:val="left"/>
      <w:pPr>
        <w:tabs>
          <w:tab w:val="num" w:pos="3600"/>
        </w:tabs>
        <w:ind w:left="3600" w:hanging="360"/>
      </w:pPr>
      <w:rPr>
        <w:rFonts w:ascii="Arial" w:hAnsi="Arial" w:hint="default"/>
      </w:rPr>
    </w:lvl>
    <w:lvl w:ilvl="5" w:tplc="CAF49DE4" w:tentative="1">
      <w:start w:val="1"/>
      <w:numFmt w:val="bullet"/>
      <w:lvlText w:val="•"/>
      <w:lvlJc w:val="left"/>
      <w:pPr>
        <w:tabs>
          <w:tab w:val="num" w:pos="4320"/>
        </w:tabs>
        <w:ind w:left="4320" w:hanging="360"/>
      </w:pPr>
      <w:rPr>
        <w:rFonts w:ascii="Arial" w:hAnsi="Arial" w:hint="default"/>
      </w:rPr>
    </w:lvl>
    <w:lvl w:ilvl="6" w:tplc="DE2AA9A4" w:tentative="1">
      <w:start w:val="1"/>
      <w:numFmt w:val="bullet"/>
      <w:lvlText w:val="•"/>
      <w:lvlJc w:val="left"/>
      <w:pPr>
        <w:tabs>
          <w:tab w:val="num" w:pos="5040"/>
        </w:tabs>
        <w:ind w:left="5040" w:hanging="360"/>
      </w:pPr>
      <w:rPr>
        <w:rFonts w:ascii="Arial" w:hAnsi="Arial" w:hint="default"/>
      </w:rPr>
    </w:lvl>
    <w:lvl w:ilvl="7" w:tplc="77766ED4" w:tentative="1">
      <w:start w:val="1"/>
      <w:numFmt w:val="bullet"/>
      <w:lvlText w:val="•"/>
      <w:lvlJc w:val="left"/>
      <w:pPr>
        <w:tabs>
          <w:tab w:val="num" w:pos="5760"/>
        </w:tabs>
        <w:ind w:left="5760" w:hanging="360"/>
      </w:pPr>
      <w:rPr>
        <w:rFonts w:ascii="Arial" w:hAnsi="Arial" w:hint="default"/>
      </w:rPr>
    </w:lvl>
    <w:lvl w:ilvl="8" w:tplc="28140E48" w:tentative="1">
      <w:start w:val="1"/>
      <w:numFmt w:val="bullet"/>
      <w:lvlText w:val="•"/>
      <w:lvlJc w:val="left"/>
      <w:pPr>
        <w:tabs>
          <w:tab w:val="num" w:pos="6480"/>
        </w:tabs>
        <w:ind w:left="6480" w:hanging="360"/>
      </w:pPr>
      <w:rPr>
        <w:rFonts w:ascii="Arial" w:hAnsi="Arial" w:hint="default"/>
      </w:rPr>
    </w:lvl>
  </w:abstractNum>
  <w:num w:numId="1" w16cid:durableId="179759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A8"/>
    <w:rsid w:val="00076003"/>
    <w:rsid w:val="00077EC1"/>
    <w:rsid w:val="00104E54"/>
    <w:rsid w:val="0011688C"/>
    <w:rsid w:val="00157FA8"/>
    <w:rsid w:val="00175796"/>
    <w:rsid w:val="001F015F"/>
    <w:rsid w:val="00220E5B"/>
    <w:rsid w:val="002B3CF4"/>
    <w:rsid w:val="002C476B"/>
    <w:rsid w:val="002D67AE"/>
    <w:rsid w:val="002F31E5"/>
    <w:rsid w:val="00364787"/>
    <w:rsid w:val="00372DB3"/>
    <w:rsid w:val="00382B8E"/>
    <w:rsid w:val="00424BD1"/>
    <w:rsid w:val="004C66CC"/>
    <w:rsid w:val="0059439A"/>
    <w:rsid w:val="006B1B69"/>
    <w:rsid w:val="007D7655"/>
    <w:rsid w:val="007F1A0F"/>
    <w:rsid w:val="008277FD"/>
    <w:rsid w:val="00884A1F"/>
    <w:rsid w:val="009008AC"/>
    <w:rsid w:val="00941625"/>
    <w:rsid w:val="009A15A8"/>
    <w:rsid w:val="009C4FC6"/>
    <w:rsid w:val="00B323AA"/>
    <w:rsid w:val="00B3745C"/>
    <w:rsid w:val="00C4663F"/>
    <w:rsid w:val="00C87CCD"/>
    <w:rsid w:val="00CC5356"/>
    <w:rsid w:val="00D23D84"/>
    <w:rsid w:val="00D86B53"/>
    <w:rsid w:val="00ED3CFD"/>
    <w:rsid w:val="00FA3243"/>
    <w:rsid w:val="00FE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207A"/>
  <w15:chartTrackingRefBased/>
  <w15:docId w15:val="{C022E423-DBCD-5247-B0C4-9CD6F4B4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D8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3D84"/>
    <w:rPr>
      <w:color w:val="0563C1" w:themeColor="hyperlink"/>
      <w:u w:val="single"/>
    </w:rPr>
  </w:style>
  <w:style w:type="character" w:styleId="UnresolvedMention">
    <w:name w:val="Unresolved Mention"/>
    <w:basedOn w:val="DefaultParagraphFont"/>
    <w:uiPriority w:val="99"/>
    <w:semiHidden/>
    <w:unhideWhenUsed/>
    <w:rsid w:val="00D23D84"/>
    <w:rPr>
      <w:color w:val="605E5C"/>
      <w:shd w:val="clear" w:color="auto" w:fill="E1DFDD"/>
    </w:rPr>
  </w:style>
  <w:style w:type="character" w:styleId="PlaceholderText">
    <w:name w:val="Placeholder Text"/>
    <w:basedOn w:val="DefaultParagraphFont"/>
    <w:uiPriority w:val="99"/>
    <w:semiHidden/>
    <w:rsid w:val="00B374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2213">
      <w:bodyDiv w:val="1"/>
      <w:marLeft w:val="0"/>
      <w:marRight w:val="0"/>
      <w:marTop w:val="0"/>
      <w:marBottom w:val="0"/>
      <w:divBdr>
        <w:top w:val="none" w:sz="0" w:space="0" w:color="auto"/>
        <w:left w:val="none" w:sz="0" w:space="0" w:color="auto"/>
        <w:bottom w:val="none" w:sz="0" w:space="0" w:color="auto"/>
        <w:right w:val="none" w:sz="0" w:space="0" w:color="auto"/>
      </w:divBdr>
    </w:div>
    <w:div w:id="522524936">
      <w:bodyDiv w:val="1"/>
      <w:marLeft w:val="0"/>
      <w:marRight w:val="0"/>
      <w:marTop w:val="0"/>
      <w:marBottom w:val="0"/>
      <w:divBdr>
        <w:top w:val="none" w:sz="0" w:space="0" w:color="auto"/>
        <w:left w:val="none" w:sz="0" w:space="0" w:color="auto"/>
        <w:bottom w:val="none" w:sz="0" w:space="0" w:color="auto"/>
        <w:right w:val="none" w:sz="0" w:space="0" w:color="auto"/>
      </w:divBdr>
      <w:divsChild>
        <w:div w:id="1130366563">
          <w:marLeft w:val="907"/>
          <w:marRight w:val="0"/>
          <w:marTop w:val="0"/>
          <w:marBottom w:val="0"/>
          <w:divBdr>
            <w:top w:val="none" w:sz="0" w:space="0" w:color="auto"/>
            <w:left w:val="none" w:sz="0" w:space="0" w:color="auto"/>
            <w:bottom w:val="none" w:sz="0" w:space="0" w:color="auto"/>
            <w:right w:val="none" w:sz="0" w:space="0" w:color="auto"/>
          </w:divBdr>
        </w:div>
        <w:div w:id="803617510">
          <w:marLeft w:val="907"/>
          <w:marRight w:val="0"/>
          <w:marTop w:val="0"/>
          <w:marBottom w:val="0"/>
          <w:divBdr>
            <w:top w:val="none" w:sz="0" w:space="0" w:color="auto"/>
            <w:left w:val="none" w:sz="0" w:space="0" w:color="auto"/>
            <w:bottom w:val="none" w:sz="0" w:space="0" w:color="auto"/>
            <w:right w:val="none" w:sz="0" w:space="0" w:color="auto"/>
          </w:divBdr>
        </w:div>
        <w:div w:id="2106681762">
          <w:marLeft w:val="907"/>
          <w:marRight w:val="0"/>
          <w:marTop w:val="0"/>
          <w:marBottom w:val="0"/>
          <w:divBdr>
            <w:top w:val="none" w:sz="0" w:space="0" w:color="auto"/>
            <w:left w:val="none" w:sz="0" w:space="0" w:color="auto"/>
            <w:bottom w:val="none" w:sz="0" w:space="0" w:color="auto"/>
            <w:right w:val="none" w:sz="0" w:space="0" w:color="auto"/>
          </w:divBdr>
        </w:div>
        <w:div w:id="1137601864">
          <w:marLeft w:val="907"/>
          <w:marRight w:val="0"/>
          <w:marTop w:val="0"/>
          <w:marBottom w:val="0"/>
          <w:divBdr>
            <w:top w:val="none" w:sz="0" w:space="0" w:color="auto"/>
            <w:left w:val="none" w:sz="0" w:space="0" w:color="auto"/>
            <w:bottom w:val="none" w:sz="0" w:space="0" w:color="auto"/>
            <w:right w:val="none" w:sz="0" w:space="0" w:color="auto"/>
          </w:divBdr>
        </w:div>
        <w:div w:id="1253931277">
          <w:marLeft w:val="907"/>
          <w:marRight w:val="0"/>
          <w:marTop w:val="0"/>
          <w:marBottom w:val="0"/>
          <w:divBdr>
            <w:top w:val="none" w:sz="0" w:space="0" w:color="auto"/>
            <w:left w:val="none" w:sz="0" w:space="0" w:color="auto"/>
            <w:bottom w:val="none" w:sz="0" w:space="0" w:color="auto"/>
            <w:right w:val="none" w:sz="0" w:space="0" w:color="auto"/>
          </w:divBdr>
        </w:div>
        <w:div w:id="1079448482">
          <w:marLeft w:val="907"/>
          <w:marRight w:val="0"/>
          <w:marTop w:val="0"/>
          <w:marBottom w:val="0"/>
          <w:divBdr>
            <w:top w:val="none" w:sz="0" w:space="0" w:color="auto"/>
            <w:left w:val="none" w:sz="0" w:space="0" w:color="auto"/>
            <w:bottom w:val="none" w:sz="0" w:space="0" w:color="auto"/>
            <w:right w:val="none" w:sz="0" w:space="0" w:color="auto"/>
          </w:divBdr>
        </w:div>
        <w:div w:id="773330778">
          <w:marLeft w:val="907"/>
          <w:marRight w:val="0"/>
          <w:marTop w:val="0"/>
          <w:marBottom w:val="0"/>
          <w:divBdr>
            <w:top w:val="none" w:sz="0" w:space="0" w:color="auto"/>
            <w:left w:val="none" w:sz="0" w:space="0" w:color="auto"/>
            <w:bottom w:val="none" w:sz="0" w:space="0" w:color="auto"/>
            <w:right w:val="none" w:sz="0" w:space="0" w:color="auto"/>
          </w:divBdr>
        </w:div>
        <w:div w:id="304506608">
          <w:marLeft w:val="907"/>
          <w:marRight w:val="0"/>
          <w:marTop w:val="0"/>
          <w:marBottom w:val="0"/>
          <w:divBdr>
            <w:top w:val="none" w:sz="0" w:space="0" w:color="auto"/>
            <w:left w:val="none" w:sz="0" w:space="0" w:color="auto"/>
            <w:bottom w:val="none" w:sz="0" w:space="0" w:color="auto"/>
            <w:right w:val="none" w:sz="0" w:space="0" w:color="auto"/>
          </w:divBdr>
        </w:div>
      </w:divsChild>
    </w:div>
    <w:div w:id="971865620">
      <w:bodyDiv w:val="1"/>
      <w:marLeft w:val="0"/>
      <w:marRight w:val="0"/>
      <w:marTop w:val="0"/>
      <w:marBottom w:val="0"/>
      <w:divBdr>
        <w:top w:val="none" w:sz="0" w:space="0" w:color="auto"/>
        <w:left w:val="none" w:sz="0" w:space="0" w:color="auto"/>
        <w:bottom w:val="none" w:sz="0" w:space="0" w:color="auto"/>
        <w:right w:val="none" w:sz="0" w:space="0" w:color="auto"/>
      </w:divBdr>
    </w:div>
    <w:div w:id="1123695803">
      <w:bodyDiv w:val="1"/>
      <w:marLeft w:val="0"/>
      <w:marRight w:val="0"/>
      <w:marTop w:val="0"/>
      <w:marBottom w:val="0"/>
      <w:divBdr>
        <w:top w:val="none" w:sz="0" w:space="0" w:color="auto"/>
        <w:left w:val="none" w:sz="0" w:space="0" w:color="auto"/>
        <w:bottom w:val="none" w:sz="0" w:space="0" w:color="auto"/>
        <w:right w:val="none" w:sz="0" w:space="0" w:color="auto"/>
      </w:divBdr>
    </w:div>
    <w:div w:id="1774670104">
      <w:bodyDiv w:val="1"/>
      <w:marLeft w:val="0"/>
      <w:marRight w:val="0"/>
      <w:marTop w:val="0"/>
      <w:marBottom w:val="0"/>
      <w:divBdr>
        <w:top w:val="none" w:sz="0" w:space="0" w:color="auto"/>
        <w:left w:val="none" w:sz="0" w:space="0" w:color="auto"/>
        <w:bottom w:val="none" w:sz="0" w:space="0" w:color="auto"/>
        <w:right w:val="none" w:sz="0" w:space="0" w:color="auto"/>
      </w:divBdr>
    </w:div>
    <w:div w:id="21267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ata.illumina.com/downloads/productfiles/multiethnic-global-8/v1-0/multi-ethnic-global-8-d1-strand-report.zip"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ebdata.illumina.com/downloads/productfiles/multiethnic-global-8/v1-0/infinium-multi-ethnic-global-8-d1-csv.zip"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rep16972" TargetMode="External"/><Relationship Id="rId11" Type="http://schemas.openxmlformats.org/officeDocument/2006/relationships/customXml" Target="../customXml/item1.xml"/><Relationship Id="rId5" Type="http://schemas.openxmlformats.org/officeDocument/2006/relationships/hyperlink" Target="https://doi.org/10.1016/j.ajhg.2020.08.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425981697D5A4783B617041363E7D7" ma:contentTypeVersion="17" ma:contentTypeDescription="Create a new document." ma:contentTypeScope="" ma:versionID="0485d877552392b44d8b6e15a12d79de">
  <xsd:schema xmlns:xsd="http://www.w3.org/2001/XMLSchema" xmlns:xs="http://www.w3.org/2001/XMLSchema" xmlns:p="http://schemas.microsoft.com/office/2006/metadata/properties" xmlns:ns2="26ba4aec-7add-41d4-a66d-61908a2df524" xmlns:ns3="01f8e96a-d6b4-404d-bbe1-0cf45a3060d0" targetNamespace="http://schemas.microsoft.com/office/2006/metadata/properties" ma:root="true" ma:fieldsID="11b8041771848564a3e467094d66120e" ns2:_="" ns3:_="">
    <xsd:import namespace="26ba4aec-7add-41d4-a66d-61908a2df524"/>
    <xsd:import namespace="01f8e96a-d6b4-404d-bbe1-0cf45a3060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a4aec-7add-41d4-a66d-61908a2df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7310ada-04f1-49d1-83c9-5a60708465d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f8e96a-d6b4-404d-bbe1-0cf45a3060d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5a0d47e-3dc8-4aaa-a484-cc1ee780bb78}" ma:internalName="TaxCatchAll" ma:showField="CatchAllData" ma:web="01f8e96a-d6b4-404d-bbe1-0cf45a3060d0">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f8e96a-d6b4-404d-bbe1-0cf45a3060d0" xsi:nil="true"/>
    <lcf76f155ced4ddcb4097134ff3c332f xmlns="26ba4aec-7add-41d4-a66d-61908a2df5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6D57A9-76FA-4634-AD68-5166EED63EBE}"/>
</file>

<file path=customXml/itemProps2.xml><?xml version="1.0" encoding="utf-8"?>
<ds:datastoreItem xmlns:ds="http://schemas.openxmlformats.org/officeDocument/2006/customXml" ds:itemID="{6D470096-8042-49BA-9E03-F5029E130C5E}"/>
</file>

<file path=customXml/itemProps3.xml><?xml version="1.0" encoding="utf-8"?>
<ds:datastoreItem xmlns:ds="http://schemas.openxmlformats.org/officeDocument/2006/customXml" ds:itemID="{902395C7-59F1-409E-B7AA-7B4A97D442BE}"/>
</file>

<file path=docProps/app.xml><?xml version="1.0" encoding="utf-8"?>
<Properties xmlns="http://schemas.openxmlformats.org/officeDocument/2006/extended-properties" xmlns:vt="http://schemas.openxmlformats.org/officeDocument/2006/docPropsVTypes">
  <Template>Normal</Template>
  <TotalTime>39</TotalTime>
  <Pages>4</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Jessica R</dc:creator>
  <cp:keywords/>
  <dc:description/>
  <cp:lastModifiedBy>Jessica Shaw</cp:lastModifiedBy>
  <cp:revision>4</cp:revision>
  <dcterms:created xsi:type="dcterms:W3CDTF">2022-04-29T19:38:00Z</dcterms:created>
  <dcterms:modified xsi:type="dcterms:W3CDTF">2022-04-29T20:06:00Z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0x010100B1425981697D5A4783B617041363E7D7</vt:lpwstr>
  </property>
</Properties>
</file>