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 Unicode MS" w:hAnsi="Arial Unicode MS" w:eastAsia="Arial Unicode MS"/>
          <w:b/>
          <w:color w:val="0B2545"/>
          <w:sz w:val="46"/>
        </w:rPr>
        <w:t>MAJOR COMMERCIAL CASE FACT PACK</w:t>
      </w:r>
    </w:p>
    <w:p>
      <w:pPr>
        <w:spacing w:after="280"/>
      </w:pPr>
      <w:r>
        <w:rPr>
          <w:rFonts w:ascii="Arial Unicode MS" w:hAnsi="Arial Unicode MS" w:eastAsia="Arial Unicode MS"/>
          <w:b w:val="0"/>
          <w:color w:val="59636E"/>
          <w:sz w:val="24"/>
        </w:rPr>
        <w:t>Synthetic fixture for shared facts, timeline, evidence schedule, strategy, and source tracing</w:t>
      </w:r>
    </w:p>
    <w:p>
      <w:pPr>
        <w:spacing w:after="40"/>
      </w:pPr>
      <w:r>
        <w:rPr>
          <w:rFonts w:ascii="Arial Unicode MS" w:hAnsi="Arial Unicode MS" w:eastAsia="Arial Unicode MS"/>
          <w:b/>
          <w:sz w:val="22"/>
        </w:rPr>
        <w:t xml:space="preserve">Fixture ID: </w:t>
      </w:r>
      <w:r>
        <w:rPr>
          <w:rFonts w:ascii="Arial Unicode MS" w:hAnsi="Arial Unicode MS" w:eastAsia="Arial Unicode MS"/>
          <w:b w:val="0"/>
          <w:sz w:val="22"/>
        </w:rPr>
        <w:t>VERA-COMP-2026-003</w:t>
      </w:r>
    </w:p>
    <w:p>
      <w:pPr>
        <w:spacing w:after="40"/>
      </w:pPr>
      <w:r>
        <w:rPr>
          <w:rFonts w:ascii="Arial Unicode MS" w:hAnsi="Arial Unicode MS" w:eastAsia="Arial Unicode MS"/>
          <w:b/>
          <w:sz w:val="22"/>
        </w:rPr>
        <w:t xml:space="preserve">Data class: </w:t>
      </w:r>
      <w:r>
        <w:rPr>
          <w:rFonts w:ascii="Arial Unicode MS" w:hAnsi="Arial Unicode MS" w:eastAsia="Arial Unicode MS"/>
          <w:b w:val="0"/>
          <w:sz w:val="22"/>
        </w:rPr>
        <w:t>Synthetic / no real person or organization</w:t>
      </w:r>
    </w:p>
    <w:p>
      <w:pPr>
        <w:spacing w:after="40"/>
      </w:pPr>
      <w:r>
        <w:rPr>
          <w:rFonts w:ascii="Arial Unicode MS" w:hAnsi="Arial Unicode MS" w:eastAsia="Arial Unicode MS"/>
          <w:b/>
          <w:sz w:val="22"/>
        </w:rPr>
        <w:t xml:space="preserve">Audit date: </w:t>
      </w:r>
      <w:r>
        <w:rPr>
          <w:rFonts w:ascii="Arial Unicode MS" w:hAnsi="Arial Unicode MS" w:eastAsia="Arial Unicode MS"/>
          <w:b w:val="0"/>
          <w:sz w:val="22"/>
        </w:rPr>
        <w:t>2026-07-24</w:t>
      </w:r>
    </w:p>
    <w:p>
      <w:pPr>
        <w:spacing w:after="40"/>
      </w:pPr>
      <w:r>
        <w:rPr>
          <w:rFonts w:ascii="Arial Unicode MS" w:hAnsi="Arial Unicode MS" w:eastAsia="Arial Unicode MS"/>
          <w:b/>
          <w:sz w:val="22"/>
        </w:rPr>
        <w:t xml:space="preserve">Instruction: </w:t>
      </w:r>
      <w:r>
        <w:rPr>
          <w:rFonts w:ascii="Arial Unicode MS" w:hAnsi="Arial Unicode MS" w:eastAsia="Arial Unicode MS"/>
          <w:b w:val="0"/>
          <w:sz w:val="22"/>
        </w:rPr>
        <w:t>Mark unknowns for confirmation. Do not invent law, amounts, dates, or evidence.</w:t>
      </w:r>
    </w:p>
    <w:p>
      <w:pPr>
        <w:pStyle w:val="Heading1"/>
      </w:pPr>
      <w:r>
        <w:t>1. Matter objective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Client：</w:t>
      </w:r>
      <w:r>
        <w:rPr>
          <w:rFonts w:ascii="Arial Unicode MS" w:hAnsi="Arial Unicode MS" w:eastAsia="Arial Unicode MS"/>
          <w:b w:val="0"/>
          <w:sz w:val="22"/>
        </w:rPr>
        <w:t>Synthetic claimant Bluewater Supply Chain Test Ltd.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Counterparties：</w:t>
      </w:r>
      <w:r>
        <w:rPr>
          <w:rFonts w:ascii="Arial Unicode MS" w:hAnsi="Arial Unicode MS" w:eastAsia="Arial Unicode MS"/>
          <w:b w:val="0"/>
          <w:sz w:val="22"/>
        </w:rPr>
        <w:t>Synthetic defendant Farpeak Retail Test Ltd. and synthetic guarantor Starfield Investment Test Ltd.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Provisional claim：</w:t>
      </w:r>
      <w:r>
        <w:rPr>
          <w:rFonts w:ascii="Arial Unicode MS" w:hAnsi="Arial Unicode MS" w:eastAsia="Arial Unicode MS"/>
          <w:b w:val="0"/>
          <w:sz w:val="22"/>
        </w:rPr>
        <w:t>RMB 3,600,000 principal, late charges, and guarantee liability. Preservation has not been decided.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Requested outputs：</w:t>
      </w:r>
      <w:r>
        <w:rPr>
          <w:rFonts w:ascii="Arial Unicode MS" w:hAnsi="Arial Unicode MS" w:eastAsia="Arial Unicode MS"/>
          <w:b w:val="0"/>
          <w:sz w:val="22"/>
        </w:rPr>
        <w:t>Case dashboard, fact timeline, evidence schedule, issues, research questions, strategy, and action list. Every output must reuse the same F-xx facts.</w:t>
      </w:r>
    </w:p>
    <w:p>
      <w:pPr>
        <w:pStyle w:val="Heading1"/>
      </w:pPr>
      <w:r>
        <w:t>2. Events and conflicts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00"/>
        <w:gridCol w:w="1300"/>
        <w:gridCol w:w="2500"/>
        <w:gridCol w:w="1600"/>
        <w:gridCol w:w="2960"/>
      </w:tblGrid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Fact ID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Date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Event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Source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/>
                <w:color w:val="0B2545"/>
                <w:sz w:val="20"/>
              </w:rPr>
              <w:t>Conflict/gap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F-01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2025-02-01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Annual supply agreement signed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Contract A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Complete pagination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F-02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2025-03 to 06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Goods delivered in batches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Delivery notes 1-18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Three contain only screenshots of e-signatures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F-03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2025-07-10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Reconciliation states RMB 3,600,000 due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Statement B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Defendant disputes authority of the seal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F-04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2025-07-15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Guarantor issues guarantee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Guarantee C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Body says general guarantee; title says joint and several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F-05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2025-09-01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Claimant sends demand email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Email D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Sent-folder screenshot only; no server receipt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F-06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2025-10-20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Defendant pays RMB 400,000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Bank statement E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Reference says 'project advance'; allocation disputed</w:t>
            </w:r>
          </w:p>
        </w:tc>
      </w:tr>
      <w:tr>
        <w:trPr>
          <w:cantSplit/>
        </w:trPr>
        <w:tc>
          <w:tcPr>
            <w:tcW w:type="dxa" w:w="1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F-07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2026-01-12</w:t>
            </w:r>
          </w:p>
        </w:tc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Lawyer letter dispatched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Courier slip F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40"/>
            </w:pPr>
            <w:r>
              <w:rPr>
                <w:rFonts w:ascii="Arial Unicode MS" w:hAnsi="Arial Unicode MS" w:eastAsia="Arial Unicode MS"/>
                <w:b w:val="0"/>
                <w:sz w:val="20"/>
              </w:rPr>
              <w:t>Identity of recipient unknown</w:t>
            </w:r>
          </w:p>
        </w:tc>
      </w:tr>
    </w:tbl>
    <w:p>
      <w:pPr>
        <w:pStyle w:val="Heading1"/>
      </w:pPr>
      <w:r>
        <w:t>3. Key texts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Payment：</w:t>
      </w:r>
      <w:r>
        <w:rPr>
          <w:rFonts w:ascii="Arial Unicode MS" w:hAnsi="Arial Unicode MS" w:eastAsia="Arial Unicode MS"/>
          <w:b w:val="0"/>
          <w:sz w:val="22"/>
        </w:rPr>
        <w:t>Payment is due thirty days after monthly reconciliation. No express invoice-first condition appears.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Late charge：</w:t>
      </w:r>
      <w:r>
        <w:rPr>
          <w:rFonts w:ascii="Arial Unicode MS" w:hAnsi="Arial Unicode MS" w:eastAsia="Arial Unicode MS"/>
          <w:b w:val="0"/>
          <w:sz w:val="22"/>
        </w:rPr>
        <w:t>0.05% of the overdue balance per day.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Guarantee period：</w:t>
      </w:r>
      <w:r>
        <w:rPr>
          <w:rFonts w:ascii="Arial Unicode MS" w:hAnsi="Arial Unicode MS" w:eastAsia="Arial Unicode MS"/>
          <w:b w:val="0"/>
          <w:sz w:val="22"/>
        </w:rPr>
        <w:t>Two years after expiry of the principal obligation, but the principal due date is not stated.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Forum：</w:t>
      </w:r>
      <w:r>
        <w:rPr>
          <w:rFonts w:ascii="Arial Unicode MS" w:hAnsi="Arial Unicode MS" w:eastAsia="Arial Unicode MS"/>
          <w:b w:val="0"/>
          <w:sz w:val="22"/>
        </w:rPr>
        <w:t>The supply agreement selects the claimant's local court; the guarantee has no forum clause.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Unknowns：</w:t>
      </w:r>
      <w:r>
        <w:rPr>
          <w:rFonts w:ascii="Arial Unicode MS" w:hAnsi="Arial Unicode MS" w:eastAsia="Arial Unicode MS"/>
          <w:b w:val="0"/>
          <w:sz w:val="22"/>
        </w:rPr>
        <w:t>Termination, payment allocation, seal authority, guarantee type, and guarantee-period start remain unverified.</w:t>
      </w:r>
    </w:p>
    <w:p>
      <w:pPr>
        <w:keepLines/>
      </w:pPr>
      <w:r>
        <w:rPr>
          <w:rFonts w:ascii="Arial Unicode MS" w:hAnsi="Arial Unicode MS" w:eastAsia="Arial Unicode MS"/>
          <w:b/>
          <w:color w:val="0B2545"/>
          <w:sz w:val="22"/>
        </w:rPr>
        <w:t>Quality rule：</w:t>
      </w:r>
      <w:r>
        <w:rPr>
          <w:rFonts w:ascii="Arial Unicode MS" w:hAnsi="Arial Unicode MS" w:eastAsia="Arial Unicode MS"/>
          <w:b w:val="0"/>
          <w:sz w:val="22"/>
        </w:rPr>
        <w:t>Every issue must link to an F-xx fact and source. Sending an email is not proof of service. Do not prefer a title over operative text without analysis.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9636E"/>
        <w:sz w:val="16"/>
      </w:rPr>
      <w:t>FULLY SYNTHETIC | AUTHORIZED COMPETITOR WORKFLOW QA ONLY | NOT LEGAL ADVICE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59636E"/>
        <w:sz w:val="17"/>
      </w:rPr>
      <w:t>VERA COMPETITOR QA | VERA-COMP-2026-003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