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 w:eastAsia="Calibri" w:cs="Calibri"/>
          <w:b/>
          <w:color w:val="000000"/>
          <w:sz w:val="46"/>
        </w:rPr>
        <w:t>Synthetic Prior-Art Publication Excerpt</w:t>
      </w:r>
    </w:p>
    <w:p>
      <w:pPr>
        <w:spacing w:after="320"/>
      </w:pPr>
      <w:r>
        <w:rPr>
          <w:rFonts w:ascii="Calibri" w:hAnsi="Calibri" w:eastAsia="Calibri" w:cs="Calibri"/>
          <w:b w:val="0"/>
          <w:color w:val="374151"/>
          <w:sz w:val="26"/>
        </w:rPr>
        <w:t>PAT-DEMO-PAT-01 • internal workflow acceptance source</w:t>
      </w:r>
    </w:p>
    <w:p>
      <w:pPr>
        <w:spacing w:after="60"/>
      </w:pPr>
      <w:r>
        <w:rPr>
          <w:rFonts w:ascii="Calibri" w:hAnsi="Calibri" w:eastAsia="Calibri" w:cs="Calibri"/>
          <w:b/>
          <w:color w:val="000000"/>
          <w:sz w:val="22"/>
        </w:rPr>
        <w:t xml:space="preserve">Fixture ID: </w:t>
      </w:r>
      <w:r>
        <w:rPr>
          <w:rFonts w:ascii="Calibri" w:hAnsi="Calibri" w:eastAsia="Calibri" w:cs="Calibri"/>
          <w:b w:val="0"/>
          <w:color w:val="000000"/>
          <w:sz w:val="22"/>
        </w:rPr>
        <w:t>PAT-DEMO-PAT-01-PA1</w:t>
      </w:r>
    </w:p>
    <w:p>
      <w:pPr>
        <w:spacing w:after="60"/>
      </w:pPr>
      <w:r>
        <w:rPr>
          <w:rFonts w:ascii="Calibri" w:hAnsi="Calibri" w:eastAsia="Calibri" w:cs="Calibri"/>
          <w:b/>
          <w:color w:val="000000"/>
          <w:sz w:val="22"/>
        </w:rPr>
        <w:t xml:space="preserve">Matter role: </w:t>
      </w:r>
      <w:r>
        <w:rPr>
          <w:rFonts w:ascii="Calibri" w:hAnsi="Calibri" w:eastAsia="Calibri" w:cs="Calibri"/>
          <w:b w:val="0"/>
          <w:color w:val="000000"/>
          <w:sz w:val="22"/>
        </w:rPr>
        <w:t>Pinned prior-art source</w:t>
      </w:r>
    </w:p>
    <w:p>
      <w:pPr>
        <w:spacing w:after="60"/>
      </w:pPr>
      <w:r>
        <w:rPr>
          <w:rFonts w:ascii="Calibri" w:hAnsi="Calibri" w:eastAsia="Calibri" w:cs="Calibri"/>
          <w:b/>
          <w:color w:val="000000"/>
          <w:sz w:val="22"/>
        </w:rPr>
        <w:t xml:space="preserve">Synthetic identifier: </w:t>
      </w:r>
      <w:r>
        <w:rPr>
          <w:rFonts w:ascii="Calibri" w:hAnsi="Calibri" w:eastAsia="Calibri" w:cs="Calibri"/>
          <w:b w:val="0"/>
          <w:color w:val="000000"/>
          <w:sz w:val="22"/>
        </w:rPr>
        <w:t>VERA-SYNTHETIC-PA-001 (not an official publication number)</w:t>
      </w:r>
    </w:p>
    <w:p>
      <w:pPr>
        <w:spacing w:after="60"/>
      </w:pPr>
      <w:r>
        <w:rPr>
          <w:rFonts w:ascii="Calibri" w:hAnsi="Calibri" w:eastAsia="Calibri" w:cs="Calibri"/>
          <w:b/>
          <w:color w:val="000000"/>
          <w:sz w:val="22"/>
        </w:rPr>
        <w:t xml:space="preserve">Classification: </w:t>
      </w:r>
      <w:r>
        <w:rPr>
          <w:rFonts w:ascii="Calibri" w:hAnsi="Calibri" w:eastAsia="Calibri" w:cs="Calibri"/>
          <w:b w:val="0"/>
          <w:color w:val="000000"/>
          <w:sz w:val="22"/>
        </w:rPr>
        <w:t>Entirely synthetic QA material; no real publication or assignee</w:t>
      </w:r>
    </w:p>
    <w:p>
      <w:pPr>
        <w:spacing w:after="60"/>
      </w:pPr>
      <w:r>
        <w:rPr>
          <w:rFonts w:ascii="Calibri" w:hAnsi="Calibri" w:eastAsia="Calibri" w:cs="Calibri"/>
          <w:b/>
          <w:color w:val="000000"/>
          <w:sz w:val="22"/>
        </w:rPr>
        <w:t xml:space="preserve">Review scope: </w:t>
      </w:r>
      <w:r>
        <w:rPr>
          <w:rFonts w:ascii="Calibri" w:hAnsi="Calibri" w:eastAsia="Calibri" w:cs="Calibri"/>
          <w:b w:val="0"/>
          <w:color w:val="000000"/>
          <w:sz w:val="22"/>
        </w:rPr>
        <w:t>The three numbered paragraphs below are the complete fixture text</w:t>
      </w:r>
    </w:p>
    <w:p>
      <w:pPr>
        <w:pStyle w:val="Heading1"/>
      </w:pPr>
      <w:r>
        <w:t>Source notice</w:t>
      </w:r>
    </w:p>
    <w:p>
      <w:r>
        <w:t>This source is intentionally synthetic and cannot prove real-world patentability, validity, infringement, or search completeness. A workflow output must preserve that limitation and require verification against an official publication before any external reliance.</w:t>
      </w:r>
    </w:p>
    <w:p>
      <w:pPr>
        <w:pStyle w:val="Heading1"/>
      </w:pPr>
      <w:r>
        <w:t>Disclosure excerpt</w:t>
      </w:r>
    </w:p>
    <w:p>
      <w:pPr>
        <w:keepLines/>
      </w:pPr>
      <w:r>
        <w:rPr>
          <w:rFonts w:ascii="Calibri" w:hAnsi="Calibri" w:eastAsia="Calibri" w:cs="Calibri"/>
          <w:b/>
          <w:color w:val="1F4D78"/>
          <w:sz w:val="22"/>
        </w:rPr>
        <w:t xml:space="preserve">PA-P1 — </w:t>
      </w:r>
      <w:r>
        <w:rPr>
          <w:rFonts w:ascii="Calibri" w:hAnsi="Calibri" w:eastAsia="Calibri" w:cs="Calibri"/>
          <w:b w:val="0"/>
          <w:color w:val="000000"/>
          <w:sz w:val="22"/>
        </w:rPr>
        <w:t>A rescue vehicle drive apparatus includes a vehicle power source, a wheel drive path, and a cable drive path coupled to a winch drum.</w:t>
      </w:r>
    </w:p>
    <w:p>
      <w:pPr>
        <w:keepLines/>
      </w:pPr>
      <w:r>
        <w:rPr>
          <w:rFonts w:ascii="Calibri" w:hAnsi="Calibri" w:eastAsia="Calibri" w:cs="Calibri"/>
          <w:b/>
          <w:color w:val="1F4D78"/>
          <w:sz w:val="22"/>
        </w:rPr>
        <w:t xml:space="preserve">PA-P2 — </w:t>
      </w:r>
      <w:r>
        <w:rPr>
          <w:rFonts w:ascii="Calibri" w:hAnsi="Calibri" w:eastAsia="Calibri" w:cs="Calibri"/>
          <w:b w:val="0"/>
          <w:color w:val="000000"/>
          <w:sz w:val="22"/>
        </w:rPr>
        <w:t>A controller switches power between the wheel drive path and the cable drive path according to an operator selection and drives only one path at a time.</w:t>
      </w:r>
    </w:p>
    <w:p>
      <w:pPr>
        <w:keepLines/>
      </w:pPr>
      <w:r>
        <w:rPr>
          <w:rFonts w:ascii="Calibri" w:hAnsi="Calibri" w:eastAsia="Calibri" w:cs="Calibri"/>
          <w:b/>
          <w:color w:val="1F4D78"/>
          <w:sz w:val="22"/>
        </w:rPr>
        <w:t xml:space="preserve">PA-P3 — </w:t>
      </w:r>
      <w:r>
        <w:rPr>
          <w:rFonts w:ascii="Calibri" w:hAnsi="Calibri" w:eastAsia="Calibri" w:cs="Calibri"/>
          <w:b w:val="0"/>
          <w:color w:val="000000"/>
          <w:sz w:val="22"/>
        </w:rPr>
        <w:t>The system monitors cable tension and stops the winch when the tension exceeds a preset safety value.</w:t>
      </w:r>
    </w:p>
    <w:p>
      <w:pPr>
        <w:pStyle w:val="Heading1"/>
      </w:pPr>
      <w:r>
        <w:t>Explicit coverage gap</w:t>
      </w:r>
    </w:p>
    <w:p>
      <w:r>
        <w:rPr>
          <w:rFonts w:ascii="Calibri" w:hAnsi="Calibri" w:eastAsia="Calibri" w:cs="Calibri"/>
          <w:b/>
          <w:color w:val="9B1C1C"/>
          <w:sz w:val="22"/>
        </w:rPr>
        <w:t xml:space="preserve">PA-G1 — </w:t>
      </w:r>
      <w:r>
        <w:rPr>
          <w:rFonts w:ascii="Calibri" w:hAnsi="Calibri" w:eastAsia="Calibri" w:cs="Calibri"/>
          <w:b w:val="0"/>
          <w:color w:val="000000"/>
          <w:sz w:val="22"/>
        </w:rPr>
        <w:t>The fixture has no official publication PDF, publication date, priority date, family record, or additional embodiments. Treat source verification and search coverage as unresolved.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 w:cs="Calibri"/>
        <w:b w:val="0"/>
        <w:color w:val="6B7280"/>
        <w:sz w:val="18"/>
      </w:rPr>
      <w:t xml:space="preserve">Synthetic QA fixture • No real client • Not for filing  |  </w:t>
    </w:r>
    <w:r>
      <w:rPr>
        <w:rFonts w:ascii="Calibri" w:hAnsi="Calibri" w:eastAsia="Calibri" w:cs="Calibri"/>
        <w:b w:val="0"/>
        <w:color w:val="6B728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 w:cs="Calibri"/>
        <w:b/>
        <w:color w:val="6B7280"/>
        <w:sz w:val="18"/>
      </w:rPr>
      <w:t>VERA SYNTHETIC PATENTABILITY QA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/>
      <w:spacing w:before="0" w:after="120" w:line="264" w:lineRule="auto"/>
    </w:pPr>
    <w:rPr>
      <w:rFonts w:ascii="Calibri" w:hAnsi="Calibri" w:eastAsia="Calibri" w:cs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PAT-DEMO-PAT-01-synthetic-prior-art</dc:title>
  <dc:subject>Synthetic Vera patentability workflow QA fixture</dc:subject>
  <dc:creator>Vera QA</dc:creator>
  <cp:keywords>synthetic, QA, patentability, not for filing</cp:keywords>
  <dc:description>No real client, inventor, assignee, publication, or legal conclusion.</dc:description>
  <cp:lastModifiedBy/>
  <cp:revision>1</cp:revision>
  <dcterms:created xsi:type="dcterms:W3CDTF">2026-08-07T00:00:00Z</dcterms:created>
  <dcterms:modified xsi:type="dcterms:W3CDTF">2026-08-07T00:00:00Z</dcterms:modified>
  <cp:category/>
</cp:coreProperties>
</file>