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96" w:rsidRPr="00C364BB" w:rsidRDefault="00326922" w:rsidP="00326922">
      <w:pPr>
        <w:spacing w:line="240" w:lineRule="auto"/>
        <w:jc w:val="center"/>
        <w:rPr>
          <w:b/>
          <w:sz w:val="28"/>
          <w:szCs w:val="28"/>
        </w:rPr>
      </w:pPr>
      <w:r w:rsidRPr="00C364BB">
        <w:rPr>
          <w:b/>
          <w:sz w:val="28"/>
          <w:szCs w:val="28"/>
        </w:rPr>
        <w:t>Do Hashtags Really Matter?</w:t>
      </w:r>
    </w:p>
    <w:p w:rsidR="00326922" w:rsidRDefault="00326922" w:rsidP="00326922">
      <w:pPr>
        <w:spacing w:line="240" w:lineRule="auto"/>
        <w:jc w:val="center"/>
      </w:pPr>
      <w:r>
        <w:t>DS710 – Shawn Chapler</w:t>
      </w:r>
    </w:p>
    <w:p w:rsidR="00326922" w:rsidRDefault="00326922" w:rsidP="00326922"/>
    <w:p w:rsidR="00A672E2" w:rsidRDefault="00326922" w:rsidP="00AC6C38">
      <w:pPr>
        <w:spacing w:line="240" w:lineRule="auto"/>
        <w:ind w:left="-144" w:right="-144"/>
        <w:contextualSpacing/>
        <w:rPr>
          <w:rFonts w:cs="Arial"/>
        </w:rPr>
      </w:pPr>
      <w:r w:rsidRPr="00A672E2">
        <w:rPr>
          <w:rFonts w:cs="Arial"/>
        </w:rPr>
        <w:t>It</w:t>
      </w:r>
      <w:r w:rsidR="00C364BB" w:rsidRPr="00A672E2">
        <w:rPr>
          <w:rFonts w:cs="Arial"/>
        </w:rPr>
        <w:t xml:space="preserve"> ha</w:t>
      </w:r>
      <w:r w:rsidRPr="00A672E2">
        <w:rPr>
          <w:rFonts w:cs="Arial"/>
        </w:rPr>
        <w:t>s been quite an exciting week for subscription styling service, Stitch Fix, as it has confidentially filed for an IPO.  Stitc</w:t>
      </w:r>
      <w:r w:rsidR="00772A28" w:rsidRPr="00A672E2">
        <w:rPr>
          <w:rFonts w:cs="Arial"/>
        </w:rPr>
        <w:t xml:space="preserve">h Fix is a leader in a newer form of </w:t>
      </w:r>
      <w:r w:rsidR="002610BD" w:rsidRPr="00A672E2">
        <w:rPr>
          <w:rFonts w:cs="Arial"/>
        </w:rPr>
        <w:t xml:space="preserve">e-commerce which focuses on clothing, shoes, and accessories selected by a personal stylist conveniently delivered to </w:t>
      </w:r>
      <w:r w:rsidR="00772A28" w:rsidRPr="00A672E2">
        <w:rPr>
          <w:rFonts w:cs="Arial"/>
        </w:rPr>
        <w:t>the consumer’s door.</w:t>
      </w:r>
      <w:r w:rsidR="005E7C3F">
        <w:rPr>
          <w:rFonts w:cs="Arial"/>
        </w:rPr>
        <w:t xml:space="preserve">  </w:t>
      </w:r>
      <w:r w:rsidR="00A672E2" w:rsidRPr="00A672E2">
        <w:rPr>
          <w:rFonts w:cs="Arial"/>
        </w:rPr>
        <w:t xml:space="preserve"> </w:t>
      </w:r>
      <w:r w:rsidR="002610BD" w:rsidRPr="00A672E2">
        <w:rPr>
          <w:rFonts w:cs="Arial"/>
        </w:rPr>
        <w:t>With Stitch Fix</w:t>
      </w:r>
      <w:r w:rsidR="00986D19" w:rsidRPr="00A672E2">
        <w:rPr>
          <w:rFonts w:cs="Arial"/>
        </w:rPr>
        <w:t xml:space="preserve"> having adopted </w:t>
      </w:r>
      <w:r w:rsidR="002610BD" w:rsidRPr="00A672E2">
        <w:rPr>
          <w:rFonts w:cs="Arial"/>
        </w:rPr>
        <w:t>data science</w:t>
      </w:r>
      <w:r w:rsidR="00986D19" w:rsidRPr="00A672E2">
        <w:rPr>
          <w:rFonts w:cs="Arial"/>
        </w:rPr>
        <w:t xml:space="preserve"> as a core business function</w:t>
      </w:r>
      <w:r w:rsidR="002610BD" w:rsidRPr="00A672E2">
        <w:rPr>
          <w:rFonts w:cs="Arial"/>
        </w:rPr>
        <w:t>,</w:t>
      </w:r>
      <w:r w:rsidR="00C364BB" w:rsidRPr="00A672E2">
        <w:rPr>
          <w:rFonts w:cs="Arial"/>
        </w:rPr>
        <w:t xml:space="preserve"> </w:t>
      </w:r>
      <w:r w:rsidR="002610BD" w:rsidRPr="00A672E2">
        <w:rPr>
          <w:rFonts w:cs="Arial"/>
        </w:rPr>
        <w:t xml:space="preserve"> I was interested in seeing how Twitter hashtag usage drove consumer interest as measured by retweet counts and favorite counts in this specific market.</w:t>
      </w:r>
      <w:r w:rsidR="00A672E2" w:rsidRPr="00A672E2">
        <w:rPr>
          <w:rFonts w:cs="Arial"/>
        </w:rPr>
        <w:t xml:space="preserve"> </w:t>
      </w:r>
    </w:p>
    <w:p w:rsidR="00A672E2" w:rsidRDefault="00A672E2" w:rsidP="00AC6C38">
      <w:pPr>
        <w:spacing w:line="240" w:lineRule="auto"/>
        <w:ind w:left="-144" w:right="-144"/>
        <w:contextualSpacing/>
        <w:rPr>
          <w:rFonts w:cs="Arial"/>
        </w:rPr>
      </w:pPr>
    </w:p>
    <w:p w:rsidR="00EA4E7C" w:rsidRDefault="002610BD" w:rsidP="00AC6C38">
      <w:pPr>
        <w:spacing w:line="240" w:lineRule="auto"/>
        <w:ind w:left="-144" w:right="-144"/>
        <w:contextualSpacing/>
        <w:rPr>
          <w:rFonts w:cs="Arial"/>
        </w:rPr>
      </w:pPr>
      <w:r w:rsidRPr="00A672E2">
        <w:rPr>
          <w:rFonts w:cs="Arial"/>
        </w:rPr>
        <w:t>I used Twitter’s REST API to capture data over a period of eight days.  The tweeting activity on these</w:t>
      </w:r>
      <w:r w:rsidR="00E46B2A" w:rsidRPr="00A672E2">
        <w:rPr>
          <w:rFonts w:cs="Arial"/>
        </w:rPr>
        <w:t xml:space="preserve"> particular hashtags</w:t>
      </w:r>
      <w:r w:rsidRPr="00A672E2">
        <w:rPr>
          <w:rFonts w:cs="Arial"/>
        </w:rPr>
        <w:t xml:space="preserve"> was not active enough to capture</w:t>
      </w:r>
      <w:r w:rsidR="00E46B2A" w:rsidRPr="00A672E2">
        <w:rPr>
          <w:rFonts w:cs="Arial"/>
        </w:rPr>
        <w:t xml:space="preserve"> tweets with the Streaming API.</w:t>
      </w:r>
      <w:r w:rsidR="00EA4E7C" w:rsidRPr="00A672E2">
        <w:rPr>
          <w:rFonts w:cs="Arial"/>
        </w:rPr>
        <w:t xml:space="preserve">  Here are the profiles of the companies targeted </w:t>
      </w:r>
      <w:r w:rsidR="008C3B4C" w:rsidRPr="00A672E2">
        <w:rPr>
          <w:rFonts w:cs="Arial"/>
        </w:rPr>
        <w:t xml:space="preserve">for this study </w:t>
      </w:r>
      <w:r w:rsidR="00EA4E7C" w:rsidRPr="00A672E2">
        <w:rPr>
          <w:rFonts w:cs="Arial"/>
        </w:rPr>
        <w:t>via hashtag usage.</w:t>
      </w:r>
      <w:r w:rsidRPr="00A672E2">
        <w:rPr>
          <w:rFonts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55"/>
        <w:gridCol w:w="1107"/>
        <w:gridCol w:w="1333"/>
        <w:gridCol w:w="1339"/>
        <w:gridCol w:w="1035"/>
        <w:gridCol w:w="1892"/>
      </w:tblGrid>
      <w:tr w:rsidR="00542D16" w:rsidTr="005E7C3F">
        <w:trPr>
          <w:trHeight w:val="484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Joined</w:t>
            </w:r>
          </w:p>
        </w:tc>
        <w:tc>
          <w:tcPr>
            <w:tcW w:w="1107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Tweets</w:t>
            </w:r>
          </w:p>
        </w:tc>
        <w:tc>
          <w:tcPr>
            <w:tcW w:w="1333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Following</w:t>
            </w:r>
          </w:p>
        </w:tc>
        <w:tc>
          <w:tcPr>
            <w:tcW w:w="1339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Followers</w:t>
            </w:r>
          </w:p>
        </w:tc>
        <w:tc>
          <w:tcPr>
            <w:tcW w:w="1035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Likes</w:t>
            </w:r>
          </w:p>
        </w:tc>
        <w:tc>
          <w:tcPr>
            <w:tcW w:w="1892" w:type="dxa"/>
            <w:shd w:val="clear" w:color="auto" w:fill="C6D9F1" w:themeFill="text2" w:themeFillTint="33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Hashtags Queried</w:t>
            </w:r>
          </w:p>
        </w:tc>
      </w:tr>
      <w:tr w:rsidR="00542D16" w:rsidTr="005E7C3F">
        <w:trPr>
          <w:trHeight w:val="468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Stitch Fix</w:t>
            </w:r>
          </w:p>
        </w:tc>
        <w:tc>
          <w:tcPr>
            <w:tcW w:w="105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July 2011</w:t>
            </w:r>
          </w:p>
        </w:tc>
        <w:tc>
          <w:tcPr>
            <w:tcW w:w="1107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26.9k</w:t>
            </w:r>
          </w:p>
        </w:tc>
        <w:tc>
          <w:tcPr>
            <w:tcW w:w="1333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3,055</w:t>
            </w:r>
          </w:p>
        </w:tc>
        <w:tc>
          <w:tcPr>
            <w:tcW w:w="1339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 xml:space="preserve">61.K </w:t>
            </w:r>
          </w:p>
        </w:tc>
        <w:tc>
          <w:tcPr>
            <w:tcW w:w="103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23K</w:t>
            </w:r>
          </w:p>
        </w:tc>
        <w:tc>
          <w:tcPr>
            <w:tcW w:w="1892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#StitchFix</w:t>
            </w:r>
          </w:p>
        </w:tc>
      </w:tr>
      <w:tr w:rsidR="00542D16" w:rsidTr="005E7C3F">
        <w:trPr>
          <w:trHeight w:val="468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Wantable</w:t>
            </w:r>
          </w:p>
        </w:tc>
        <w:tc>
          <w:tcPr>
            <w:tcW w:w="105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May</w:t>
            </w:r>
            <w:r w:rsidRPr="00986D19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986D19">
              <w:rPr>
                <w:rFonts w:ascii="Arial" w:hAnsi="Arial" w:cs="Arial"/>
                <w:sz w:val="20"/>
                <w:szCs w:val="20"/>
              </w:rPr>
              <w:t>012</w:t>
            </w:r>
          </w:p>
        </w:tc>
        <w:tc>
          <w:tcPr>
            <w:tcW w:w="1107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14.5k</w:t>
            </w:r>
          </w:p>
        </w:tc>
        <w:tc>
          <w:tcPr>
            <w:tcW w:w="1333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4,950</w:t>
            </w:r>
          </w:p>
        </w:tc>
        <w:tc>
          <w:tcPr>
            <w:tcW w:w="1339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43.2K</w:t>
            </w:r>
          </w:p>
        </w:tc>
        <w:tc>
          <w:tcPr>
            <w:tcW w:w="103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11.6K</w:t>
            </w:r>
          </w:p>
        </w:tc>
        <w:tc>
          <w:tcPr>
            <w:tcW w:w="1892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#Wantable</w:t>
            </w:r>
          </w:p>
        </w:tc>
      </w:tr>
      <w:tr w:rsidR="00542D16" w:rsidTr="005E7C3F">
        <w:trPr>
          <w:trHeight w:val="484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DailyLook</w:t>
            </w:r>
          </w:p>
        </w:tc>
        <w:tc>
          <w:tcPr>
            <w:tcW w:w="105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July 2011</w:t>
            </w:r>
          </w:p>
        </w:tc>
        <w:tc>
          <w:tcPr>
            <w:tcW w:w="1107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4,736</w:t>
            </w:r>
          </w:p>
        </w:tc>
        <w:tc>
          <w:tcPr>
            <w:tcW w:w="1333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339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17.5K</w:t>
            </w:r>
          </w:p>
        </w:tc>
        <w:tc>
          <w:tcPr>
            <w:tcW w:w="103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1,711</w:t>
            </w:r>
          </w:p>
        </w:tc>
        <w:tc>
          <w:tcPr>
            <w:tcW w:w="1892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#elevateyourstyle</w:t>
            </w:r>
          </w:p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#NewInDL</w:t>
            </w:r>
          </w:p>
        </w:tc>
      </w:tr>
      <w:tr w:rsidR="00542D16" w:rsidTr="005E7C3F">
        <w:trPr>
          <w:trHeight w:val="468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Trunk Club</w:t>
            </w:r>
          </w:p>
        </w:tc>
        <w:tc>
          <w:tcPr>
            <w:tcW w:w="105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January 2008</w:t>
            </w:r>
          </w:p>
        </w:tc>
        <w:tc>
          <w:tcPr>
            <w:tcW w:w="1107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12.5K</w:t>
            </w:r>
          </w:p>
        </w:tc>
        <w:tc>
          <w:tcPr>
            <w:tcW w:w="1333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1,348</w:t>
            </w:r>
          </w:p>
        </w:tc>
        <w:tc>
          <w:tcPr>
            <w:tcW w:w="1339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69.6K</w:t>
            </w:r>
          </w:p>
        </w:tc>
        <w:tc>
          <w:tcPr>
            <w:tcW w:w="103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7,040</w:t>
            </w:r>
          </w:p>
        </w:tc>
        <w:tc>
          <w:tcPr>
            <w:tcW w:w="1892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#TrunkClub</w:t>
            </w:r>
          </w:p>
        </w:tc>
      </w:tr>
      <w:tr w:rsidR="00542D16" w:rsidTr="005E7C3F">
        <w:trPr>
          <w:trHeight w:val="484"/>
        </w:trPr>
        <w:tc>
          <w:tcPr>
            <w:tcW w:w="1220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Stella &amp; Dot</w:t>
            </w:r>
          </w:p>
        </w:tc>
        <w:tc>
          <w:tcPr>
            <w:tcW w:w="105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March 2009</w:t>
            </w:r>
          </w:p>
        </w:tc>
        <w:tc>
          <w:tcPr>
            <w:tcW w:w="1107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12.4K</w:t>
            </w:r>
          </w:p>
        </w:tc>
        <w:tc>
          <w:tcPr>
            <w:tcW w:w="1333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1,273</w:t>
            </w:r>
          </w:p>
        </w:tc>
        <w:tc>
          <w:tcPr>
            <w:tcW w:w="1339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55K</w:t>
            </w:r>
          </w:p>
        </w:tc>
        <w:tc>
          <w:tcPr>
            <w:tcW w:w="1035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11.1K</w:t>
            </w:r>
          </w:p>
        </w:tc>
        <w:tc>
          <w:tcPr>
            <w:tcW w:w="1892" w:type="dxa"/>
          </w:tcPr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#stelladot</w:t>
            </w:r>
          </w:p>
          <w:p w:rsidR="00542D16" w:rsidRPr="00986D19" w:rsidRDefault="00542D16" w:rsidP="0060432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86D19">
              <w:rPr>
                <w:rFonts w:ascii="Arial" w:hAnsi="Arial" w:cs="Arial"/>
                <w:sz w:val="20"/>
                <w:szCs w:val="20"/>
              </w:rPr>
              <w:t>#stelladotstyle</w:t>
            </w:r>
          </w:p>
        </w:tc>
      </w:tr>
    </w:tbl>
    <w:p w:rsidR="00EA4E7C" w:rsidRPr="00986D19" w:rsidRDefault="00EA4E7C" w:rsidP="00604329">
      <w:pPr>
        <w:contextualSpacing/>
        <w:rPr>
          <w:i/>
          <w:sz w:val="18"/>
          <w:szCs w:val="18"/>
        </w:rPr>
      </w:pPr>
      <w:r w:rsidRPr="00986D19">
        <w:rPr>
          <w:i/>
          <w:sz w:val="18"/>
          <w:szCs w:val="18"/>
        </w:rPr>
        <w:t>*August 4, 2017 Twitter Profiles</w:t>
      </w:r>
    </w:p>
    <w:p w:rsidR="00A672E2" w:rsidRDefault="00A672E2" w:rsidP="00604329">
      <w:pPr>
        <w:contextualSpacing/>
        <w:rPr>
          <w:b/>
          <w:i/>
        </w:rPr>
      </w:pPr>
    </w:p>
    <w:p w:rsidR="00560046" w:rsidRPr="0085058E" w:rsidRDefault="00986D19" w:rsidP="00AC6C38">
      <w:pPr>
        <w:spacing w:line="240" w:lineRule="auto"/>
        <w:contextualSpacing/>
        <w:rPr>
          <w:b/>
          <w:i/>
        </w:rPr>
      </w:pPr>
      <w:r>
        <w:rPr>
          <w:b/>
          <w:i/>
        </w:rPr>
        <w:t>Is there a correlation between the number of hashtags used in a tweet</w:t>
      </w:r>
      <w:r w:rsidR="00560046" w:rsidRPr="0085058E">
        <w:rPr>
          <w:b/>
          <w:i/>
        </w:rPr>
        <w:t xml:space="preserve"> and retweet counts?</w:t>
      </w:r>
    </w:p>
    <w:p w:rsidR="00A672E2" w:rsidRDefault="00560046" w:rsidP="00AC6C38">
      <w:pPr>
        <w:spacing w:line="240" w:lineRule="auto"/>
        <w:contextualSpacing/>
      </w:pPr>
      <w:r>
        <w:t>Analysis of the data reflects there is a correlation between number of hashtags and retweet counts.</w:t>
      </w:r>
      <w:r w:rsidR="00D526B5">
        <w:t xml:space="preserve"> </w:t>
      </w:r>
    </w:p>
    <w:p w:rsidR="00A672E2" w:rsidRDefault="00D526B5" w:rsidP="00AC6C38">
      <w:pPr>
        <w:spacing w:line="240" w:lineRule="auto"/>
        <w:contextualSpacing/>
      </w:pPr>
      <w:r>
        <w:t>In analyzing the data,</w:t>
      </w:r>
      <w:r w:rsidR="00986D19">
        <w:t xml:space="preserve"> there was a right skew in retweet counts specifically at two significantly </w:t>
      </w:r>
      <w:r w:rsidR="00560046">
        <w:t>higher retweet points</w:t>
      </w:r>
      <w:r>
        <w:t xml:space="preserve"> as you can see in the comparisons of Figures 1 and 3 below.   Most </w:t>
      </w:r>
      <w:proofErr w:type="gramStart"/>
      <w:r>
        <w:t>r</w:t>
      </w:r>
      <w:r w:rsidR="00A672E2">
        <w:t>etweets</w:t>
      </w:r>
      <w:proofErr w:type="gramEnd"/>
      <w:r w:rsidR="00A672E2">
        <w:t xml:space="preserve"> counts trended between zero </w:t>
      </w:r>
      <w:r>
        <w:t xml:space="preserve">and </w:t>
      </w:r>
      <w:r w:rsidR="00A672E2">
        <w:t>ten</w:t>
      </w:r>
      <w:r w:rsidR="00A3738A">
        <w:t>.   H</w:t>
      </w:r>
      <w:r>
        <w:t xml:space="preserve">owever, there were two data points (149 and 229) which accounted for over 36,000 retweets.  </w:t>
      </w:r>
    </w:p>
    <w:p w:rsidR="00A672E2" w:rsidRDefault="00A672E2" w:rsidP="00AC6C38">
      <w:pPr>
        <w:spacing w:line="240" w:lineRule="auto"/>
        <w:contextualSpacing/>
      </w:pPr>
    </w:p>
    <w:p w:rsidR="00A672E2" w:rsidRDefault="00D526B5" w:rsidP="00AC6C38">
      <w:pPr>
        <w:spacing w:line="240" w:lineRule="auto"/>
        <w:contextualSpacing/>
      </w:pPr>
      <w:r>
        <w:t>It became apparent bot activity was a likely driver.  Drilling down further, i</w:t>
      </w:r>
      <w:r>
        <w:t xml:space="preserve">ndividual tweets were generated in rapid </w:t>
      </w:r>
      <w:r w:rsidR="00751DC7">
        <w:t xml:space="preserve">date </w:t>
      </w:r>
      <w:r>
        <w:t>timestamp succession through multiple user accounts uti</w:t>
      </w:r>
      <w:r>
        <w:t>lizing the same hashtag indices</w:t>
      </w:r>
      <w:r>
        <w:t>.   Interestingly, 90% of the activity in the four hashtag</w:t>
      </w:r>
      <w:r>
        <w:t xml:space="preserve"> category, where these two retweet outliers are found, </w:t>
      </w:r>
      <w:r>
        <w:t>was driven by Stitch Fix</w:t>
      </w:r>
      <w:r w:rsidR="007A30A3">
        <w:t xml:space="preserve"> hashtags</w:t>
      </w:r>
      <w:r>
        <w:t>.</w:t>
      </w:r>
    </w:p>
    <w:p w:rsidR="00D526B5" w:rsidRDefault="00D526B5" w:rsidP="00AC6C38">
      <w:pPr>
        <w:spacing w:line="240" w:lineRule="auto"/>
        <w:contextualSpacing/>
      </w:pPr>
      <w:r>
        <w:t xml:space="preserve">    </w:t>
      </w:r>
    </w:p>
    <w:p w:rsidR="007A30A3" w:rsidRDefault="00A672E2" w:rsidP="00AC6C38">
      <w:pPr>
        <w:spacing w:line="240" w:lineRule="auto"/>
        <w:contextualSpacing/>
      </w:pPr>
      <w:r>
        <w:t>C</w:t>
      </w:r>
      <w:r w:rsidR="007A30A3">
        <w:t>omparing the blue and red data points</w:t>
      </w:r>
      <w:r>
        <w:t xml:space="preserve"> in the graphs</w:t>
      </w:r>
      <w:r w:rsidR="00560046">
        <w:t>,</w:t>
      </w:r>
      <w:r w:rsidR="007A30A3">
        <w:t xml:space="preserve"> </w:t>
      </w:r>
      <w:r w:rsidR="00560046">
        <w:t>Stit</w:t>
      </w:r>
      <w:r w:rsidR="007A30A3">
        <w:t>chFix-focused tweets tend to contain</w:t>
      </w:r>
      <w:r w:rsidR="00560046">
        <w:t xml:space="preserve"> more hashtags than its competitors</w:t>
      </w:r>
      <w:r w:rsidR="007A30A3">
        <w:t xml:space="preserve"> even after the outlier retweets were removed.  </w:t>
      </w:r>
    </w:p>
    <w:p w:rsidR="00A672E2" w:rsidRDefault="00A672E2" w:rsidP="00AC6C38">
      <w:pPr>
        <w:spacing w:line="240" w:lineRule="auto"/>
        <w:contextualSpacing/>
        <w:rPr>
          <w:i/>
          <w:color w:val="FF0000"/>
        </w:rPr>
      </w:pPr>
    </w:p>
    <w:p w:rsidR="00560046" w:rsidRPr="0085058E" w:rsidRDefault="00560046" w:rsidP="00AC6C38">
      <w:pPr>
        <w:spacing w:line="240" w:lineRule="auto"/>
        <w:contextualSpacing/>
        <w:rPr>
          <w:b/>
          <w:i/>
        </w:rPr>
      </w:pPr>
      <w:r w:rsidRPr="0085058E">
        <w:rPr>
          <w:i/>
          <w:color w:val="FF0000"/>
        </w:rPr>
        <w:t xml:space="preserve"> </w:t>
      </w:r>
      <w:r w:rsidRPr="0085058E">
        <w:rPr>
          <w:b/>
          <w:i/>
        </w:rPr>
        <w:t>Is there a correlation between number of hashtags and favorite counts?</w:t>
      </w:r>
    </w:p>
    <w:p w:rsidR="00560046" w:rsidRDefault="007A30A3" w:rsidP="00AC6C38">
      <w:pPr>
        <w:spacing w:line="240" w:lineRule="auto"/>
        <w:contextualSpacing/>
      </w:pPr>
      <w:r>
        <w:t xml:space="preserve">The data </w:t>
      </w:r>
      <w:r w:rsidR="0085058E">
        <w:t>reflect</w:t>
      </w:r>
      <w:r>
        <w:t xml:space="preserve">s </w:t>
      </w:r>
      <w:r w:rsidR="00560046">
        <w:t xml:space="preserve">a relatively flat trend in the correlation between hashtags and favorite counts. </w:t>
      </w:r>
      <w:r w:rsidR="00953DDA">
        <w:t xml:space="preserve">  Increased usage of hashtags does not </w:t>
      </w:r>
      <w:r w:rsidR="0085058E">
        <w:t>appear to</w:t>
      </w:r>
      <w:r w:rsidR="00953DDA">
        <w:t xml:space="preserve"> drive favorite counts.</w:t>
      </w:r>
      <w:r w:rsidR="00560046">
        <w:t xml:space="preserve"> </w:t>
      </w:r>
      <w:r w:rsidR="0085058E">
        <w:t xml:space="preserve"> </w:t>
      </w:r>
      <w:r>
        <w:t xml:space="preserve"> Also of note, b</w:t>
      </w:r>
      <w:r w:rsidR="0085058E">
        <w:t>ot-like activity did not influence favorite counts</w:t>
      </w:r>
      <w:r>
        <w:t>.  Fi</w:t>
      </w:r>
      <w:r w:rsidR="0054224F">
        <w:t xml:space="preserve">gure 2, which reflects </w:t>
      </w:r>
      <w:r>
        <w:t>the data trends with the</w:t>
      </w:r>
      <w:r w:rsidR="0085058E">
        <w:t xml:space="preserve"> outliers remove</w:t>
      </w:r>
      <w:r>
        <w:t>d</w:t>
      </w:r>
      <w:r w:rsidR="0054224F">
        <w:t xml:space="preserve">, </w:t>
      </w:r>
      <w:r>
        <w:t xml:space="preserve">is virtually identical to the graph </w:t>
      </w:r>
      <w:r w:rsidR="0085058E">
        <w:t>containing bot-like activity</w:t>
      </w:r>
      <w:r>
        <w:t xml:space="preserve"> above it in Figure 4. </w:t>
      </w:r>
    </w:p>
    <w:p w:rsidR="00A672E2" w:rsidRDefault="00A672E2" w:rsidP="00AC6C38">
      <w:pPr>
        <w:spacing w:line="240" w:lineRule="auto"/>
        <w:contextualSpacing/>
        <w:rPr>
          <w:b/>
          <w:i/>
        </w:rPr>
      </w:pPr>
    </w:p>
    <w:p w:rsidR="0085058E" w:rsidRPr="0085058E" w:rsidRDefault="00953DDA" w:rsidP="00AC6C38">
      <w:pPr>
        <w:spacing w:line="240" w:lineRule="auto"/>
        <w:contextualSpacing/>
        <w:rPr>
          <w:b/>
          <w:i/>
        </w:rPr>
      </w:pPr>
      <w:r w:rsidRPr="0085058E">
        <w:rPr>
          <w:b/>
          <w:i/>
        </w:rPr>
        <w:t xml:space="preserve">Is the mean number of hashtags containing </w:t>
      </w:r>
      <w:r w:rsidR="00AC6C38">
        <w:rPr>
          <w:b/>
          <w:i/>
        </w:rPr>
        <w:t>#</w:t>
      </w:r>
      <w:r w:rsidRPr="0085058E">
        <w:rPr>
          <w:b/>
          <w:i/>
        </w:rPr>
        <w:t xml:space="preserve">StitchFix the same as its competitors?   </w:t>
      </w:r>
    </w:p>
    <w:p w:rsidR="00953DDA" w:rsidRDefault="00AC6C38" w:rsidP="00AC6C38">
      <w:pPr>
        <w:spacing w:line="240" w:lineRule="auto"/>
        <w:contextualSpacing/>
      </w:pPr>
      <w:r>
        <w:t>A Welch Two Sample T-T</w:t>
      </w:r>
      <w:r w:rsidR="00953DDA">
        <w:t>est was performed on the data</w:t>
      </w:r>
      <w:r w:rsidR="002E09EC">
        <w:t xml:space="preserve">.  Findings show </w:t>
      </w:r>
      <w:r w:rsidR="007A30A3">
        <w:t xml:space="preserve">that </w:t>
      </w:r>
      <w:r w:rsidR="00953DDA">
        <w:t xml:space="preserve">at a 95% confidence </w:t>
      </w:r>
      <w:r w:rsidR="002E09EC">
        <w:t>level, the</w:t>
      </w:r>
      <w:r w:rsidR="00953DDA">
        <w:t xml:space="preserve"> </w:t>
      </w:r>
      <w:r w:rsidR="00A353D4">
        <w:t xml:space="preserve">mean number of hashtags for </w:t>
      </w:r>
      <w:r w:rsidR="00953DDA">
        <w:t>Stitch</w:t>
      </w:r>
      <w:r w:rsidR="00A353D4">
        <w:t xml:space="preserve"> </w:t>
      </w:r>
      <w:r w:rsidR="00953DDA">
        <w:t xml:space="preserve">Fix (3.18) was not the same </w:t>
      </w:r>
      <w:r w:rsidR="0085058E">
        <w:t xml:space="preserve">as its competitors (1.37) which </w:t>
      </w:r>
      <w:r w:rsidR="002E09EC">
        <w:t>are</w:t>
      </w:r>
      <w:r w:rsidR="0085058E">
        <w:t xml:space="preserve"> </w:t>
      </w:r>
      <w:r w:rsidR="00A353D4">
        <w:t>in-</w:t>
      </w:r>
      <w:r w:rsidR="0085058E">
        <w:t>line with the blue dots in the graphs showing Stitch</w:t>
      </w:r>
      <w:r w:rsidR="00A353D4">
        <w:t xml:space="preserve"> </w:t>
      </w:r>
      <w:r w:rsidR="0085058E">
        <w:t>Fix tends to use more hashtags as compared to its competitors.</w:t>
      </w:r>
      <w:r w:rsidR="007A30A3">
        <w:t xml:space="preserve">   The findings also held true when the same t-test was run on the data set excluding the data outliers.   </w:t>
      </w:r>
    </w:p>
    <w:p w:rsidR="00A672E2" w:rsidRDefault="00A672E2" w:rsidP="00AC6C38">
      <w:pPr>
        <w:spacing w:line="240" w:lineRule="auto"/>
        <w:contextualSpacing/>
        <w:rPr>
          <w:b/>
          <w:i/>
        </w:rPr>
      </w:pPr>
    </w:p>
    <w:p w:rsidR="00632E8D" w:rsidRPr="0023661C" w:rsidRDefault="0023661C" w:rsidP="00AC6C38">
      <w:pPr>
        <w:spacing w:line="240" w:lineRule="auto"/>
        <w:contextualSpacing/>
        <w:rPr>
          <w:b/>
          <w:i/>
        </w:rPr>
      </w:pPr>
      <w:r w:rsidRPr="0023661C">
        <w:rPr>
          <w:b/>
          <w:i/>
        </w:rPr>
        <w:t>Are hashtags effective as a marketing tool?</w:t>
      </w:r>
    </w:p>
    <w:p w:rsidR="0023661C" w:rsidRDefault="002E09EC" w:rsidP="00AC6C38">
      <w:pPr>
        <w:spacing w:line="240" w:lineRule="auto"/>
        <w:contextualSpacing/>
      </w:pPr>
      <w:r>
        <w:t>It</w:t>
      </w:r>
      <w:r w:rsidR="007D5FE9">
        <w:t xml:space="preserve"> </w:t>
      </w:r>
      <w:r w:rsidR="0023661C">
        <w:t>depends.   If an organization wants to get a sense of consumer sentiment without bot-like activity infl</w:t>
      </w:r>
      <w:r w:rsidR="002B5CE8">
        <w:t xml:space="preserve">uences then monitoring favorite </w:t>
      </w:r>
      <w:r w:rsidR="0023661C">
        <w:t>counts is much more important and less reliant on hashtags</w:t>
      </w:r>
      <w:r w:rsidR="007D5FE9">
        <w:t xml:space="preserve"> for generating interest.   </w:t>
      </w:r>
    </w:p>
    <w:p w:rsidR="00A672E2" w:rsidRDefault="00A672E2" w:rsidP="00AC6C38">
      <w:pPr>
        <w:spacing w:line="240" w:lineRule="auto"/>
        <w:contextualSpacing/>
      </w:pPr>
    </w:p>
    <w:p w:rsidR="00352289" w:rsidRDefault="002E09EC" w:rsidP="00AC6C38">
      <w:pPr>
        <w:spacing w:line="240" w:lineRule="auto"/>
        <w:contextualSpacing/>
      </w:pPr>
      <w:r>
        <w:t>Stitch Fix’s</w:t>
      </w:r>
      <w:r w:rsidR="0023661C">
        <w:t xml:space="preserve"> increased use of</w:t>
      </w:r>
      <w:r w:rsidR="002B5CE8">
        <w:t xml:space="preserve"> hashtags </w:t>
      </w:r>
      <w:r w:rsidR="007D5FE9">
        <w:t xml:space="preserve">appears to </w:t>
      </w:r>
      <w:r w:rsidR="002B5CE8">
        <w:t xml:space="preserve">reflect </w:t>
      </w:r>
      <w:r w:rsidR="007D5FE9">
        <w:t>a belief that more hashtags result in more r</w:t>
      </w:r>
      <w:r w:rsidR="0023661C">
        <w:t>etweet</w:t>
      </w:r>
      <w:r w:rsidR="00A353D4">
        <w:t xml:space="preserve">s which I would argue is </w:t>
      </w:r>
      <w:r w:rsidR="00352289">
        <w:t>comparable to</w:t>
      </w:r>
      <w:r w:rsidR="008F6F5C">
        <w:t xml:space="preserve"> direct mail or email </w:t>
      </w:r>
      <w:r w:rsidR="00352289">
        <w:t>campai</w:t>
      </w:r>
      <w:r w:rsidR="00A353D4">
        <w:t>gns</w:t>
      </w:r>
      <w:r w:rsidR="008F6F5C">
        <w:t xml:space="preserve"> where there are expectations of </w:t>
      </w:r>
      <w:r w:rsidR="00352289">
        <w:t>relati</w:t>
      </w:r>
      <w:r w:rsidR="008F6F5C">
        <w:t>vely low consumer response rates per piece.</w:t>
      </w:r>
      <w:r w:rsidR="00352289">
        <w:t xml:space="preserve">  </w:t>
      </w:r>
    </w:p>
    <w:p w:rsidR="00A672E2" w:rsidRDefault="00A672E2" w:rsidP="00AC6C38">
      <w:pPr>
        <w:spacing w:line="240" w:lineRule="auto"/>
        <w:contextualSpacing/>
      </w:pPr>
    </w:p>
    <w:p w:rsidR="00BB227A" w:rsidRDefault="00BB227A" w:rsidP="00AC6C38">
      <w:pPr>
        <w:spacing w:line="240" w:lineRule="auto"/>
        <w:contextualSpacing/>
      </w:pPr>
      <w:r>
        <w:t xml:space="preserve">Perhaps not surprisingly, </w:t>
      </w:r>
      <w:r w:rsidR="002E09EC">
        <w:t>Stitch Fix’s</w:t>
      </w:r>
      <w:r>
        <w:t xml:space="preserve"> tweet count is more than double that of its Twitter-active competitor, </w:t>
      </w:r>
      <w:r w:rsidR="002E09EC">
        <w:t>Stella</w:t>
      </w:r>
      <w:r w:rsidR="002E09EC">
        <w:t xml:space="preserve"> </w:t>
      </w:r>
      <w:r w:rsidR="002E09EC">
        <w:t>&amp;</w:t>
      </w:r>
      <w:r w:rsidR="002E09EC">
        <w:t xml:space="preserve"> </w:t>
      </w:r>
      <w:r w:rsidR="002E09EC">
        <w:t>Dot</w:t>
      </w:r>
      <w:r>
        <w:t xml:space="preserve">.     </w:t>
      </w:r>
      <w:r w:rsidR="00352289">
        <w:t xml:space="preserve">The bot-style activity apparent in the </w:t>
      </w:r>
      <w:r w:rsidR="007D5FE9">
        <w:t xml:space="preserve">StitchFix </w:t>
      </w:r>
      <w:r w:rsidR="00352289">
        <w:t>data seem to indicate, Stitch</w:t>
      </w:r>
      <w:r w:rsidR="00A353D4">
        <w:t xml:space="preserve"> </w:t>
      </w:r>
      <w:r w:rsidR="00352289">
        <w:t xml:space="preserve">Fix may not </w:t>
      </w:r>
      <w:r w:rsidR="008F6F5C">
        <w:t xml:space="preserve">be targeting and/or </w:t>
      </w:r>
      <w:r w:rsidR="00352289">
        <w:t>expect</w:t>
      </w:r>
      <w:r w:rsidR="008F6F5C">
        <w:t>ing a significant number of individual consumers.    A review of these specific Twitter accounts reflect pages devoted to product retweets of various sorts.</w:t>
      </w:r>
    </w:p>
    <w:p w:rsidR="00A672E2" w:rsidRDefault="00A672E2" w:rsidP="00AC6C38">
      <w:pPr>
        <w:spacing w:line="240" w:lineRule="auto"/>
        <w:contextualSpacing/>
      </w:pPr>
    </w:p>
    <w:p w:rsidR="00632E8D" w:rsidRDefault="008F6F5C" w:rsidP="00AC6C38">
      <w:pPr>
        <w:spacing w:line="240" w:lineRule="auto"/>
        <w:contextualSpacing/>
      </w:pPr>
      <w:r>
        <w:t xml:space="preserve">In </w:t>
      </w:r>
      <w:r w:rsidR="00352289">
        <w:t>ma</w:t>
      </w:r>
      <w:r w:rsidR="00B63904">
        <w:t>rketing, a primary</w:t>
      </w:r>
      <w:r w:rsidR="00A353D4">
        <w:t xml:space="preserve"> goal is to </w:t>
      </w:r>
      <w:r w:rsidR="00604329">
        <w:t xml:space="preserve">measure </w:t>
      </w:r>
      <w:r w:rsidR="00352289">
        <w:t xml:space="preserve">market interest.   </w:t>
      </w:r>
      <w:r w:rsidR="0023661C">
        <w:t>Whether an actual consumer reads bot-activity posted on</w:t>
      </w:r>
      <w:r w:rsidR="002B5CE8">
        <w:t xml:space="preserve"> </w:t>
      </w:r>
      <w:r w:rsidR="00604329">
        <w:t xml:space="preserve">these Twitter pages is </w:t>
      </w:r>
      <w:r w:rsidR="00B63904">
        <w:t>debatable</w:t>
      </w:r>
      <w:r w:rsidR="002B5CE8">
        <w:t>.</w:t>
      </w:r>
      <w:r w:rsidR="0054224F">
        <w:t xml:space="preserve">  </w:t>
      </w:r>
      <w:r w:rsidR="00B63904">
        <w:t xml:space="preserve"> Interestingly, </w:t>
      </w:r>
      <w:r w:rsidR="00A353D4">
        <w:t>S</w:t>
      </w:r>
      <w:r w:rsidR="002E09EC">
        <w:t>tella &amp; Dot</w:t>
      </w:r>
      <w:r w:rsidR="002B5CE8">
        <w:t xml:space="preserve"> and Trunk</w:t>
      </w:r>
      <w:r w:rsidR="00604329">
        <w:t xml:space="preserve"> </w:t>
      </w:r>
      <w:r w:rsidR="002B5CE8">
        <w:t xml:space="preserve">Club </w:t>
      </w:r>
      <w:r w:rsidR="00604329">
        <w:t xml:space="preserve">follow some of these </w:t>
      </w:r>
      <w:r w:rsidR="00B63904">
        <w:t>“</w:t>
      </w:r>
      <w:r w:rsidR="0023661C">
        <w:t xml:space="preserve">digital influencers” </w:t>
      </w:r>
      <w:r w:rsidR="002B5CE8">
        <w:t>pages.</w:t>
      </w:r>
      <w:r w:rsidR="00AC6C38">
        <w:t xml:space="preserve">   </w:t>
      </w:r>
      <w:r w:rsidR="002B5CE8">
        <w:t>And that’s something I’d take note of.</w:t>
      </w:r>
      <w:bookmarkStart w:id="0" w:name="_GoBack"/>
      <w:bookmarkEnd w:id="0"/>
      <w:r w:rsidR="0085058E">
        <w:rPr>
          <w:noProof/>
        </w:rPr>
        <w:drawing>
          <wp:inline distT="0" distB="0" distL="0" distR="0" wp14:anchorId="0D829A57" wp14:editId="6667B1A0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4" w:rsidRDefault="00655824" w:rsidP="00326922"/>
    <w:sectPr w:rsidR="006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22"/>
    <w:rsid w:val="0023661C"/>
    <w:rsid w:val="002610BD"/>
    <w:rsid w:val="002B5CE8"/>
    <w:rsid w:val="002E09EC"/>
    <w:rsid w:val="00325B4E"/>
    <w:rsid w:val="00326922"/>
    <w:rsid w:val="00352289"/>
    <w:rsid w:val="0035502E"/>
    <w:rsid w:val="003F73AE"/>
    <w:rsid w:val="00411B27"/>
    <w:rsid w:val="0054224F"/>
    <w:rsid w:val="00542D16"/>
    <w:rsid w:val="00560046"/>
    <w:rsid w:val="005E7C3F"/>
    <w:rsid w:val="00604329"/>
    <w:rsid w:val="00632E8D"/>
    <w:rsid w:val="00655824"/>
    <w:rsid w:val="00751DC7"/>
    <w:rsid w:val="00756496"/>
    <w:rsid w:val="00772A28"/>
    <w:rsid w:val="007A30A3"/>
    <w:rsid w:val="007A3808"/>
    <w:rsid w:val="007D5FE9"/>
    <w:rsid w:val="0085058E"/>
    <w:rsid w:val="008B7753"/>
    <w:rsid w:val="008C3B4C"/>
    <w:rsid w:val="008F6F5C"/>
    <w:rsid w:val="00953DDA"/>
    <w:rsid w:val="00986D19"/>
    <w:rsid w:val="0099474A"/>
    <w:rsid w:val="00A353D4"/>
    <w:rsid w:val="00A3738A"/>
    <w:rsid w:val="00A4624B"/>
    <w:rsid w:val="00A672E2"/>
    <w:rsid w:val="00A72E8D"/>
    <w:rsid w:val="00A90F57"/>
    <w:rsid w:val="00AC6C38"/>
    <w:rsid w:val="00B63904"/>
    <w:rsid w:val="00BB227A"/>
    <w:rsid w:val="00BE542C"/>
    <w:rsid w:val="00C364BB"/>
    <w:rsid w:val="00C80561"/>
    <w:rsid w:val="00D526B5"/>
    <w:rsid w:val="00DE11E0"/>
    <w:rsid w:val="00E46B2A"/>
    <w:rsid w:val="00EA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8</cp:revision>
  <dcterms:created xsi:type="dcterms:W3CDTF">2017-08-07T04:27:00Z</dcterms:created>
  <dcterms:modified xsi:type="dcterms:W3CDTF">2017-08-08T05:42:00Z</dcterms:modified>
</cp:coreProperties>
</file>