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Drug and Alcohol Testing Policy</w:t>
      </w:r>
    </w:p>
    <w:p>
      <w:r>
        <w:rPr>
          <w:b/>
          <w:bCs/>
          <w:sz w:val="26"/>
          <w:szCs w:val="26"/>
        </w:rPr>
        <w:t xml:space="preserve">DOT-Regulated Positions</w:t>
      </w:r>
    </w:p>
    <w:p>
      <w:pPr>
        <w:spacing w:after="120"/>
      </w:pPr>
      <w:r>
        <w:rPr>
          <w:b/>
          <w:bCs/>
        </w:rPr>
        <w:t xml:space="preserve">Prepared by: </w:t>
      </w:r>
      <w:r>
        <w:t xml:space="preserve">Truepoint HR Solutions</w:t>
      </w:r>
    </w:p>
    <w:p>
      <w:pPr>
        <w:spacing w:after="120"/>
      </w:pPr>
      <w:r>
        <w:rPr>
          <w:b/>
          <w:bCs/>
        </w:rPr>
        <w:t xml:space="preserve">Last Updated: </w:t>
      </w:r>
      <w:r>
        <w:t xml:space="preserve">2024</w:t>
      </w:r>
    </w:p>
    <w:p>
      <w:pPr>
        <w:spacing w:after="120"/>
      </w:pPr>
      <w:r>
        <w:rPr>
          <w:b/>
          <w:bCs/>
        </w:rPr>
        <w:t xml:space="preserve">Applies to: </w:t>
      </w:r>
      <w:r>
        <w:t xml:space="preserve">Construction clients with DOT-regulated CDL holders</w:t>
      </w:r>
    </w:p>
    <w:p>
      <w:pPr>
        <w:spacing w:after="240"/>
      </w:pPr>
      <w:r>
        <w:rPr>
          <w:b/>
          <w:bCs/>
        </w:rPr>
        <w:t xml:space="preserve">Status: </w:t>
      </w:r>
      <w:r>
        <w:t xml:space="preserve">Active</w:t>
      </w:r>
    </w:p>
    <w:p>
      <w:pPr>
        <w:pStyle w:val="Heading2"/>
      </w:pPr>
      <w:r>
        <w:t xml:space="preserve">1. Purpose</w:t>
      </w:r>
    </w:p>
    <w:p>
      <w:pPr>
        <w:spacing w:after="200"/>
      </w:pPr>
      <w:r>
        <w:t xml:space="preserve">This policy establishes drug and alcohol testing procedures for employees in safety-sensitive positions regulated by the U.S. Department of Transportation (DOT). It complies with 49 CFR Part 40 and applicable modal regulations (FMCSA, PHMSA, FTA, FAA, FRA).</w:t>
      </w:r>
    </w:p>
    <w:p>
      <w:pPr>
        <w:spacing w:after="200"/>
      </w:pPr>
      <w:r>
        <w:t xml:space="preserve">This policy applies in addition to any company-specific drug-free workplace policy. Where this policy and a company policy conflict regarding DOT-regulated testing, this policy controls.</w:t>
      </w:r>
    </w:p>
    <w:p>
      <w:pPr>
        <w:pStyle w:val="Heading2"/>
      </w:pPr>
      <w:r>
        <w:t xml:space="preserve">2. Covered Employees</w:t>
      </w:r>
    </w:p>
    <w:p>
      <w:pPr>
        <w:spacing w:after="120"/>
      </w:pPr>
      <w:r>
        <w:t xml:space="preserve">This policy applies to all employees performing safety-sensitive functions as defined by DOT, including:</w:t>
      </w:r>
    </w:p>
    <w:p>
      <w:pPr>
        <w:pStyle w:val="ListParagraph"/>
        <w:numPr>
          <w:ilvl w:val="0"/>
          <w:numId w:val="2"/>
        </w:numPr>
      </w:pPr>
      <w:r>
        <w:t xml:space="preserve">Commercial motor vehicle (CMV) drivers with CDL requirements</w:t>
      </w:r>
    </w:p>
    <w:p>
      <w:pPr>
        <w:pStyle w:val="ListParagraph"/>
        <w:numPr>
          <w:ilvl w:val="0"/>
          <w:numId w:val="2"/>
        </w:numPr>
      </w:pPr>
      <w:r>
        <w:t xml:space="preserve">Employees performing pipeline safety functions (PHMSA)</w:t>
      </w:r>
    </w:p>
    <w:p>
      <w:pPr>
        <w:pStyle w:val="ListParagraph"/>
        <w:numPr>
          <w:ilvl w:val="0"/>
          <w:numId w:val="2"/>
        </w:numPr>
      </w:pPr>
      <w:r>
        <w:t xml:space="preserve">Any employee required to hold a CDL for their position</w:t>
      </w:r>
    </w:p>
    <w:p>
      <w:pPr>
        <w:pStyle w:val="ListParagraph"/>
        <w:numPr>
          <w:ilvl w:val="0"/>
          <w:numId w:val="2"/>
        </w:numPr>
      </w:pPr>
      <w:r>
        <w:t xml:space="preserve">Supervisors who may be called to perform covered duties</w:t>
      </w:r>
    </w:p>
    <w:p>
      <w:pPr>
        <w:pStyle w:val="Heading2"/>
      </w:pPr>
      <w:r>
        <w:t xml:space="preserve">3. Types of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Pre-Employment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the employee performs any safety-sensitive function. Negative result required before first duty.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Random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Unannounced, spread throughout the year. Minimum 50% of covered employees for drugs, 10% for alcohol (FMCSA rates).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Post-Accident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a DOT-recordable accident if the driver received a citation OR if there was a fatality. Testing must occur within 8 hours (alcohol) or 32 hours (drugs).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Reasonable Suspicion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a trained supervisor observes behavior, appearance, or body odor consistent with drug use or alcohol misuse. Two supervisors should observe when possible.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Return-to-Duty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returning to safety-sensitive duties after a violation. Must complete SAP evaluation and treatment program first.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Follow-Up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returning to duty, for a minimum of 6 direct-observation tests in the first 12 months. SAP may require up to 60 months of follow-up testing.</w:t>
            </w:r>
          </w:p>
        </w:tc>
      </w:tr>
    </w:tbl>
    <w:p>
      <w:pPr>
        <w:pStyle w:val="Heading2"/>
      </w:pPr>
      <w:r>
        <w:t xml:space="preserve">4. Substances Tested</w:t>
      </w:r>
    </w:p>
    <w:p>
      <w:pPr>
        <w:spacing w:after="120"/>
      </w:pPr>
      <w:r>
        <w:t xml:space="preserve">DOT drug tests use a 5-panel urine test for:</w:t>
      </w:r>
    </w:p>
    <w:p>
      <w:pPr>
        <w:pStyle w:val="ListParagraph"/>
        <w:numPr>
          <w:ilvl w:val="0"/>
          <w:numId w:val="3"/>
        </w:numPr>
      </w:pPr>
      <w:r>
        <w:t xml:space="preserve">Marijuana (THC)</w:t>
      </w:r>
    </w:p>
    <w:p>
      <w:pPr>
        <w:pStyle w:val="ListParagraph"/>
        <w:numPr>
          <w:ilvl w:val="0"/>
          <w:numId w:val="3"/>
        </w:numPr>
      </w:pPr>
      <w:r>
        <w:t xml:space="preserve">Cocaine</w:t>
      </w:r>
    </w:p>
    <w:p>
      <w:pPr>
        <w:pStyle w:val="ListParagraph"/>
        <w:numPr>
          <w:ilvl w:val="0"/>
          <w:numId w:val="3"/>
        </w:numPr>
      </w:pPr>
      <w:r>
        <w:t xml:space="preserve">Opioids (codeine, morphine, heroin, hydrocodone, hydromorphone, oxycodone, oxymorphone)</w:t>
      </w:r>
    </w:p>
    <w:p>
      <w:pPr>
        <w:pStyle w:val="ListParagraph"/>
        <w:numPr>
          <w:ilvl w:val="0"/>
          <w:numId w:val="3"/>
        </w:numPr>
      </w:pPr>
      <w:r>
        <w:t xml:space="preserve">Amphetamines (amphetamine, methamphetamine, MDMA, MDA)</w:t>
      </w:r>
    </w:p>
    <w:p>
      <w:pPr>
        <w:pStyle w:val="ListParagraph"/>
        <w:numPr>
          <w:ilvl w:val="0"/>
          <w:numId w:val="3"/>
        </w:numPr>
      </w:pPr>
      <w:r>
        <w:t xml:space="preserve">Phencyclidine (PCP)</w:t>
      </w:r>
    </w:p>
    <w:p>
      <w:pPr>
        <w:spacing w:after="200" w:before="120"/>
      </w:pPr>
      <w:r>
        <w:rPr>
          <w:b/>
          <w:bCs/>
        </w:rPr>
        <w:t xml:space="preserve">Note: </w:t>
      </w:r>
      <w:r>
        <w:t xml:space="preserve">Marijuana remains a DOT-prohibited substance regardless of state legalization. Employees using marijuana (including CBD products that may contain THC) risk a positive test result.</w:t>
      </w:r>
    </w:p>
    <w:p>
      <w:pPr>
        <w:pStyle w:val="Heading2"/>
      </w:pPr>
      <w:r>
        <w:t xml:space="preserve">5. Alcohol Testing</w:t>
      </w:r>
    </w:p>
    <w:p>
      <w:pPr>
        <w:spacing w:after="120"/>
      </w:pPr>
      <w:r>
        <w:t xml:space="preserve">Alcohol testing uses an Evidential Breath Testing (EBT) device or approved saliva screening:</w:t>
      </w:r>
    </w:p>
    <w:p>
      <w:pPr>
        <w:pStyle w:val="ListParagraph"/>
        <w:numPr>
          <w:ilvl w:val="0"/>
          <w:numId w:val="2"/>
        </w:numPr>
      </w:pPr>
      <w:r>
        <w:t xml:space="preserve">BAC 0.02 to 0.039: Employee removed from safety-sensitive duties for 24 hours. Not a DOT violation but may be a company policy violation.</w:t>
      </w:r>
    </w:p>
    <w:p>
      <w:pPr>
        <w:pStyle w:val="ListParagraph"/>
        <w:numPr>
          <w:ilvl w:val="0"/>
          <w:numId w:val="2"/>
        </w:numPr>
      </w:pPr>
      <w:r>
        <w:t xml:space="preserve">BAC 0.04 or above: Positive test. Employee immediately removed from duty. Must complete SAP evaluation before return-to-duty testing.</w:t>
      </w:r>
    </w:p>
    <w:p>
      <w:pPr>
        <w:pStyle w:val="ListParagraph"/>
        <w:numPr>
          <w:ilvl w:val="0"/>
          <w:numId w:val="2"/>
        </w:numPr>
      </w:pPr>
      <w:r>
        <w:t xml:space="preserve">Pre-duty alcohol prohibition: No alcohol within 4 hours before performing safety-sensitive functions.</w:t>
      </w:r>
    </w:p>
    <w:p>
      <w:r>
        <w:br w:type="page"/>
      </w:r>
    </w:p>
    <w:p>
      <w:pPr>
        <w:pStyle w:val="Heading2"/>
      </w:pPr>
      <w:r>
        <w:t xml:space="preserve">6. Refusal to Test</w:t>
      </w:r>
    </w:p>
    <w:p>
      <w:pPr>
        <w:spacing w:after="120"/>
      </w:pPr>
      <w:r>
        <w:t xml:space="preserve">A refusal to test is treated as a positive result. Refusal includes:</w:t>
      </w:r>
    </w:p>
    <w:p>
      <w:pPr>
        <w:pStyle w:val="ListParagraph"/>
        <w:numPr>
          <w:ilvl w:val="0"/>
          <w:numId w:val="2"/>
        </w:numPr>
      </w:pPr>
      <w:r>
        <w:t xml:space="preserve">Failing to appear for testing within a reasonable time</w:t>
      </w:r>
    </w:p>
    <w:p>
      <w:pPr>
        <w:pStyle w:val="ListParagraph"/>
        <w:numPr>
          <w:ilvl w:val="0"/>
          <w:numId w:val="2"/>
        </w:numPr>
      </w:pPr>
      <w:r>
        <w:t xml:space="preserve">Failing to remain at the testing site until the process is complete</w:t>
      </w:r>
    </w:p>
    <w:p>
      <w:pPr>
        <w:pStyle w:val="ListParagraph"/>
        <w:numPr>
          <w:ilvl w:val="0"/>
          <w:numId w:val="2"/>
        </w:numPr>
      </w:pPr>
      <w:r>
        <w:t xml:space="preserve">Failing to provide a sufficient specimen without a valid medical explanation</w:t>
      </w:r>
    </w:p>
    <w:p>
      <w:pPr>
        <w:pStyle w:val="ListParagraph"/>
        <w:numPr>
          <w:ilvl w:val="0"/>
          <w:numId w:val="2"/>
        </w:numPr>
      </w:pPr>
      <w:r>
        <w:t xml:space="preserve">Failing to undergo a medical evaluation as directed by the MRO</w:t>
      </w:r>
    </w:p>
    <w:p>
      <w:pPr>
        <w:pStyle w:val="ListParagraph"/>
        <w:numPr>
          <w:ilvl w:val="0"/>
          <w:numId w:val="2"/>
        </w:numPr>
      </w:pPr>
      <w:r>
        <w:t xml:space="preserve">Failing to cooperate with any part of the testing process</w:t>
      </w:r>
    </w:p>
    <w:p>
      <w:pPr>
        <w:pStyle w:val="ListParagraph"/>
        <w:numPr>
          <w:ilvl w:val="0"/>
          <w:numId w:val="2"/>
        </w:numPr>
      </w:pPr>
      <w:r>
        <w:t xml:space="preserve">Possessing or wearing a prosthetic or other device to interfere with collection</w:t>
      </w:r>
    </w:p>
    <w:p>
      <w:pPr>
        <w:pStyle w:val="ListParagraph"/>
        <w:numPr>
          <w:ilvl w:val="0"/>
          <w:numId w:val="2"/>
        </w:numPr>
      </w:pPr>
      <w:r>
        <w:t xml:space="preserve">Admitting to the collector that the specimen was adulterated or substituted</w:t>
      </w:r>
    </w:p>
    <w:p>
      <w:pPr>
        <w:pStyle w:val="Heading2"/>
      </w:pPr>
      <w:r>
        <w:t xml:space="preserve">7. Consequences of a Positive Test or Refusal</w:t>
      </w:r>
    </w:p>
    <w:p>
      <w:pPr>
        <w:pStyle w:val="ListParagraph"/>
        <w:numPr>
          <w:ilvl w:val="0"/>
          <w:numId w:val="3"/>
        </w:numPr>
      </w:pPr>
      <w:r>
        <w:t xml:space="preserve">Immediate removal from safety-sensitive duties</w:t>
      </w:r>
    </w:p>
    <w:p>
      <w:pPr>
        <w:pStyle w:val="ListParagraph"/>
        <w:numPr>
          <w:ilvl w:val="0"/>
          <w:numId w:val="3"/>
        </w:numPr>
      </w:pPr>
      <w:r>
        <w:t xml:space="preserve">Referral to a DOT-qualified Substance Abuse Professional (SAP)</w:t>
      </w:r>
    </w:p>
    <w:p>
      <w:pPr>
        <w:pStyle w:val="ListParagraph"/>
        <w:numPr>
          <w:ilvl w:val="0"/>
          <w:numId w:val="3"/>
        </w:numPr>
      </w:pPr>
      <w:r>
        <w:t xml:space="preserve">Completion of SAP-recommended treatment program</w:t>
      </w:r>
    </w:p>
    <w:p>
      <w:pPr>
        <w:pStyle w:val="ListParagraph"/>
        <w:numPr>
          <w:ilvl w:val="0"/>
          <w:numId w:val="3"/>
        </w:numPr>
      </w:pPr>
      <w:r>
        <w:t xml:space="preserve">Negative return-to-duty test before resuming covered duties</w:t>
      </w:r>
    </w:p>
    <w:p>
      <w:pPr>
        <w:pStyle w:val="ListParagraph"/>
        <w:numPr>
          <w:ilvl w:val="0"/>
          <w:numId w:val="3"/>
        </w:numPr>
      </w:pPr>
      <w:r>
        <w:t xml:space="preserve">Follow-up testing as directed by the SAP (minimum 6 tests in 12 months)</w:t>
      </w:r>
    </w:p>
    <w:p>
      <w:pPr>
        <w:pStyle w:val="ListParagraph"/>
        <w:numPr>
          <w:ilvl w:val="0"/>
          <w:numId w:val="3"/>
        </w:numPr>
      </w:pPr>
      <w:r>
        <w:t xml:space="preserve">Company-specific disciplinary action up to and including termination (per company policy)</w:t>
      </w:r>
    </w:p>
    <w:p>
      <w:pPr>
        <w:pStyle w:val="Heading2"/>
      </w:pPr>
      <w:r>
        <w:t xml:space="preserve">8. Record Keeping</w:t>
      </w:r>
    </w:p>
    <w:p>
      <w:pPr>
        <w:spacing w:after="200"/>
      </w:pPr>
      <w:r>
        <w:t xml:space="preserve">All testing records must be maintained in a secure, confidential location separate from personnel files. Retention periods per 49 CFR Part 40: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Record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 Period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 test results and refusals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 test 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selection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SAP referral and return-to-duty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records for supervisors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Indefinite while employed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Document Notes</w:t>
      </w:r>
    </w:p>
    <w:p>
      <w:pPr>
        <w:spacing w:after="80"/>
      </w:pPr>
      <w:r>
        <w:rPr>
          <w:b/>
          <w:bCs/>
        </w:rPr>
        <w:t xml:space="preserve">Source Template: </w:t>
      </w:r>
      <w:r>
        <w:t xml:space="preserve">Templates (Marcus) / Drug Testing Policy - DOT.docx</w:t>
      </w:r>
    </w:p>
    <w:p>
      <w:pPr>
        <w:spacing w:after="80"/>
      </w:pPr>
      <w:r>
        <w:rPr>
          <w:b/>
          <w:bCs/>
        </w:rPr>
        <w:t xml:space="preserve">Auditor Flag: </w:t>
      </w:r>
      <w:r>
        <w:t xml:space="preserve">Industry-specific (construction/transportation). No duplicate exists in general templates.</w:t>
      </w:r>
    </w:p>
    <w:p>
      <w:r>
        <w:rPr>
          <w:b/>
          <w:bCs/>
        </w:rPr>
        <w:t xml:space="preserve">KUAD Tag: </w:t>
      </w:r>
      <w:r>
        <w:t xml:space="preserve">Keep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2026-03-03T13:10:05.955Z</dcterms:created>
  <dcterms:modified xsi:type="dcterms:W3CDTF">2026-03-03T13:10:05.955Z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