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axi-approval-policy-v1.0"/>
    <w:p>
      <w:pPr>
        <w:pStyle w:val="Heading1"/>
      </w:pPr>
      <w:r>
        <w:t xml:space="preserve">AXI Approval Policy v1.0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AXI-AP-001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Founder Review</w:t>
      </w:r>
      <w:r>
        <w:br/>
      </w:r>
      <w:r>
        <w:rPr>
          <w:b/>
          <w:bCs/>
        </w:rPr>
        <w:t xml:space="preserve">Lifecycle:</w:t>
      </w:r>
      <w:r>
        <w:t xml:space="preserve"> </w:t>
      </w:r>
      <w:r>
        <w:t xml:space="preserve">Draft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the authority, responsibilities, and approval process for governed reconstruction decisions.</w:t>
      </w:r>
    </w:p>
    <w:bookmarkEnd w:id="20"/>
    <w:bookmarkStart w:id="21" w:name="approval-principles"/>
    <w:p>
      <w:pPr>
        <w:pStyle w:val="Heading2"/>
      </w:pPr>
      <w:r>
        <w:t xml:space="preserve">Approval Principles</w:t>
      </w:r>
    </w:p>
    <w:p>
      <w:pPr>
        <w:pStyle w:val="Compact"/>
        <w:numPr>
          <w:ilvl w:val="0"/>
          <w:numId w:val="1001"/>
        </w:numPr>
      </w:pPr>
      <w:r>
        <w:t xml:space="preserve">No governed object becomes canonical without approval.</w:t>
      </w:r>
    </w:p>
    <w:p>
      <w:pPr>
        <w:pStyle w:val="Compact"/>
        <w:numPr>
          <w:ilvl w:val="0"/>
          <w:numId w:val="1001"/>
        </w:numPr>
      </w:pPr>
      <w:r>
        <w:t xml:space="preserve">Approvals are recorded permanently.</w:t>
      </w:r>
    </w:p>
    <w:p>
      <w:pPr>
        <w:pStyle w:val="Compact"/>
        <w:numPr>
          <w:ilvl w:val="0"/>
          <w:numId w:val="1001"/>
        </w:numPr>
      </w:pPr>
      <w:r>
        <w:t xml:space="preserve">Approval authority is explicit.</w:t>
      </w:r>
    </w:p>
    <w:p>
      <w:pPr>
        <w:pStyle w:val="Compact"/>
        <w:numPr>
          <w:ilvl w:val="0"/>
          <w:numId w:val="1001"/>
        </w:numPr>
      </w:pPr>
      <w:r>
        <w:t xml:space="preserve">Revisions require a new approval event.</w:t>
      </w:r>
    </w:p>
    <w:bookmarkEnd w:id="21"/>
    <w:bookmarkStart w:id="24" w:name="approval-authorities"/>
    <w:p>
      <w:pPr>
        <w:pStyle w:val="Heading2"/>
      </w:pPr>
      <w:r>
        <w:t xml:space="preserve">Approval Authorities</w:t>
      </w:r>
    </w:p>
    <w:bookmarkStart w:id="22" w:name="founder"/>
    <w:p>
      <w:pPr>
        <w:pStyle w:val="Heading3"/>
      </w:pPr>
      <w:r>
        <w:t xml:space="preserve">Founder</w:t>
      </w:r>
    </w:p>
    <w:p>
      <w:pPr>
        <w:pStyle w:val="FirstParagraph"/>
      </w:pPr>
      <w:r>
        <w:t xml:space="preserve">Final authority for Phase 0 governance and Baseline v1.0.</w:t>
      </w:r>
    </w:p>
    <w:bookmarkEnd w:id="22"/>
    <w:bookmarkStart w:id="23" w:name="future-governance-board"/>
    <w:p>
      <w:pPr>
        <w:pStyle w:val="Heading3"/>
      </w:pPr>
      <w:r>
        <w:t xml:space="preserve">Future Governance Board</w:t>
      </w:r>
    </w:p>
    <w:p>
      <w:pPr>
        <w:pStyle w:val="FirstParagraph"/>
      </w:pPr>
      <w:r>
        <w:t xml:space="preserve">May review and recommend approval when established. Founder authority remains unless delegated.</w:t>
      </w:r>
    </w:p>
    <w:bookmarkEnd w:id="23"/>
    <w:bookmarkEnd w:id="24"/>
    <w:bookmarkStart w:id="25" w:name="approval-states"/>
    <w:p>
      <w:pPr>
        <w:pStyle w:val="Heading2"/>
      </w:pPr>
      <w:r>
        <w:t xml:space="preserve">Approval States</w:t>
      </w:r>
    </w:p>
    <w:p>
      <w:pPr>
        <w:pStyle w:val="Compact"/>
        <w:numPr>
          <w:ilvl w:val="0"/>
          <w:numId w:val="1002"/>
        </w:numPr>
      </w:pPr>
      <w:r>
        <w:t xml:space="preserve">Draft</w:t>
      </w:r>
    </w:p>
    <w:p>
      <w:pPr>
        <w:pStyle w:val="Compact"/>
        <w:numPr>
          <w:ilvl w:val="0"/>
          <w:numId w:val="1002"/>
        </w:numPr>
      </w:pPr>
      <w:r>
        <w:t xml:space="preserve">Under Review</w:t>
      </w:r>
    </w:p>
    <w:p>
      <w:pPr>
        <w:pStyle w:val="Compact"/>
        <w:numPr>
          <w:ilvl w:val="0"/>
          <w:numId w:val="1002"/>
        </w:numPr>
      </w:pPr>
      <w:r>
        <w:t xml:space="preserve">Approved</w:t>
      </w:r>
    </w:p>
    <w:p>
      <w:pPr>
        <w:pStyle w:val="Compact"/>
        <w:numPr>
          <w:ilvl w:val="0"/>
          <w:numId w:val="1002"/>
        </w:numPr>
      </w:pPr>
      <w:r>
        <w:t xml:space="preserve">Rejected</w:t>
      </w:r>
    </w:p>
    <w:p>
      <w:pPr>
        <w:pStyle w:val="Compact"/>
        <w:numPr>
          <w:ilvl w:val="0"/>
          <w:numId w:val="1002"/>
        </w:numPr>
      </w:pPr>
      <w:r>
        <w:t xml:space="preserve">Revision Requested</w:t>
      </w:r>
    </w:p>
    <w:bookmarkEnd w:id="25"/>
    <w:bookmarkStart w:id="26" w:name="required-approval-record"/>
    <w:p>
      <w:pPr>
        <w:pStyle w:val="Heading2"/>
      </w:pPr>
      <w:r>
        <w:t xml:space="preserve">Required Approval Record</w:t>
      </w:r>
    </w:p>
    <w:p>
      <w:pPr>
        <w:pStyle w:val="Compact"/>
        <w:numPr>
          <w:ilvl w:val="0"/>
          <w:numId w:val="1003"/>
        </w:numPr>
      </w:pPr>
      <w:r>
        <w:t xml:space="preserve">Document ID</w:t>
      </w:r>
    </w:p>
    <w:p>
      <w:pPr>
        <w:pStyle w:val="Compact"/>
        <w:numPr>
          <w:ilvl w:val="0"/>
          <w:numId w:val="1003"/>
        </w:numPr>
      </w:pPr>
      <w:r>
        <w:t xml:space="preserve">Version</w:t>
      </w:r>
    </w:p>
    <w:p>
      <w:pPr>
        <w:pStyle w:val="Compact"/>
        <w:numPr>
          <w:ilvl w:val="0"/>
          <w:numId w:val="1003"/>
        </w:numPr>
      </w:pPr>
      <w:r>
        <w:t xml:space="preserve">Decision</w:t>
      </w:r>
    </w:p>
    <w:p>
      <w:pPr>
        <w:pStyle w:val="Compact"/>
        <w:numPr>
          <w:ilvl w:val="0"/>
          <w:numId w:val="1003"/>
        </w:numPr>
      </w:pPr>
      <w:r>
        <w:t xml:space="preserve">Approver</w:t>
      </w:r>
    </w:p>
    <w:p>
      <w:pPr>
        <w:pStyle w:val="Compact"/>
        <w:numPr>
          <w:ilvl w:val="0"/>
          <w:numId w:val="1003"/>
        </w:numPr>
      </w:pPr>
      <w:r>
        <w:t xml:space="preserve">Date</w:t>
      </w:r>
    </w:p>
    <w:p>
      <w:pPr>
        <w:pStyle w:val="Compact"/>
        <w:numPr>
          <w:ilvl w:val="0"/>
          <w:numId w:val="1003"/>
        </w:numPr>
      </w:pPr>
      <w:r>
        <w:t xml:space="preserve">Rationale</w:t>
      </w:r>
    </w:p>
    <w:p>
      <w:pPr>
        <w:pStyle w:val="Compact"/>
        <w:numPr>
          <w:ilvl w:val="0"/>
          <w:numId w:val="1003"/>
        </w:numPr>
      </w:pPr>
      <w:r>
        <w:t xml:space="preserve">Related Decision Record</w:t>
      </w:r>
    </w:p>
    <w:bookmarkEnd w:id="26"/>
    <w:bookmarkStart w:id="27" w:name="rules"/>
    <w:p>
      <w:pPr>
        <w:pStyle w:val="Heading2"/>
      </w:pPr>
      <w:r>
        <w:t xml:space="preserve">Rules</w:t>
      </w:r>
    </w:p>
    <w:p>
      <w:pPr>
        <w:pStyle w:val="Compact"/>
        <w:numPr>
          <w:ilvl w:val="0"/>
          <w:numId w:val="1004"/>
        </w:numPr>
      </w:pPr>
      <w:r>
        <w:t xml:space="preserve">Rejections are retained with rationale.</w:t>
      </w:r>
    </w:p>
    <w:p>
      <w:pPr>
        <w:pStyle w:val="Compact"/>
        <w:numPr>
          <w:ilvl w:val="0"/>
          <w:numId w:val="1004"/>
        </w:numPr>
      </w:pPr>
      <w:r>
        <w:t xml:space="preserve">Superseded approvals remain archived.</w:t>
      </w:r>
    </w:p>
    <w:p>
      <w:pPr>
        <w:pStyle w:val="Compact"/>
        <w:numPr>
          <w:ilvl w:val="0"/>
          <w:numId w:val="1004"/>
        </w:numPr>
      </w:pPr>
      <w:r>
        <w:t xml:space="preserve">Approval history is immutable.</w:t>
      </w:r>
    </w:p>
    <w:bookmarkEnd w:id="27"/>
    <w:bookmarkStart w:id="28" w:name="definition-of-completion"/>
    <w:p>
      <w:pPr>
        <w:pStyle w:val="Heading2"/>
      </w:pPr>
      <w:r>
        <w:t xml:space="preserve">Definition of Completion</w:t>
      </w:r>
    </w:p>
    <w:p>
      <w:pPr>
        <w:pStyle w:val="FirstParagraph"/>
      </w:pPr>
      <w:r>
        <w:t xml:space="preserve">A governed object satisfies this policy when its approval history is complete, auditable, and linked to the governing decision.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Next Document: AXI-RP-001 Reconstruction Phase Plan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2026-07-13T21:51:24Z</dcterms:created>
  <dcterms:modified xsi:type="dcterms:W3CDTF">2026-07-13T21:51:24Z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