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xi-object-standard-v1.0"/>
    <w:p>
      <w:pPr>
        <w:pStyle w:val="Heading1"/>
      </w:pPr>
      <w:r>
        <w:t xml:space="preserve">AXI Object Standard v1.0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AXI-OS-001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Founder Review</w:t>
      </w:r>
      <w:r>
        <w:br/>
      </w:r>
      <w:r>
        <w:rPr>
          <w:b/>
          <w:bCs/>
        </w:rPr>
        <w:t xml:space="preserve">Lifecycle:</w:t>
      </w:r>
      <w:r>
        <w:t xml:space="preserve"> </w:t>
      </w:r>
      <w:r>
        <w:t xml:space="preserve">Draft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 the governed object model used throughout AXI Reconstruction. Every managed item shall be represented as a governed object with a unique identity, metadata, provenance, and lifecycle.</w:t>
      </w:r>
    </w:p>
    <w:bookmarkEnd w:id="20"/>
    <w:bookmarkStart w:id="21" w:name="governing-principles"/>
    <w:p>
      <w:pPr>
        <w:pStyle w:val="Heading2"/>
      </w:pPr>
      <w:r>
        <w:t xml:space="preserve">Governing Principles</w:t>
      </w:r>
    </w:p>
    <w:p>
      <w:pPr>
        <w:pStyle w:val="Compact"/>
        <w:numPr>
          <w:ilvl w:val="0"/>
          <w:numId w:val="1001"/>
        </w:numPr>
      </w:pPr>
      <w:r>
        <w:t xml:space="preserve">Every governed object has one canonical representation.</w:t>
      </w:r>
    </w:p>
    <w:p>
      <w:pPr>
        <w:pStyle w:val="Compact"/>
        <w:numPr>
          <w:ilvl w:val="0"/>
          <w:numId w:val="1001"/>
        </w:numPr>
      </w:pPr>
      <w:r>
        <w:t xml:space="preserve">Every object has a permanent identifier.</w:t>
      </w:r>
    </w:p>
    <w:p>
      <w:pPr>
        <w:pStyle w:val="Compact"/>
        <w:numPr>
          <w:ilvl w:val="0"/>
          <w:numId w:val="1001"/>
        </w:numPr>
      </w:pPr>
      <w:r>
        <w:t xml:space="preserve">Every object maintains provenance.</w:t>
      </w:r>
    </w:p>
    <w:p>
      <w:pPr>
        <w:pStyle w:val="Compact"/>
        <w:numPr>
          <w:ilvl w:val="0"/>
          <w:numId w:val="1001"/>
        </w:numPr>
      </w:pPr>
      <w:r>
        <w:t xml:space="preserve">Every object has an assigned lifecycle state.</w:t>
      </w:r>
    </w:p>
    <w:p>
      <w:pPr>
        <w:pStyle w:val="Compact"/>
        <w:numPr>
          <w:ilvl w:val="0"/>
          <w:numId w:val="1001"/>
        </w:numPr>
      </w:pPr>
      <w:r>
        <w:t xml:space="preserve">Relationships between objects are explicit and traceable.</w:t>
      </w:r>
    </w:p>
    <w:bookmarkEnd w:id="21"/>
    <w:bookmarkStart w:id="22" w:name="governed-object-types"/>
    <w:p>
      <w:pPr>
        <w:pStyle w:val="Heading2"/>
      </w:pPr>
      <w:r>
        <w:t xml:space="preserve">Governed Object Types</w:t>
      </w:r>
    </w:p>
    <w:p>
      <w:pPr>
        <w:pStyle w:val="Compact"/>
        <w:numPr>
          <w:ilvl w:val="0"/>
          <w:numId w:val="1002"/>
        </w:numPr>
      </w:pPr>
      <w:r>
        <w:t xml:space="preserve">Publication</w:t>
      </w:r>
    </w:p>
    <w:p>
      <w:pPr>
        <w:pStyle w:val="Compact"/>
        <w:numPr>
          <w:ilvl w:val="0"/>
          <w:numId w:val="1002"/>
        </w:numPr>
      </w:pPr>
      <w:r>
        <w:t xml:space="preserve">Standard</w:t>
      </w:r>
    </w:p>
    <w:p>
      <w:pPr>
        <w:pStyle w:val="Compact"/>
        <w:numPr>
          <w:ilvl w:val="0"/>
          <w:numId w:val="1002"/>
        </w:numPr>
      </w:pPr>
      <w:r>
        <w:t xml:space="preserve">Policy</w:t>
      </w:r>
    </w:p>
    <w:p>
      <w:pPr>
        <w:pStyle w:val="Compact"/>
        <w:numPr>
          <w:ilvl w:val="0"/>
          <w:numId w:val="1002"/>
        </w:numPr>
      </w:pPr>
      <w:r>
        <w:t xml:space="preserve">Workflow</w:t>
      </w:r>
    </w:p>
    <w:p>
      <w:pPr>
        <w:pStyle w:val="Compact"/>
        <w:numPr>
          <w:ilvl w:val="0"/>
          <w:numId w:val="1002"/>
        </w:numPr>
      </w:pPr>
      <w:r>
        <w:t xml:space="preserve">Charter</w:t>
      </w:r>
    </w:p>
    <w:p>
      <w:pPr>
        <w:pStyle w:val="Compact"/>
        <w:numPr>
          <w:ilvl w:val="0"/>
          <w:numId w:val="1002"/>
        </w:numPr>
      </w:pPr>
      <w:r>
        <w:t xml:space="preserve">Decision Record</w:t>
      </w:r>
    </w:p>
    <w:p>
      <w:pPr>
        <w:pStyle w:val="Compact"/>
        <w:numPr>
          <w:ilvl w:val="0"/>
          <w:numId w:val="1002"/>
        </w:numPr>
      </w:pPr>
      <w:r>
        <w:t xml:space="preserve">Knowledge Article</w:t>
      </w:r>
    </w:p>
    <w:p>
      <w:pPr>
        <w:pStyle w:val="Compact"/>
        <w:numPr>
          <w:ilvl w:val="0"/>
          <w:numId w:val="1002"/>
        </w:numPr>
      </w:pPr>
      <w:r>
        <w:t xml:space="preserve">Framework</w:t>
      </w:r>
    </w:p>
    <w:p>
      <w:pPr>
        <w:pStyle w:val="Compact"/>
        <w:numPr>
          <w:ilvl w:val="0"/>
          <w:numId w:val="1002"/>
        </w:numPr>
      </w:pPr>
      <w:r>
        <w:t xml:space="preserve">Formula</w:t>
      </w:r>
    </w:p>
    <w:p>
      <w:pPr>
        <w:pStyle w:val="Compact"/>
        <w:numPr>
          <w:ilvl w:val="0"/>
          <w:numId w:val="1002"/>
        </w:numPr>
      </w:pPr>
      <w:r>
        <w:t xml:space="preserve">Dataset</w:t>
      </w:r>
    </w:p>
    <w:p>
      <w:pPr>
        <w:pStyle w:val="Compact"/>
        <w:numPr>
          <w:ilvl w:val="0"/>
          <w:numId w:val="1002"/>
        </w:numPr>
      </w:pPr>
      <w:r>
        <w:t xml:space="preserve">Template</w:t>
      </w:r>
    </w:p>
    <w:p>
      <w:pPr>
        <w:pStyle w:val="Compact"/>
        <w:numPr>
          <w:ilvl w:val="0"/>
          <w:numId w:val="1002"/>
        </w:numPr>
      </w:pPr>
      <w:r>
        <w:t xml:space="preserve">Project</w:t>
      </w:r>
    </w:p>
    <w:p>
      <w:pPr>
        <w:pStyle w:val="Compact"/>
        <w:numPr>
          <w:ilvl w:val="0"/>
          <w:numId w:val="1002"/>
        </w:numPr>
      </w:pPr>
      <w:r>
        <w:t xml:space="preserve">Service</w:t>
      </w:r>
    </w:p>
    <w:p>
      <w:pPr>
        <w:pStyle w:val="Compact"/>
        <w:numPr>
          <w:ilvl w:val="0"/>
          <w:numId w:val="1002"/>
        </w:numPr>
      </w:pPr>
      <w:r>
        <w:t xml:space="preserve">Report</w:t>
      </w:r>
    </w:p>
    <w:p>
      <w:pPr>
        <w:pStyle w:val="Compact"/>
        <w:numPr>
          <w:ilvl w:val="0"/>
          <w:numId w:val="1002"/>
        </w:numPr>
      </w:pPr>
      <w:r>
        <w:t xml:space="preserve">Diagram</w:t>
      </w:r>
    </w:p>
    <w:p>
      <w:pPr>
        <w:pStyle w:val="Compact"/>
        <w:numPr>
          <w:ilvl w:val="0"/>
          <w:numId w:val="1002"/>
        </w:numPr>
      </w:pPr>
      <w:r>
        <w:t xml:space="preserve">Asset</w:t>
      </w:r>
    </w:p>
    <w:p>
      <w:pPr>
        <w:pStyle w:val="Compact"/>
        <w:numPr>
          <w:ilvl w:val="0"/>
          <w:numId w:val="1002"/>
        </w:numPr>
      </w:pPr>
      <w:r>
        <w:t xml:space="preserve">Archive Item</w:t>
      </w:r>
    </w:p>
    <w:p>
      <w:pPr>
        <w:pStyle w:val="Compact"/>
        <w:numPr>
          <w:ilvl w:val="0"/>
          <w:numId w:val="1002"/>
        </w:numPr>
      </w:pPr>
      <w:r>
        <w:t xml:space="preserve">Source Artifact</w:t>
      </w:r>
    </w:p>
    <w:bookmarkEnd w:id="22"/>
    <w:bookmarkStart w:id="23" w:name="required-metadata"/>
    <w:p>
      <w:pPr>
        <w:pStyle w:val="Heading2"/>
      </w:pPr>
      <w:r>
        <w:t xml:space="preserve">Required Metadata</w:t>
      </w:r>
    </w:p>
    <w:p>
      <w:pPr>
        <w:pStyle w:val="FirstParagraph"/>
      </w:pPr>
      <w:r>
        <w:t xml:space="preserve">Every object shall include:</w:t>
      </w:r>
      <w:r>
        <w:t xml:space="preserve"> </w:t>
      </w:r>
      <w:r>
        <w:t xml:space="preserve">- Object ID</w:t>
      </w:r>
      <w:r>
        <w:t xml:space="preserve"> </w:t>
      </w:r>
      <w:r>
        <w:t xml:space="preserve">- Title</w:t>
      </w:r>
      <w:r>
        <w:t xml:space="preserve"> </w:t>
      </w:r>
      <w:r>
        <w:t xml:space="preserve">- Object Type</w:t>
      </w:r>
      <w:r>
        <w:t xml:space="preserve"> </w:t>
      </w:r>
      <w:r>
        <w:t xml:space="preserve">- Version</w:t>
      </w:r>
      <w:r>
        <w:t xml:space="preserve"> </w:t>
      </w:r>
      <w:r>
        <w:t xml:space="preserve">- Status</w:t>
      </w:r>
      <w:r>
        <w:t xml:space="preserve"> </w:t>
      </w:r>
      <w:r>
        <w:t xml:space="preserve">- Lifecycle State</w:t>
      </w:r>
      <w:r>
        <w:t xml:space="preserve"> </w:t>
      </w:r>
      <w:r>
        <w:t xml:space="preserve">- Owner</w:t>
      </w:r>
      <w:r>
        <w:t xml:space="preserve"> </w:t>
      </w:r>
      <w:r>
        <w:t xml:space="preserve">- Source Reference</w:t>
      </w:r>
      <w:r>
        <w:t xml:space="preserve"> </w:t>
      </w:r>
      <w:r>
        <w:t xml:space="preserve">- Provenance Record</w:t>
      </w:r>
      <w:r>
        <w:t xml:space="preserve"> </w:t>
      </w:r>
      <w:r>
        <w:t xml:space="preserve">- Dependencies</w:t>
      </w:r>
      <w:r>
        <w:t xml:space="preserve"> </w:t>
      </w:r>
      <w:r>
        <w:t xml:space="preserve">- Related Objects</w:t>
      </w:r>
      <w:r>
        <w:t xml:space="preserve"> </w:t>
      </w:r>
      <w:r>
        <w:t xml:space="preserve">- Approval Authority</w:t>
      </w:r>
      <w:r>
        <w:t xml:space="preserve"> </w:t>
      </w:r>
      <w:r>
        <w:t xml:space="preserve">- Created Date</w:t>
      </w:r>
      <w:r>
        <w:t xml:space="preserve"> </w:t>
      </w:r>
      <w:r>
        <w:t xml:space="preserve">- Modified Date</w:t>
      </w:r>
    </w:p>
    <w:bookmarkEnd w:id="23"/>
    <w:bookmarkStart w:id="24" w:name="identifier-standard"/>
    <w:p>
      <w:pPr>
        <w:pStyle w:val="Heading2"/>
      </w:pPr>
      <w:r>
        <w:t xml:space="preserve">Identifier Standard</w:t>
      </w:r>
    </w:p>
    <w:p>
      <w:pPr>
        <w:pStyle w:val="FirstParagraph"/>
      </w:pPr>
      <w:r>
        <w:t xml:space="preserve">Identifiers shall be unique and immutable.</w:t>
      </w:r>
    </w:p>
    <w:p>
      <w:pPr>
        <w:pStyle w:val="BodyText"/>
      </w:pPr>
      <w:r>
        <w:t xml:space="preserve">Examples:</w:t>
      </w:r>
      <w:r>
        <w:t xml:space="preserve"> </w:t>
      </w:r>
      <w:r>
        <w:t xml:space="preserve">- AXI-RC-001</w:t>
      </w:r>
      <w:r>
        <w:t xml:space="preserve"> </w:t>
      </w:r>
      <w:r>
        <w:t xml:space="preserve">- AXI-RW-001</w:t>
      </w:r>
      <w:r>
        <w:t xml:space="preserve"> </w:t>
      </w:r>
      <w:r>
        <w:t xml:space="preserve">- AXI-OS-001</w:t>
      </w:r>
      <w:r>
        <w:t xml:space="preserve"> </w:t>
      </w:r>
      <w:r>
        <w:t xml:space="preserve">- AXI-LS-001</w:t>
      </w:r>
      <w:r>
        <w:t xml:space="preserve"> </w:t>
      </w:r>
      <w:r>
        <w:t xml:space="preserve">- AXI-PP-001</w:t>
      </w:r>
    </w:p>
    <w:bookmarkEnd w:id="24"/>
    <w:bookmarkStart w:id="25" w:name="relationships"/>
    <w:p>
      <w:pPr>
        <w:pStyle w:val="Heading2"/>
      </w:pPr>
      <w:r>
        <w:t xml:space="preserve">Relationships</w:t>
      </w:r>
    </w:p>
    <w:p>
      <w:pPr>
        <w:pStyle w:val="FirstParagraph"/>
      </w:pPr>
      <w:r>
        <w:t xml:space="preserve">Objects may reference:</w:t>
      </w:r>
      <w:r>
        <w:t xml:space="preserve"> </w:t>
      </w:r>
      <w:r>
        <w:t xml:space="preserve">- Parent</w:t>
      </w:r>
      <w:r>
        <w:t xml:space="preserve"> </w:t>
      </w:r>
      <w:r>
        <w:t xml:space="preserve">- Child</w:t>
      </w:r>
      <w:r>
        <w:t xml:space="preserve"> </w:t>
      </w:r>
      <w:r>
        <w:t xml:space="preserve">- Depends On</w:t>
      </w:r>
      <w:r>
        <w:t xml:space="preserve"> </w:t>
      </w:r>
      <w:r>
        <w:t xml:space="preserve">- Supersedes</w:t>
      </w:r>
      <w:r>
        <w:t xml:space="preserve"> </w:t>
      </w:r>
      <w:r>
        <w:t xml:space="preserve">- Superseded By</w:t>
      </w:r>
      <w:r>
        <w:t xml:space="preserve"> </w:t>
      </w:r>
      <w:r>
        <w:t xml:space="preserve">- Related To</w:t>
      </w:r>
      <w:r>
        <w:t xml:space="preserve"> </w:t>
      </w:r>
      <w:r>
        <w:t xml:space="preserve">- Derived From</w:t>
      </w:r>
    </w:p>
    <w:bookmarkEnd w:id="25"/>
    <w:bookmarkStart w:id="26" w:name="validation-rules"/>
    <w:p>
      <w:pPr>
        <w:pStyle w:val="Heading2"/>
      </w:pPr>
      <w:r>
        <w:t xml:space="preserve">Validation Rules</w:t>
      </w:r>
    </w:p>
    <w:p>
      <w:pPr>
        <w:pStyle w:val="FirstParagraph"/>
      </w:pPr>
      <w:r>
        <w:t xml:space="preserve">An object is not eligible for canonization unless:</w:t>
      </w:r>
      <w:r>
        <w:t xml:space="preserve"> </w:t>
      </w:r>
      <w:r>
        <w:t xml:space="preserve">- Metadata is complete.</w:t>
      </w:r>
      <w:r>
        <w:t xml:space="preserve"> </w:t>
      </w:r>
      <w:r>
        <w:t xml:space="preserve">- Provenance is recorded.</w:t>
      </w:r>
      <w:r>
        <w:t xml:space="preserve"> </w:t>
      </w:r>
      <w:r>
        <w:t xml:space="preserve">- Lifecycle is assigned.</w:t>
      </w:r>
      <w:r>
        <w:t xml:space="preserve"> </w:t>
      </w:r>
      <w:r>
        <w:t xml:space="preserve">- Identifier is unique.</w:t>
      </w:r>
      <w:r>
        <w:t xml:space="preserve"> </w:t>
      </w:r>
      <w:r>
        <w:t xml:space="preserve">- Approval status is defined.</w:t>
      </w:r>
    </w:p>
    <w:bookmarkEnd w:id="26"/>
    <w:bookmarkStart w:id="27" w:name="definition-of-completion"/>
    <w:p>
      <w:pPr>
        <w:pStyle w:val="Heading2"/>
      </w:pPr>
      <w:r>
        <w:t xml:space="preserve">Definition of Completion</w:t>
      </w:r>
    </w:p>
    <w:p>
      <w:pPr>
        <w:pStyle w:val="FirstParagraph"/>
      </w:pPr>
      <w:r>
        <w:t xml:space="preserve">The Object Standard is satisfied when every governed object follows this specification.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Next Document: AXI-LS-001 Lifecycle Standard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2026-07-13T21:37:29Z</dcterms:created>
  <dcterms:modified xsi:type="dcterms:W3CDTF">2026-07-13T21:37:29Z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