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xi-provenance-policy-v1.0"/>
    <w:p>
      <w:pPr>
        <w:pStyle w:val="Heading1"/>
      </w:pPr>
      <w:r>
        <w:t xml:space="preserve">AXI Provenance Policy v1.0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AXI-PP-001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Founder Review</w:t>
      </w:r>
      <w:r>
        <w:t xml:space="preserve"> </w:t>
      </w:r>
      <w:r>
        <w:rPr>
          <w:b/>
          <w:bCs/>
        </w:rPr>
        <w:t xml:space="preserve">Lifecycle:</w:t>
      </w:r>
      <w:r>
        <w:t xml:space="preserve"> </w:t>
      </w:r>
      <w:r>
        <w:t xml:space="preserve">Draft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Establish mandatory provenance requirements for every governed AXI object to ensure every canonical statement, decision, and artifact is traceable to its source.</w:t>
      </w:r>
    </w:p>
    <w:bookmarkEnd w:id="20"/>
    <w:bookmarkStart w:id="21" w:name="policy-principles"/>
    <w:p>
      <w:pPr>
        <w:pStyle w:val="Heading2"/>
      </w:pPr>
      <w:r>
        <w:t xml:space="preserve">Policy Principles</w:t>
      </w:r>
    </w:p>
    <w:p>
      <w:pPr>
        <w:pStyle w:val="Compact"/>
        <w:numPr>
          <w:ilvl w:val="0"/>
          <w:numId w:val="1001"/>
        </w:numPr>
      </w:pPr>
      <w:r>
        <w:t xml:space="preserve">Every governed object shall have provenance.</w:t>
      </w:r>
    </w:p>
    <w:p>
      <w:pPr>
        <w:pStyle w:val="Compact"/>
        <w:numPr>
          <w:ilvl w:val="0"/>
          <w:numId w:val="1001"/>
        </w:numPr>
      </w:pPr>
      <w:r>
        <w:t xml:space="preserve">Provenance is preserved permanently.</w:t>
      </w:r>
    </w:p>
    <w:p>
      <w:pPr>
        <w:pStyle w:val="Compact"/>
        <w:numPr>
          <w:ilvl w:val="0"/>
          <w:numId w:val="1001"/>
        </w:numPr>
      </w:pPr>
      <w:r>
        <w:t xml:space="preserve">Historical sources are never overwritten.</w:t>
      </w:r>
    </w:p>
    <w:p>
      <w:pPr>
        <w:pStyle w:val="Compact"/>
        <w:numPr>
          <w:ilvl w:val="0"/>
          <w:numId w:val="1001"/>
        </w:numPr>
      </w:pPr>
      <w:r>
        <w:t xml:space="preserve">Confidence shall be explicit.</w:t>
      </w:r>
    </w:p>
    <w:p>
      <w:pPr>
        <w:pStyle w:val="Compact"/>
        <w:numPr>
          <w:ilvl w:val="0"/>
          <w:numId w:val="1001"/>
        </w:numPr>
      </w:pPr>
      <w:r>
        <w:t xml:space="preserve">Missing provenance shall be recorded, not assumed.</w:t>
      </w:r>
    </w:p>
    <w:bookmarkEnd w:id="21"/>
    <w:bookmarkStart w:id="22" w:name="required-provenance"/>
    <w:p>
      <w:pPr>
        <w:pStyle w:val="Heading2"/>
      </w:pPr>
      <w:r>
        <w:t xml:space="preserve">Required Provenance</w:t>
      </w:r>
    </w:p>
    <w:p>
      <w:pPr>
        <w:pStyle w:val="FirstParagraph"/>
      </w:pPr>
      <w:r>
        <w:t xml:space="preserve">Each governed object shall record:</w:t>
      </w:r>
      <w:r>
        <w:t xml:space="preserve"> </w:t>
      </w:r>
      <w:r>
        <w:t xml:space="preserve">- Object ID</w:t>
      </w:r>
      <w:r>
        <w:t xml:space="preserve"> </w:t>
      </w:r>
      <w:r>
        <w:t xml:space="preserve">- Source artifact(s)</w:t>
      </w:r>
      <w:r>
        <w:t xml:space="preserve"> </w:t>
      </w:r>
      <w:r>
        <w:t xml:space="preserve">- Original filename/location</w:t>
      </w:r>
      <w:r>
        <w:t xml:space="preserve"> </w:t>
      </w:r>
      <w:r>
        <w:t xml:space="preserve">- Source version</w:t>
      </w:r>
      <w:r>
        <w:t xml:space="preserve"> </w:t>
      </w:r>
      <w:r>
        <w:t xml:space="preserve">- Original author (if known)</w:t>
      </w:r>
      <w:r>
        <w:t xml:space="preserve"> </w:t>
      </w:r>
      <w:r>
        <w:t xml:space="preserve">- Origin date (if known)</w:t>
      </w:r>
      <w:r>
        <w:t xml:space="preserve"> </w:t>
      </w:r>
      <w:r>
        <w:t xml:space="preserve">- Reconstruction date</w:t>
      </w:r>
      <w:r>
        <w:t xml:space="preserve"> </w:t>
      </w:r>
      <w:r>
        <w:t xml:space="preserve">- Reconstruction authority</w:t>
      </w:r>
      <w:r>
        <w:t xml:space="preserve"> </w:t>
      </w:r>
      <w:r>
        <w:t xml:space="preserve">- Evidence references</w:t>
      </w:r>
      <w:r>
        <w:t xml:space="preserve"> </w:t>
      </w:r>
      <w:r>
        <w:t xml:space="preserve">- Confidence assessment</w:t>
      </w:r>
      <w:r>
        <w:t xml:space="preserve"> </w:t>
      </w:r>
      <w:r>
        <w:t xml:space="preserve">- Related decision records</w:t>
      </w:r>
      <w:r>
        <w:t xml:space="preserve"> </w:t>
      </w:r>
      <w:r>
        <w:t xml:space="preserve">- Supersession status</w:t>
      </w:r>
    </w:p>
    <w:bookmarkEnd w:id="22"/>
    <w:bookmarkStart w:id="23" w:name="evidence-levels"/>
    <w:p>
      <w:pPr>
        <w:pStyle w:val="Heading2"/>
      </w:pPr>
      <w:r>
        <w:t xml:space="preserve">Evidence Levels</w:t>
      </w:r>
    </w:p>
    <w:p>
      <w:pPr>
        <w:pStyle w:val="Compact"/>
        <w:numPr>
          <w:ilvl w:val="0"/>
          <w:numId w:val="1002"/>
        </w:numPr>
      </w:pPr>
      <w:r>
        <w:t xml:space="preserve">Level 1: Primary source</w:t>
      </w:r>
    </w:p>
    <w:p>
      <w:pPr>
        <w:pStyle w:val="Compact"/>
        <w:numPr>
          <w:ilvl w:val="0"/>
          <w:numId w:val="1002"/>
        </w:numPr>
      </w:pPr>
      <w:r>
        <w:t xml:space="preserve">Level 2: Multiple corroborating sources</w:t>
      </w:r>
    </w:p>
    <w:p>
      <w:pPr>
        <w:pStyle w:val="Compact"/>
        <w:numPr>
          <w:ilvl w:val="0"/>
          <w:numId w:val="1002"/>
        </w:numPr>
      </w:pPr>
      <w:r>
        <w:t xml:space="preserve">Level 3: Single secondary source</w:t>
      </w:r>
    </w:p>
    <w:p>
      <w:pPr>
        <w:pStyle w:val="Compact"/>
        <w:numPr>
          <w:ilvl w:val="0"/>
          <w:numId w:val="1002"/>
        </w:numPr>
      </w:pPr>
      <w:r>
        <w:t xml:space="preserve">Level 4: Inference (clearly labeled)</w:t>
      </w:r>
    </w:p>
    <w:p>
      <w:pPr>
        <w:pStyle w:val="Compact"/>
        <w:numPr>
          <w:ilvl w:val="0"/>
          <w:numId w:val="1002"/>
        </w:numPr>
      </w:pPr>
      <w:r>
        <w:t xml:space="preserve">Level 5: Unknown / unresolved</w:t>
      </w:r>
    </w:p>
    <w:bookmarkEnd w:id="23"/>
    <w:bookmarkStart w:id="24" w:name="confidence"/>
    <w:p>
      <w:pPr>
        <w:pStyle w:val="Heading2"/>
      </w:pPr>
      <w:r>
        <w:t xml:space="preserve">Confidence</w:t>
      </w:r>
    </w:p>
    <w:p>
      <w:pPr>
        <w:pStyle w:val="FirstParagraph"/>
      </w:pPr>
      <w:r>
        <w:t xml:space="preserve">High, Moderate, Low, or Unknown.</w:t>
      </w:r>
    </w:p>
    <w:bookmarkEnd w:id="24"/>
    <w:bookmarkStart w:id="25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03"/>
        </w:numPr>
      </w:pPr>
      <w:r>
        <w:t xml:space="preserve">Every canonical claim shall cite supporting evidence.</w:t>
      </w:r>
    </w:p>
    <w:p>
      <w:pPr>
        <w:pStyle w:val="Compact"/>
        <w:numPr>
          <w:ilvl w:val="0"/>
          <w:numId w:val="1003"/>
        </w:numPr>
      </w:pPr>
      <w:r>
        <w:t xml:space="preserve">Conflicts shall be documented, not hidden.</w:t>
      </w:r>
    </w:p>
    <w:p>
      <w:pPr>
        <w:pStyle w:val="Compact"/>
        <w:numPr>
          <w:ilvl w:val="0"/>
          <w:numId w:val="1003"/>
        </w:numPr>
      </w:pPr>
      <w:r>
        <w:t xml:space="preserve">Loss of provenance prevents canonization.</w:t>
      </w:r>
    </w:p>
    <w:p>
      <w:pPr>
        <w:pStyle w:val="Compact"/>
        <w:numPr>
          <w:ilvl w:val="0"/>
          <w:numId w:val="1003"/>
        </w:numPr>
      </w:pPr>
      <w:r>
        <w:t xml:space="preserve">Provenance updates create an audit trail.</w:t>
      </w:r>
    </w:p>
    <w:bookmarkEnd w:id="25"/>
    <w:bookmarkStart w:id="26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A governed object cannot enter Approved or Active without complete provenance.</w:t>
      </w:r>
    </w:p>
    <w:bookmarkEnd w:id="26"/>
    <w:bookmarkStart w:id="27" w:name="definition-of-completion"/>
    <w:p>
      <w:pPr>
        <w:pStyle w:val="Heading2"/>
      </w:pPr>
      <w:r>
        <w:t xml:space="preserve">Definition of Completion</w:t>
      </w:r>
    </w:p>
    <w:p>
      <w:pPr>
        <w:pStyle w:val="FirstParagraph"/>
      </w:pPr>
      <w:r>
        <w:t xml:space="preserve">This policy is satisfied when every governed object includes complete provenance and an auditable chain back to its origin.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Next Document: AXI-AP-001 Approval Policy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2026-07-13T21:49:55Z</dcterms:created>
  <dcterms:modified xsi:type="dcterms:W3CDTF">2026-07-13T21:49:55Z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