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xi-reconstruction-charter-v1.0"/>
    <w:p>
      <w:pPr>
        <w:pStyle w:val="Heading1"/>
      </w:pPr>
      <w:r>
        <w:t xml:space="preserve">AXI Reconstruction Charter v1.0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AXI-RC-001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(Foundational Draft)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Founder Review</w:t>
      </w:r>
      <w:r>
        <w:br/>
      </w:r>
      <w:r>
        <w:rPr>
          <w:b/>
          <w:bCs/>
        </w:rPr>
        <w:t xml:space="preserve">Lifecycle State: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Authority:</w:t>
      </w:r>
      <w:r>
        <w:t xml:space="preserve"> </w:t>
      </w:r>
      <w:r>
        <w:t xml:space="preserve">Founder Approval Required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AXI Reconstruction Charter establishes the governing authority for reconstructing the Algorithms By Idea (AXI) knowledge system. It governs the reconstruction process only.</w:t>
      </w:r>
    </w:p>
    <w:bookmarkEnd w:id="20"/>
    <w:bookmarkStart w:id="21" w:name="mission"/>
    <w:p>
      <w:pPr>
        <w:pStyle w:val="Heading2"/>
      </w:pPr>
      <w:r>
        <w:t xml:space="preserve">2. Mission</w:t>
      </w:r>
    </w:p>
    <w:p>
      <w:pPr>
        <w:pStyle w:val="FirstParagraph"/>
      </w:pPr>
      <w:r>
        <w:t xml:space="preserve">Reconstruct AXI into a governed, evidence-backed, traceable knowledge system while preserving provenance and intellectual history.</w:t>
      </w:r>
    </w:p>
    <w:bookmarkEnd w:id="21"/>
    <w:bookmarkStart w:id="22" w:name="guiding-principles"/>
    <w:p>
      <w:pPr>
        <w:pStyle w:val="Heading2"/>
      </w:pPr>
      <w:r>
        <w:t xml:space="preserve">3. Guiding Principles</w:t>
      </w:r>
    </w:p>
    <w:p>
      <w:pPr>
        <w:pStyle w:val="Compact"/>
        <w:numPr>
          <w:ilvl w:val="0"/>
          <w:numId w:val="1001"/>
        </w:numPr>
      </w:pPr>
      <w:r>
        <w:t xml:space="preserve">Governance precedes reconstruction.</w:t>
      </w:r>
    </w:p>
    <w:p>
      <w:pPr>
        <w:pStyle w:val="Compact"/>
        <w:numPr>
          <w:ilvl w:val="0"/>
          <w:numId w:val="1001"/>
        </w:numPr>
      </w:pPr>
      <w:r>
        <w:t xml:space="preserve">Reconstruction precedes development.</w:t>
      </w:r>
    </w:p>
    <w:p>
      <w:pPr>
        <w:pStyle w:val="Compact"/>
        <w:numPr>
          <w:ilvl w:val="0"/>
          <w:numId w:val="1001"/>
        </w:numPr>
      </w:pPr>
      <w:r>
        <w:t xml:space="preserve">Evidence precedes interpretation.</w:t>
      </w:r>
    </w:p>
    <w:p>
      <w:pPr>
        <w:pStyle w:val="Compact"/>
        <w:numPr>
          <w:ilvl w:val="0"/>
          <w:numId w:val="1001"/>
        </w:numPr>
      </w:pPr>
      <w:r>
        <w:t xml:space="preserve">Provenance precedes canonization.</w:t>
      </w:r>
    </w:p>
    <w:p>
      <w:pPr>
        <w:pStyle w:val="Compact"/>
        <w:numPr>
          <w:ilvl w:val="0"/>
          <w:numId w:val="1001"/>
        </w:numPr>
      </w:pPr>
      <w:r>
        <w:t xml:space="preserve">Preserve historical context.</w:t>
      </w:r>
    </w:p>
    <w:p>
      <w:pPr>
        <w:pStyle w:val="Compact"/>
        <w:numPr>
          <w:ilvl w:val="0"/>
          <w:numId w:val="1001"/>
        </w:numPr>
      </w:pPr>
      <w:r>
        <w:t xml:space="preserve">Every canonical decision is traceable.</w:t>
      </w:r>
    </w:p>
    <w:p>
      <w:pPr>
        <w:pStyle w:val="Compact"/>
        <w:numPr>
          <w:ilvl w:val="0"/>
          <w:numId w:val="1001"/>
        </w:numPr>
      </w:pPr>
      <w:r>
        <w:t xml:space="preserve">Every object has an identifiable origin.</w:t>
      </w:r>
    </w:p>
    <w:p>
      <w:pPr>
        <w:pStyle w:val="Compact"/>
        <w:numPr>
          <w:ilvl w:val="0"/>
          <w:numId w:val="1001"/>
        </w:numPr>
      </w:pPr>
      <w:r>
        <w:t xml:space="preserve">Record uncertainty instead of assuming.</w:t>
      </w:r>
    </w:p>
    <w:p>
      <w:pPr>
        <w:pStyle w:val="Compact"/>
        <w:numPr>
          <w:ilvl w:val="0"/>
          <w:numId w:val="1001"/>
        </w:numPr>
      </w:pPr>
      <w:r>
        <w:t xml:space="preserve">Reconstruction must be repeatable and auditable.</w:t>
      </w:r>
    </w:p>
    <w:p>
      <w:pPr>
        <w:pStyle w:val="Compact"/>
        <w:numPr>
          <w:ilvl w:val="0"/>
          <w:numId w:val="1001"/>
        </w:numPr>
      </w:pPr>
      <w:r>
        <w:t xml:space="preserve">Canon derives from governed approval.</w:t>
      </w:r>
    </w:p>
    <w:bookmarkEnd w:id="22"/>
    <w:bookmarkStart w:id="23" w:name="scope"/>
    <w:p>
      <w:pPr>
        <w:pStyle w:val="Heading2"/>
      </w:pPr>
      <w:r>
        <w:t xml:space="preserve">4. Scope</w:t>
      </w:r>
    </w:p>
    <w:p>
      <w:pPr>
        <w:pStyle w:val="FirstParagraph"/>
      </w:pPr>
      <w:r>
        <w:t xml:space="preserve">Governance, reconstruction methodology, provenance, metadata, lifecycle, approvals, and quality assurance only. Product development and business operations are out of scope.</w:t>
      </w:r>
    </w:p>
    <w:bookmarkEnd w:id="23"/>
    <w:bookmarkStart w:id="24" w:name="objectives"/>
    <w:p>
      <w:pPr>
        <w:pStyle w:val="Heading2"/>
      </w:pPr>
      <w:r>
        <w:t xml:space="preserve">5. Objectives</w:t>
      </w:r>
    </w:p>
    <w:p>
      <w:pPr>
        <w:pStyle w:val="Compact"/>
        <w:numPr>
          <w:ilvl w:val="0"/>
          <w:numId w:val="1002"/>
        </w:numPr>
      </w:pPr>
      <w:r>
        <w:t xml:space="preserve">Inventory artifacts</w:t>
      </w:r>
    </w:p>
    <w:p>
      <w:pPr>
        <w:pStyle w:val="Compact"/>
        <w:numPr>
          <w:ilvl w:val="0"/>
          <w:numId w:val="1002"/>
        </w:numPr>
      </w:pPr>
      <w:r>
        <w:t xml:space="preserve">Preserve history</w:t>
      </w:r>
    </w:p>
    <w:p>
      <w:pPr>
        <w:pStyle w:val="Compact"/>
        <w:numPr>
          <w:ilvl w:val="0"/>
          <w:numId w:val="1002"/>
        </w:numPr>
      </w:pPr>
      <w:r>
        <w:t xml:space="preserve">Consolidate canonical knowledge</w:t>
      </w:r>
    </w:p>
    <w:p>
      <w:pPr>
        <w:pStyle w:val="Compact"/>
        <w:numPr>
          <w:ilvl w:val="0"/>
          <w:numId w:val="1002"/>
        </w:numPr>
      </w:pPr>
      <w:r>
        <w:t xml:space="preserve">Record conflicts</w:t>
      </w:r>
    </w:p>
    <w:p>
      <w:pPr>
        <w:pStyle w:val="Compact"/>
        <w:numPr>
          <w:ilvl w:val="0"/>
          <w:numId w:val="1002"/>
        </w:numPr>
      </w:pPr>
      <w:r>
        <w:t xml:space="preserve">Establish provenance</w:t>
      </w:r>
    </w:p>
    <w:p>
      <w:pPr>
        <w:pStyle w:val="Compact"/>
        <w:numPr>
          <w:ilvl w:val="0"/>
          <w:numId w:val="1002"/>
        </w:numPr>
      </w:pPr>
      <w:r>
        <w:t xml:space="preserve">Produce Founder-approved Baseline v1.0</w:t>
      </w:r>
    </w:p>
    <w:bookmarkEnd w:id="24"/>
    <w:bookmarkStart w:id="25" w:name="governance-authority"/>
    <w:p>
      <w:pPr>
        <w:pStyle w:val="Heading2"/>
      </w:pPr>
      <w:r>
        <w:t xml:space="preserve">6. Governance Authority</w:t>
      </w:r>
    </w:p>
    <w:p>
      <w:pPr>
        <w:pStyle w:val="Compact"/>
        <w:numPr>
          <w:ilvl w:val="0"/>
          <w:numId w:val="1003"/>
        </w:numPr>
      </w:pPr>
      <w:r>
        <w:t xml:space="preserve">Founder</w:t>
      </w:r>
    </w:p>
    <w:p>
      <w:pPr>
        <w:pStyle w:val="Compact"/>
        <w:numPr>
          <w:ilvl w:val="0"/>
          <w:numId w:val="1003"/>
        </w:numPr>
      </w:pPr>
      <w:r>
        <w:t xml:space="preserve">Approved Governance Standards</w:t>
      </w:r>
    </w:p>
    <w:p>
      <w:pPr>
        <w:pStyle w:val="Compact"/>
        <w:numPr>
          <w:ilvl w:val="0"/>
          <w:numId w:val="1003"/>
        </w:numPr>
      </w:pPr>
      <w:r>
        <w:t xml:space="preserve">Approved Reconstruction Policies</w:t>
      </w:r>
    </w:p>
    <w:p>
      <w:pPr>
        <w:pStyle w:val="Compact"/>
        <w:numPr>
          <w:ilvl w:val="0"/>
          <w:numId w:val="1003"/>
        </w:numPr>
      </w:pPr>
      <w:r>
        <w:t xml:space="preserve">Approved Canon</w:t>
      </w:r>
    </w:p>
    <w:p>
      <w:pPr>
        <w:pStyle w:val="Compact"/>
        <w:numPr>
          <w:ilvl w:val="0"/>
          <w:numId w:val="1003"/>
        </w:numPr>
      </w:pPr>
      <w:r>
        <w:t xml:space="preserve">Reconstruction Workflow</w:t>
      </w:r>
    </w:p>
    <w:p>
      <w:pPr>
        <w:pStyle w:val="Compact"/>
        <w:numPr>
          <w:ilvl w:val="0"/>
          <w:numId w:val="1003"/>
        </w:numPr>
      </w:pPr>
      <w:r>
        <w:t xml:space="preserve">Supporting Documentation</w:t>
      </w:r>
    </w:p>
    <w:bookmarkEnd w:id="25"/>
    <w:bookmarkStart w:id="28" w:name="roles"/>
    <w:p>
      <w:pPr>
        <w:pStyle w:val="Heading2"/>
      </w:pPr>
      <w:r>
        <w:t xml:space="preserve">7. Roles</w:t>
      </w:r>
    </w:p>
    <w:bookmarkStart w:id="26" w:name="founder"/>
    <w:p>
      <w:pPr>
        <w:pStyle w:val="Heading3"/>
      </w:pPr>
      <w:r>
        <w:t xml:space="preserve">Founder</w:t>
      </w:r>
    </w:p>
    <w:p>
      <w:pPr>
        <w:pStyle w:val="FirstParagraph"/>
      </w:pPr>
      <w:r>
        <w:t xml:space="preserve">Final approval authority.</w:t>
      </w:r>
    </w:p>
    <w:bookmarkEnd w:id="26"/>
    <w:bookmarkStart w:id="27" w:name="reconstruction-system"/>
    <w:p>
      <w:pPr>
        <w:pStyle w:val="Heading3"/>
      </w:pPr>
      <w:r>
        <w:t xml:space="preserve">Reconstruction System</w:t>
      </w:r>
    </w:p>
    <w:p>
      <w:pPr>
        <w:pStyle w:val="FirstParagraph"/>
      </w:pPr>
      <w:r>
        <w:t xml:space="preserve">Follows governance, preserves provenance, records uncertainty, never self-approves.</w:t>
      </w:r>
    </w:p>
    <w:bookmarkEnd w:id="27"/>
    <w:bookmarkEnd w:id="28"/>
    <w:bookmarkStart w:id="29" w:name="reconstruction-principles"/>
    <w:p>
      <w:pPr>
        <w:pStyle w:val="Heading2"/>
      </w:pPr>
      <w:r>
        <w:t xml:space="preserve">8. Reconstruction Principles</w:t>
      </w:r>
    </w:p>
    <w:p>
      <w:pPr>
        <w:pStyle w:val="FirstParagraph"/>
      </w:pPr>
      <w:r>
        <w:t xml:space="preserve">Never rewrite history, remove provenance, destroy artifacts, hide conflicts, replace evidence with inference, or treat assumptions as facts.</w:t>
      </w:r>
    </w:p>
    <w:bookmarkEnd w:id="29"/>
    <w:bookmarkStart w:id="30" w:name="decision-authority"/>
    <w:p>
      <w:pPr>
        <w:pStyle w:val="Heading2"/>
      </w:pPr>
      <w:r>
        <w:t xml:space="preserve">9. Decision Authority</w:t>
      </w:r>
    </w:p>
    <w:p>
      <w:pPr>
        <w:pStyle w:val="FirstParagraph"/>
      </w:pPr>
      <w:r>
        <w:t xml:space="preserve">Every decision includes identifier, rationale, evidence, source references, approver, approval date, affected version, and superseded decisions.</w:t>
      </w:r>
    </w:p>
    <w:bookmarkEnd w:id="30"/>
    <w:bookmarkStart w:id="31" w:name="provenance-commitment"/>
    <w:p>
      <w:pPr>
        <w:pStyle w:val="Heading2"/>
      </w:pPr>
      <w:r>
        <w:t xml:space="preserve">10. Provenance Commitment</w:t>
      </w:r>
    </w:p>
    <w:p>
      <w:pPr>
        <w:pStyle w:val="FirstParagraph"/>
      </w:pPr>
      <w:r>
        <w:t xml:space="preserve">Every governed object includes origin, location, version, reconstruction date, authority, confidence, dependencies, and supersession history.</w:t>
      </w:r>
    </w:p>
    <w:bookmarkEnd w:id="31"/>
    <w:bookmarkStart w:id="32" w:name="traceability-commitment"/>
    <w:p>
      <w:pPr>
        <w:pStyle w:val="Heading2"/>
      </w:pPr>
      <w:r>
        <w:t xml:space="preserve">11. Traceability Commitment</w:t>
      </w:r>
    </w:p>
    <w:p>
      <w:pPr>
        <w:pStyle w:val="FirstParagraph"/>
      </w:pPr>
      <w:r>
        <w:t xml:space="preserve">Every object shall support full forward and backward traceability.</w:t>
      </w:r>
    </w:p>
    <w:bookmarkEnd w:id="32"/>
    <w:bookmarkStart w:id="33" w:name="constraints"/>
    <w:p>
      <w:pPr>
        <w:pStyle w:val="Heading2"/>
      </w:pPr>
      <w:r>
        <w:t xml:space="preserve">12. Constraints</w:t>
      </w:r>
    </w:p>
    <w:p>
      <w:pPr>
        <w:pStyle w:val="FirstParagraph"/>
      </w:pPr>
      <w:r>
        <w:t xml:space="preserve">Before Phase 0 approval:</w:t>
      </w:r>
      <w:r>
        <w:t xml:space="preserve"> </w:t>
      </w:r>
      <w:r>
        <w:t xml:space="preserve">- No reconstruction</w:t>
      </w:r>
      <w:r>
        <w:t xml:space="preserve"> </w:t>
      </w:r>
      <w:r>
        <w:t xml:space="preserve">- No artifact analysis</w:t>
      </w:r>
      <w:r>
        <w:t xml:space="preserve"> </w:t>
      </w:r>
      <w:r>
        <w:t xml:space="preserve">- No canon creation</w:t>
      </w:r>
      <w:r>
        <w:t xml:space="preserve"> </w:t>
      </w:r>
      <w:r>
        <w:t xml:space="preserve">- No redesign</w:t>
      </w:r>
      <w:r>
        <w:t xml:space="preserve"> </w:t>
      </w:r>
      <w:r>
        <w:t xml:space="preserve">- No development</w:t>
      </w:r>
    </w:p>
    <w:bookmarkEnd w:id="33"/>
    <w:bookmarkStart w:id="34" w:name="success-criteria"/>
    <w:p>
      <w:pPr>
        <w:pStyle w:val="Heading2"/>
      </w:pPr>
      <w:r>
        <w:t xml:space="preserve">13. Success Criteria</w:t>
      </w:r>
    </w:p>
    <w:p>
      <w:pPr>
        <w:pStyle w:val="FirstParagraph"/>
      </w:pPr>
      <w:r>
        <w:t xml:space="preserve">Governance complete, provenance complete, metadata assigned, lifecycle assigned, conflicts documented, Baseline v1.0 approved.</w:t>
      </w:r>
    </w:p>
    <w:bookmarkEnd w:id="34"/>
    <w:bookmarkStart w:id="35" w:name="amendment-policy"/>
    <w:p>
      <w:pPr>
        <w:pStyle w:val="Heading2"/>
      </w:pPr>
      <w:r>
        <w:t xml:space="preserve">14. Amendment Policy</w:t>
      </w:r>
    </w:p>
    <w:p>
      <w:pPr>
        <w:pStyle w:val="FirstParagraph"/>
      </w:pPr>
      <w:r>
        <w:t xml:space="preserve">All amendments require documented rationale, evidence, approval, and archived prior versions.</w:t>
      </w:r>
    </w:p>
    <w:bookmarkEnd w:id="35"/>
    <w:bookmarkStart w:id="36" w:name="effective-authority"/>
    <w:p>
      <w:pPr>
        <w:pStyle w:val="Heading2"/>
      </w:pPr>
      <w:r>
        <w:t xml:space="preserve">15. Effective Authority</w:t>
      </w:r>
    </w:p>
    <w:p>
      <w:pPr>
        <w:pStyle w:val="FirstParagraph"/>
      </w:pPr>
      <w:r>
        <w:t xml:space="preserve">Effective upon Founder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Status: Founder Review</w:t>
      </w:r>
      <w:r>
        <w:t xml:space="preserve"> </w:t>
      </w:r>
      <w:r>
        <w:t xml:space="preserve">Next Document: AXI Reconstruction Workflow v1.0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2026-07-13T20:38:27Z</dcterms:created>
  <dcterms:modified xsi:type="dcterms:W3CDTF">2026-07-13T20:38:27Z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