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xi-reconstruction-workflow-v1.0"/>
    <w:p>
      <w:pPr>
        <w:pStyle w:val="Heading1"/>
      </w:pPr>
      <w:r>
        <w:t xml:space="preserve">AXI Reconstruction Workflow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AXI-RW-001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governed workflow used to reconstruct AXI into a canonical, evidence-backed knowledge system.</w:t>
      </w:r>
    </w:p>
    <w:bookmarkEnd w:id="20"/>
    <w:bookmarkStart w:id="30" w:name="workflow"/>
    <w:p>
      <w:pPr>
        <w:pStyle w:val="Heading2"/>
      </w:pPr>
      <w:r>
        <w:t xml:space="preserve">Workflow</w:t>
      </w:r>
    </w:p>
    <w:bookmarkStart w:id="21" w:name="phase-1-intake"/>
    <w:p>
      <w:pPr>
        <w:pStyle w:val="Heading3"/>
      </w:pPr>
      <w:r>
        <w:t xml:space="preserve">Phase 1 — Intake</w:t>
      </w:r>
    </w:p>
    <w:p>
      <w:pPr>
        <w:pStyle w:val="Compact"/>
        <w:numPr>
          <w:ilvl w:val="0"/>
          <w:numId w:val="1001"/>
        </w:numPr>
      </w:pPr>
      <w:r>
        <w:t xml:space="preserve">Register source artifact.</w:t>
      </w:r>
    </w:p>
    <w:p>
      <w:pPr>
        <w:pStyle w:val="Compact"/>
        <w:numPr>
          <w:ilvl w:val="0"/>
          <w:numId w:val="1001"/>
        </w:numPr>
      </w:pPr>
      <w:r>
        <w:t xml:space="preserve">Assign unique identifier.</w:t>
      </w:r>
    </w:p>
    <w:p>
      <w:pPr>
        <w:pStyle w:val="Compact"/>
        <w:numPr>
          <w:ilvl w:val="0"/>
          <w:numId w:val="1001"/>
        </w:numPr>
      </w:pPr>
      <w:r>
        <w:t xml:space="preserve">Preserve original without modification.</w:t>
      </w:r>
    </w:p>
    <w:bookmarkEnd w:id="21"/>
    <w:bookmarkStart w:id="22" w:name="phase-2-inventory"/>
    <w:p>
      <w:pPr>
        <w:pStyle w:val="Heading3"/>
      </w:pPr>
      <w:r>
        <w:t xml:space="preserve">Phase 2 — Inventory</w:t>
      </w:r>
    </w:p>
    <w:p>
      <w:pPr>
        <w:pStyle w:val="Compact"/>
        <w:numPr>
          <w:ilvl w:val="0"/>
          <w:numId w:val="1002"/>
        </w:numPr>
      </w:pPr>
      <w:r>
        <w:t xml:space="preserve">Record filename, source, version, location, checksum (when available), date, owner.</w:t>
      </w:r>
    </w:p>
    <w:bookmarkEnd w:id="22"/>
    <w:bookmarkStart w:id="23" w:name="phase-3-classification"/>
    <w:p>
      <w:pPr>
        <w:pStyle w:val="Heading3"/>
      </w:pPr>
      <w:r>
        <w:t xml:space="preserve">Phase 3 — Classification</w:t>
      </w:r>
    </w:p>
    <w:p>
      <w:pPr>
        <w:pStyle w:val="FirstParagraph"/>
      </w:pPr>
      <w:r>
        <w:t xml:space="preserve">Classify artifact (Publication, Standard, Policy, Workflow, Template, Dataset, Project, etc.).</w:t>
      </w:r>
    </w:p>
    <w:bookmarkEnd w:id="23"/>
    <w:bookmarkStart w:id="24" w:name="phase-4-metadata"/>
    <w:p>
      <w:pPr>
        <w:pStyle w:val="Heading3"/>
      </w:pPr>
      <w:r>
        <w:t xml:space="preserve">Phase 4 — Metadata</w:t>
      </w:r>
    </w:p>
    <w:p>
      <w:pPr>
        <w:pStyle w:val="FirstParagraph"/>
      </w:pPr>
      <w:r>
        <w:t xml:space="preserve">Assign required metadata:</w:t>
      </w:r>
      <w:r>
        <w:t xml:space="preserve"> </w:t>
      </w:r>
      <w:r>
        <w:t xml:space="preserve">- Document ID</w:t>
      </w:r>
      <w:r>
        <w:t xml:space="preserve"> </w:t>
      </w:r>
      <w:r>
        <w:t xml:space="preserve">- Version</w:t>
      </w:r>
      <w:r>
        <w:t xml:space="preserve"> </w:t>
      </w:r>
      <w:r>
        <w:t xml:space="preserve">- Status</w:t>
      </w:r>
      <w:r>
        <w:t xml:space="preserve"> </w:t>
      </w:r>
      <w:r>
        <w:t xml:space="preserve">- Lifecycle</w:t>
      </w:r>
      <w:r>
        <w:t xml:space="preserve"> </w:t>
      </w:r>
      <w:r>
        <w:t xml:space="preserve">- Provenance</w:t>
      </w:r>
      <w:r>
        <w:t xml:space="preserve"> </w:t>
      </w:r>
      <w:r>
        <w:t xml:space="preserve">- Dependencies</w:t>
      </w:r>
    </w:p>
    <w:bookmarkEnd w:id="24"/>
    <w:bookmarkStart w:id="25" w:name="phase-5-provenance"/>
    <w:p>
      <w:pPr>
        <w:pStyle w:val="Heading3"/>
      </w:pPr>
      <w:r>
        <w:t xml:space="preserve">Phase 5 — Provenance</w:t>
      </w:r>
    </w:p>
    <w:p>
      <w:pPr>
        <w:pStyle w:val="FirstParagraph"/>
      </w:pPr>
      <w:r>
        <w:t xml:space="preserve">Record:</w:t>
      </w:r>
      <w:r>
        <w:t xml:space="preserve"> </w:t>
      </w:r>
      <w:r>
        <w:t xml:space="preserve">- Original source</w:t>
      </w:r>
      <w:r>
        <w:t xml:space="preserve"> </w:t>
      </w:r>
      <w:r>
        <w:t xml:space="preserve">- Origin date</w:t>
      </w:r>
      <w:r>
        <w:t xml:space="preserve"> </w:t>
      </w:r>
      <w:r>
        <w:t xml:space="preserve">- Author (if known)</w:t>
      </w:r>
      <w:r>
        <w:t xml:space="preserve"> </w:t>
      </w:r>
      <w:r>
        <w:t xml:space="preserve">- Confidence</w:t>
      </w:r>
      <w:r>
        <w:t xml:space="preserve"> </w:t>
      </w:r>
      <w:r>
        <w:t xml:space="preserve">- Evidence references</w:t>
      </w:r>
    </w:p>
    <w:bookmarkEnd w:id="25"/>
    <w:bookmarkStart w:id="26" w:name="phase-6-conflict-review"/>
    <w:p>
      <w:pPr>
        <w:pStyle w:val="Heading3"/>
      </w:pPr>
      <w:r>
        <w:t xml:space="preserve">Phase 6 — Conflict Review</w:t>
      </w:r>
    </w:p>
    <w:p>
      <w:pPr>
        <w:pStyle w:val="FirstParagraph"/>
      </w:pPr>
      <w:r>
        <w:t xml:space="preserve">Identify duplicates, conflicts, superseded material and unresolved questions.</w:t>
      </w:r>
      <w:r>
        <w:t xml:space="preserve"> </w:t>
      </w:r>
      <w:r>
        <w:t xml:space="preserve">Record conflicts; do not silently resolve them.</w:t>
      </w:r>
    </w:p>
    <w:bookmarkEnd w:id="26"/>
    <w:bookmarkStart w:id="27" w:name="phase-7-candidate-canon"/>
    <w:p>
      <w:pPr>
        <w:pStyle w:val="Heading3"/>
      </w:pPr>
      <w:r>
        <w:t xml:space="preserve">Phase 7 — Candidate Canon</w:t>
      </w:r>
    </w:p>
    <w:p>
      <w:pPr>
        <w:pStyle w:val="FirstParagraph"/>
      </w:pPr>
      <w:r>
        <w:t xml:space="preserve">Prepare reconstructed object for review.</w:t>
      </w:r>
      <w:r>
        <w:t xml:space="preserve"> </w:t>
      </w:r>
      <w:r>
        <w:t xml:space="preserve">No publication occurs without approval.</w:t>
      </w:r>
    </w:p>
    <w:bookmarkEnd w:id="27"/>
    <w:bookmarkStart w:id="28" w:name="phase-8-founder-review"/>
    <w:p>
      <w:pPr>
        <w:pStyle w:val="Heading3"/>
      </w:pPr>
      <w:r>
        <w:t xml:space="preserve">Phase 8 — Founder Review</w:t>
      </w:r>
    </w:p>
    <w:p>
      <w:pPr>
        <w:pStyle w:val="FirstParagraph"/>
      </w:pPr>
      <w:r>
        <w:t xml:space="preserve">Founder may:</w:t>
      </w:r>
      <w:r>
        <w:t xml:space="preserve"> </w:t>
      </w:r>
      <w:r>
        <w:t xml:space="preserve">- Approve</w:t>
      </w:r>
      <w:r>
        <w:t xml:space="preserve"> </w:t>
      </w:r>
      <w:r>
        <w:t xml:space="preserve">- Reject</w:t>
      </w:r>
      <w:r>
        <w:t xml:space="preserve"> </w:t>
      </w:r>
      <w:r>
        <w:t xml:space="preserve">- Request Revision</w:t>
      </w:r>
      <w:r>
        <w:t xml:space="preserve"> </w:t>
      </w:r>
      <w:r>
        <w:t xml:space="preserve">- Defer</w:t>
      </w:r>
    </w:p>
    <w:bookmarkEnd w:id="28"/>
    <w:bookmarkStart w:id="29" w:name="phase-9-canon-publication"/>
    <w:p>
      <w:pPr>
        <w:pStyle w:val="Heading3"/>
      </w:pPr>
      <w:r>
        <w:t xml:space="preserve">Phase 9 — Canon Publication</w:t>
      </w:r>
    </w:p>
    <w:p>
      <w:pPr>
        <w:pStyle w:val="FirstParagraph"/>
      </w:pPr>
      <w:r>
        <w:t xml:space="preserve">Approved artifacts enter the Canon.</w:t>
      </w:r>
      <w:r>
        <w:t xml:space="preserve"> </w:t>
      </w:r>
      <w:r>
        <w:t xml:space="preserve">Historical artifacts remain preserved.</w:t>
      </w:r>
    </w:p>
    <w:bookmarkEnd w:id="29"/>
    <w:bookmarkEnd w:id="30"/>
    <w:bookmarkStart w:id="31" w:name="workflow-rules"/>
    <w:p>
      <w:pPr>
        <w:pStyle w:val="Heading2"/>
      </w:pPr>
      <w:r>
        <w:t xml:space="preserve">Workflow Rules</w:t>
      </w:r>
    </w:p>
    <w:p>
      <w:pPr>
        <w:pStyle w:val="Compact"/>
        <w:numPr>
          <w:ilvl w:val="0"/>
          <w:numId w:val="1003"/>
        </w:numPr>
      </w:pPr>
      <w:r>
        <w:t xml:space="preserve">Preserve originals.</w:t>
      </w:r>
    </w:p>
    <w:p>
      <w:pPr>
        <w:pStyle w:val="Compact"/>
        <w:numPr>
          <w:ilvl w:val="0"/>
          <w:numId w:val="1003"/>
        </w:numPr>
      </w:pPr>
      <w:r>
        <w:t xml:space="preserve">Never delete history.</w:t>
      </w:r>
    </w:p>
    <w:p>
      <w:pPr>
        <w:pStyle w:val="Compact"/>
        <w:numPr>
          <w:ilvl w:val="0"/>
          <w:numId w:val="1003"/>
        </w:numPr>
      </w:pPr>
      <w:r>
        <w:t xml:space="preserve">Never infer without evidence.</w:t>
      </w:r>
    </w:p>
    <w:p>
      <w:pPr>
        <w:pStyle w:val="Compact"/>
        <w:numPr>
          <w:ilvl w:val="0"/>
          <w:numId w:val="1003"/>
        </w:numPr>
      </w:pPr>
      <w:r>
        <w:t xml:space="preserve">Record uncertainty.</w:t>
      </w:r>
    </w:p>
    <w:p>
      <w:pPr>
        <w:pStyle w:val="Compact"/>
        <w:numPr>
          <w:ilvl w:val="0"/>
          <w:numId w:val="1003"/>
        </w:numPr>
      </w:pPr>
      <w:r>
        <w:t xml:space="preserve">Maintain complete traceability.</w:t>
      </w:r>
    </w:p>
    <w:p>
      <w:pPr>
        <w:pStyle w:val="Compact"/>
        <w:numPr>
          <w:ilvl w:val="0"/>
          <w:numId w:val="1003"/>
        </w:numPr>
      </w:pPr>
      <w:r>
        <w:t xml:space="preserve">One approved canonical representation per governed object.</w:t>
      </w:r>
    </w:p>
    <w:bookmarkEnd w:id="31"/>
    <w:bookmarkStart w:id="32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4"/>
        </w:numPr>
      </w:pPr>
      <w:r>
        <w:t xml:space="preserve">Source artifacts</w:t>
      </w:r>
    </w:p>
    <w:p>
      <w:pPr>
        <w:pStyle w:val="Compact"/>
        <w:numPr>
          <w:ilvl w:val="0"/>
          <w:numId w:val="1004"/>
        </w:numPr>
      </w:pPr>
      <w:r>
        <w:t xml:space="preserve">Governance documents</w:t>
      </w:r>
    </w:p>
    <w:p>
      <w:pPr>
        <w:pStyle w:val="Compact"/>
        <w:numPr>
          <w:ilvl w:val="0"/>
          <w:numId w:val="1004"/>
        </w:numPr>
      </w:pPr>
      <w:r>
        <w:t xml:space="preserve">Reconstruction decisions</w:t>
      </w:r>
    </w:p>
    <w:bookmarkEnd w:id="32"/>
    <w:bookmarkStart w:id="33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5"/>
        </w:numPr>
      </w:pPr>
      <w:r>
        <w:t xml:space="preserve">Canonical objects</w:t>
      </w:r>
    </w:p>
    <w:p>
      <w:pPr>
        <w:pStyle w:val="Compact"/>
        <w:numPr>
          <w:ilvl w:val="0"/>
          <w:numId w:val="1005"/>
        </w:numPr>
      </w:pPr>
      <w:r>
        <w:t xml:space="preserve">Provenance records</w:t>
      </w:r>
    </w:p>
    <w:p>
      <w:pPr>
        <w:pStyle w:val="Compact"/>
        <w:numPr>
          <w:ilvl w:val="0"/>
          <w:numId w:val="1005"/>
        </w:numPr>
      </w:pPr>
      <w:r>
        <w:t xml:space="preserve">Decision records</w:t>
      </w:r>
    </w:p>
    <w:p>
      <w:pPr>
        <w:pStyle w:val="Compact"/>
        <w:numPr>
          <w:ilvl w:val="0"/>
          <w:numId w:val="1005"/>
        </w:numPr>
      </w:pPr>
      <w:r>
        <w:t xml:space="preserve">Review logs</w:t>
      </w:r>
    </w:p>
    <w:bookmarkEnd w:id="33"/>
    <w:bookmarkStart w:id="34" w:name="definition-of-completion"/>
    <w:p>
      <w:pPr>
        <w:pStyle w:val="Heading2"/>
      </w:pPr>
      <w:r>
        <w:t xml:space="preserve">Definition of Completion</w:t>
      </w:r>
    </w:p>
    <w:p>
      <w:pPr>
        <w:pStyle w:val="FirstParagraph"/>
      </w:pPr>
      <w:r>
        <w:t xml:space="preserve">The workflow is complete for an artifact only when:</w:t>
      </w:r>
      <w:r>
        <w:t xml:space="preserve"> </w:t>
      </w:r>
      <w:r>
        <w:t xml:space="preserve">- Inventory complete</w:t>
      </w:r>
      <w:r>
        <w:t xml:space="preserve"> </w:t>
      </w:r>
      <w:r>
        <w:t xml:space="preserve">- Metadata complete</w:t>
      </w:r>
      <w:r>
        <w:t xml:space="preserve"> </w:t>
      </w:r>
      <w:r>
        <w:t xml:space="preserve">- Provenance complete</w:t>
      </w:r>
      <w:r>
        <w:t xml:space="preserve"> </w:t>
      </w:r>
      <w:r>
        <w:t xml:space="preserve">- Conflict review complete</w:t>
      </w:r>
      <w:r>
        <w:t xml:space="preserve"> </w:t>
      </w:r>
      <w:r>
        <w:t xml:space="preserve">- Founder approval recorded</w:t>
      </w:r>
      <w:r>
        <w:t xml:space="preserve"> </w:t>
      </w:r>
      <w:r>
        <w:t xml:space="preserve">- Canon or archive destination assigned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Document: AXI-OS-001 Object Standard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2026-07-13T21:16:35Z</dcterms:created>
  <dcterms:modified xsi:type="dcterms:W3CDTF">2026-07-13T21:16:35Z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