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Payments Operations Automation</w:t>
      </w:r>
    </w:p>
    <w:p>
      <w:pPr>
        <w:spacing w:after="240" w:before="120"/>
        <w:jc w:val="center"/>
      </w:pPr>
      <w:r>
        <w:rPr>
          <w:color w:val="2E75B6"/>
          <w:sz w:val="32"/>
          <w:szCs w:val="32"/>
        </w:rPr>
        <w:t xml:space="preserve">Program Proposal</w:t>
      </w:r>
    </w:p>
    <w:p>
      <w:pPr>
        <w:pBdr>
          <w:bottom w:val="single" w:color="2E75B6" w:sz="6" w:space="6"/>
        </w:pBdr>
        <w:jc w:val="center"/>
      </w:pPr>
      <w:r>
        <w:t xml:space="preserve"/>
      </w:r>
    </w:p>
    <w:p>
      <w:pPr>
        <w:spacing w:after="80" w:before="240"/>
        <w:jc w:val="center"/>
      </w:pPr>
      <w:r>
        <w:rPr>
          <w:color w:val="595959"/>
          <w:sz w:val="24"/>
          <w:szCs w:val="24"/>
        </w:rPr>
        <w:t xml:space="preserve">Automating the back-office payment lifecycle across</w:t>
      </w:r>
    </w:p>
    <w:p>
      <w:pPr>
        <w:spacing w:after="400"/>
        <w:jc w:val="center"/>
      </w:pPr>
      <w:r>
        <w:rPr>
          <w:b/>
          <w:bCs/>
          <w:color w:val="1F3864"/>
          <w:sz w:val="24"/>
          <w:szCs w:val="24"/>
        </w:rPr>
        <w:t xml:space="preserve">RTP · Fedwire · ACH · Stablecoin · SWIFT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Prepared for: Payments Steering Committee</w:t>
      </w:r>
    </w:p>
    <w:p>
      <w:pPr>
        <w:jc w:val="center"/>
      </w:pPr>
      <w:r>
        <w:rPr>
          <w:sz w:val="22"/>
          <w:szCs w:val="22"/>
        </w:rPr>
        <w:t xml:space="preserve">Audience: Engineering · Leadership · Compliance · Operations</w:t>
      </w:r>
    </w:p>
    <w:p>
      <w:pPr>
        <w:jc w:val="center"/>
      </w:pPr>
      <w:r>
        <w:rPr>
          <w:sz w:val="22"/>
          <w:szCs w:val="22"/>
        </w:rPr>
        <w:t xml:space="preserve">Status: Draft v0.1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Confidential — internal design document. Figures and scenarios are illustrative.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64"/>
      </w:pPr>
      <w:r>
        <w:t xml:space="preserve">This proposal sets out a program to automate the bank’s back-office payment operations across five rails — RTP, Fedwire, ACH, stablecoin, and SWIFT. Today these rails run on separate, largely manual processes, each re-keying, repairing, screening, and reconciling in its own way; cost and headcount scale with payment volume, and compliance is applied unevenly rail by rail.</w:t>
      </w:r>
    </w:p>
    <w:p>
      <w:pPr>
        <w:spacing w:after="140" w:line="264"/>
      </w:pPr>
      <w:r>
        <w:t xml:space="preserve">The program replaces that with a single, exception-based operating model built on one real-time screening spine and reconciled to the settlement position per rail. People move from re-keying payments to clearing alerts and exceptions. Sanctions screening, AML monitoring, and SAR/FinCEN filing are designed in as first-class capabilities — the bank files as the obligated institution — rather than bolted onto each rail.</w:t>
      </w:r>
    </w:p>
    <w:p>
      <w:pPr>
        <w:spacing w:after="140" w:line="264"/>
      </w:pPr>
      <w:r>
        <w:t xml:space="preserve">Delivery is sequenced into four waves: a shared foundation first, then ACH as the pilot, then the real-time irrevocable rails (RTP and Fedwire), then the cross-border and on-chain rails (SWIFT and stablecoin). Stablecoin, the most novel rail, begins discovery early because it depends on net-new custody, analytics, and an evolving regulatory framework.</w:t>
      </w:r>
    </w:p>
    <w:p>
      <w:pPr>
        <w:spacing w:after="140" w:line="264"/>
      </w:pPr>
      <w:r>
        <w:rPr>
          <w:b/>
          <w:bCs/>
        </w:rPr>
        <w:t xml:space="preserve">The ask: </w:t>
      </w:r>
      <w:r>
        <w:t xml:space="preserve">approve the program and operating model, fund the Wave 0 foundation, and authorize Phase 0 calibration to convert the indicative roadmap into a data-driven sequence.</w:t>
      </w:r>
    </w:p>
    <w:p>
      <w:pPr>
        <w:pStyle w:val="Heading1"/>
      </w:pPr>
      <w:r>
        <w:t xml:space="preserve">2. The opportunity</w:t>
      </w:r>
    </w:p>
    <w:p>
      <w:pPr>
        <w:spacing w:after="140" w:line="264"/>
      </w:pPr>
      <w:r>
        <w:t xml:space="preserve">As an intermediary, the bank sits between its customers and the payment networks, running every payment on both an outbound (origination) and inbound (receipt) path. The current state has three structural problems: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Rail silos. </w:t>
      </w:r>
      <w:r>
        <w:t xml:space="preserve">Each rail duplicates capture, repair, screening, and reconciliation, so effort and cost grow with volume rather than with the number of genuine exceptions.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Uneven compliance. </w:t>
      </w:r>
      <w:r>
        <w:t xml:space="preserve">Sanctions screening and AML monitoring vary by rail, creating both risk and high false-positive manual load — acute on instant, irrevocable rails where there is no review window.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Late reconciliation. </w:t>
      </w:r>
      <w:r>
        <w:t xml:space="preserve">With no single ledger equivalent, breaks against the settlement and nostro positions surface late and are worked manually.</w:t>
      </w:r>
    </w:p>
    <w:p>
      <w:pPr>
        <w:spacing w:after="140" w:line="264"/>
      </w:pPr>
      <w:r>
        <w:t xml:space="preserve">Automation that simply speeds the current silos misses the point. The opportunity is to change the operating model so the cost base scales with exceptions, not with payment volume.</w:t>
      </w:r>
    </w:p>
    <w:p>
      <w:pPr>
        <w:pStyle w:val="Heading1"/>
      </w:pPr>
      <w:r>
        <w:t xml:space="preserve">3. Structural position</w:t>
      </w:r>
    </w:p>
    <w:p>
      <w:pPr>
        <w:spacing w:after="140" w:line="264"/>
      </w:pPr>
      <w:r>
        <w:t xml:space="preserve">The bank is an intermediary between customers (originators and beneficiaries) and the payment rails. Two variables shape every rail: direct vs indirect participation, and push vs pull. Unlike a securities back office, there is no single golden ledger; the integrity anchor is the settlement / nostro position per rail, which every flow must reconcile to. And every payment, on either path, passes a mandatory screening gate — in payments, compliance is the spine, not a side process.</w:t>
      </w:r>
    </w:p>
    <w:p>
      <w:pPr>
        <w:pStyle w:val="Heading1"/>
      </w:pPr>
      <w:r>
        <w:t xml:space="preserve">4. Proposed approach</w:t>
      </w:r>
    </w:p>
    <w:p>
      <w:pPr>
        <w:spacing w:after="140" w:line="264"/>
      </w:pPr>
      <w:r>
        <w:t xml:space="preserve">Three principles hold the design together: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Exception-based. </w:t>
      </w:r>
      <w:r>
        <w:t xml:space="preserve">Straight-through on the happy path; people touch only what breaks or what compliance flags. Headcount scales with exceptions and alerts, not volume.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Screen once, screen well. </w:t>
      </w:r>
      <w:r>
        <w:t xml:space="preserve">Sanctions and AML are shared, real-time services every rail calls — not six rail-specific implementations — with false positives engineered down as a first-class cost.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Reconcile to the settlement position. </w:t>
      </w:r>
      <w:r>
        <w:t xml:space="preserve">Every flow reconciles to the settlement / nostro position per rail; for stablecoin this extends to on-chain ↔ off-chain.</w:t>
      </w:r>
    </w:p>
    <w:p>
      <w:pPr>
        <w:spacing w:after="140" w:line="264"/>
      </w:pPr>
      <w:r>
        <w:rPr>
          <w:b/>
          <w:bCs/>
        </w:rPr>
        <w:t xml:space="preserve">Delivery philosophy: </w:t>
      </w:r>
      <w:r>
        <w:t xml:space="preserve">integrate first (real APIs, ISO 20022, SWIFT, on-chain), use RPA only to bridge operator or correspondent portals with no feed, and retire each bridge on a defined path. Controls are embedded in-flow, not reconstructed after the fact.</w:t>
      </w:r>
    </w:p>
    <w:p>
      <w:pPr>
        <w:pStyle w:val="Heading1"/>
      </w:pPr>
      <w:r>
        <w:t xml:space="preserve">5. Scope</w:t>
      </w:r>
    </w:p>
    <w:p>
      <w:pPr>
        <w:spacing w:after="140" w:line="264"/>
      </w:pPr>
      <w:r>
        <w:t xml:space="preserve">Five rails are in scope, spanning the full range of payment types, plus the shared foundation. Fixed scope keeps the program focused; the rails differ enough that each needs its own treatment.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1450"/>
        <w:gridCol w:w="1650"/>
        <w:gridCol w:w="331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Rail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Settlement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Speed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Reversibility</w:t>
            </w:r>
          </w:p>
        </w:tc>
        <w:tc>
          <w:tcPr>
            <w:tcW w:type="dxa" w:w="3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Lead automation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RTP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Prefunded RTGS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Instant 24/7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Irrevocable</w:t>
            </w:r>
          </w:p>
        </w:tc>
        <w:tc>
          <w:tcPr>
            <w:tcW w:type="dxa" w:w="3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Real-time screening, prefunding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Fedwire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RTGS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Same-day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  <w:tc>
          <w:tcPr>
            <w:tcW w:type="dxa" w:w="3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STP repair, real-time screening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ACH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Deferred net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Same/next-day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Returns/reversals</w:t>
            </w:r>
          </w:p>
        </w:tc>
        <w:tc>
          <w:tcPr>
            <w:tcW w:type="dxa" w:w="3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Returns &amp; NOC, batch exceptions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Stablecoin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On-chain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Near-instant 24/7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Irreversible</w:t>
            </w:r>
          </w:p>
        </w:tc>
        <w:tc>
          <w:tcPr>
            <w:tcW w:type="dxa" w:w="3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On-chain recon, wallet screening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SWIFT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Nostro/vostro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Variable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Recall (not guaranteed)</w:t>
            </w:r>
          </w:p>
        </w:tc>
        <w:tc>
          <w:tcPr>
            <w:tcW w:type="dxa" w:w="3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Repair, nostro recon, gpi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Target operating model</w:t>
      </w:r>
    </w:p>
    <w:p>
      <w:pPr>
        <w:spacing w:after="140" w:line="264"/>
      </w:pPr>
      <w:r>
        <w:t xml:space="preserve">The operating model shifts on every dimension: from rail-siloed teams to function-based teams (processing &amp; repair, screening/compliance operations, investigations, reconciliation &amp; liquidity); from point-to-point connections to a payment hub with a shared screening service and golden reference data; and from volume-linked to exception-linked staffing. The defining metric set is shared across rails — STP rate, screening false-positive rate, repair rate, returns rate, settlement breaks, investigation aging, and cost per payment.</w:t>
      </w:r>
    </w:p>
    <w:p>
      <w:pPr>
        <w:spacing w:after="140" w:line="264"/>
      </w:pPr>
      <w:r>
        <w:rPr>
          <w:b/>
          <w:bCs/>
        </w:rPr>
        <w:t xml:space="preserve">In one line: </w:t>
      </w:r>
      <w:r>
        <w:t xml:space="preserve">from rail-siloed, volume-linked, screen-everywhere operations — to a single exception-based lifecycle with one real-time screening spine, reconciled to the settlement position, where people clear alerts and exceptions rather than re-key payments.</w:t>
      </w:r>
    </w:p>
    <w:p>
      <w:pPr>
        <w:pStyle w:val="Heading1"/>
      </w:pPr>
      <w:r>
        <w:t xml:space="preserve">7. Compliance architecture (AML, SAR, FinCEN)</w:t>
      </w:r>
    </w:p>
    <w:p>
      <w:pPr>
        <w:spacing w:after="140" w:line="264"/>
      </w:pPr>
      <w:r>
        <w:t xml:space="preserve">Because the bank files as the obligated institution, compliance is engineered as two distinct capabilities and carried per rail — not bolted 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Sanctions screening (blocking, real-time). </w:t>
      </w:r>
      <w:r>
        <w:t xml:space="preserve">A shared service screens every payment pre-execution against sanctions lists; on irrevocable rails it must clear pre-send, within a latency budget, with no hold-and-review fallback.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AML monitoring + SAR/FinCEN case management. </w:t>
      </w:r>
      <w:r>
        <w:t xml:space="preserve">Behavioral monitoring raises alerts that drive investigations and produce filings: SAR decisioning and e-filing to the FinCEN BSA system, the 30/60-day clock, continuing SARs, CTRs, 314(a)/(b), with SAR confidentiality and retention.</w:t>
      </w:r>
    </w:p>
    <w:p>
      <w:pPr>
        <w:spacing w:after="140" w:line="264"/>
      </w:pPr>
      <w:r>
        <w:t xml:space="preserve">Each rail carries its own AML/SAR/FinCEN block, because the obligations trigger differently: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Rail</w:t>
            </w:r>
          </w:p>
        </w:tc>
        <w:tc>
          <w:tcPr>
            <w:tcW w:type="dxa" w:w="8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Rail-specific AML / SAR / FinCEN emphasis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ACH</w:t>
            </w:r>
          </w:p>
        </w:tc>
        <w:tc>
          <w:tcPr>
            <w:tcW w:type="dxa" w:w="8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Structuring across batches, mule networks, unauthorized-return signals; BSA Travel Rule completeness.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Fedwire</w:t>
            </w:r>
          </w:p>
        </w:tc>
        <w:tc>
          <w:tcPr>
            <w:tcW w:type="dxa" w:w="8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Pre-send high-value risk scoring; Travel Rule data on transmittals; nested-correspondent exposure.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RTP</w:t>
            </w:r>
          </w:p>
        </w:tc>
        <w:tc>
          <w:tcPr>
            <w:tcW w:type="dxa" w:w="8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Real-time, pre-send AML scoring; APP/scam typologies; 24/7 case coverage and SAR-clock management.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SWIFT</w:t>
            </w:r>
          </w:p>
        </w:tc>
        <w:tc>
          <w:tcPr>
            <w:tcW w:type="dxa" w:w="8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Cross-border typologies, multi-hop party screening, information-stripping detection, correspondent due diligence.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Stablecoin</w:t>
            </w:r>
          </w:p>
        </w:tc>
        <w:tc>
          <w:tcPr>
            <w:tcW w:type="dxa" w:w="8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Wallet/address analytics, crypto VASP-to-VASP Travel Rule, source-of-funds on ramps.</w:t>
            </w:r>
          </w:p>
        </w:tc>
      </w:tr>
    </w:tbl>
    <w:p>
      <w:r>
        <w:t xml:space="preserve"/>
      </w:r>
    </w:p>
    <w:p>
      <w:pPr>
        <w:spacing w:after="140" w:line="264"/>
      </w:pPr>
      <w:r>
        <w:rPr>
          <w:b/>
          <w:bCs/>
        </w:rPr>
        <w:t xml:space="preserve">Note: </w:t>
      </w:r>
      <w:r>
        <w:t xml:space="preserve">regulatory timers and thresholds are flagged for confirmation against current rules, as several are subject to change.</w:t>
      </w:r>
    </w:p>
    <w:p>
      <w:pPr>
        <w:pStyle w:val="Heading1"/>
      </w:pPr>
      <w:r>
        <w:t xml:space="preserve">8. Delivery roadmap</w:t>
      </w:r>
    </w:p>
    <w:p>
      <w:pPr>
        <w:spacing w:after="140" w:line="264"/>
      </w:pPr>
      <w:r>
        <w:t xml:space="preserve">Initiatives are scored on volume × risk × feasibility and sequenced into four waves, with the foundation first because nothing is straight-through until it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59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Wave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Wave 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Foundation (F1–F6)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Screening spine, golden data, payment hub, exceptions desk, reconciliation, AML/SAR.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Wave 1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ACH (pilot)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Highest volume, most standardized, reversible — proves the model and the foundation.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Wave 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RTP + Fedwire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Real-time, irrevocable rails — proves pre-send screening/AML at scale; most risk reduced.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Wave 3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SWIFT + Stablecoin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Cross-border and on-chain — hardest and longest-lead; stablecoin discovery starts in Wave 1.</w:t>
            </w:r>
          </w:p>
        </w:tc>
      </w:tr>
    </w:tbl>
    <w:p>
      <w:r>
        <w:t xml:space="preserve"/>
      </w:r>
    </w:p>
    <w:p>
      <w:pPr>
        <w:spacing w:after="140" w:line="264"/>
      </w:pPr>
      <w:r>
        <w:rPr>
          <w:b/>
          <w:bCs/>
        </w:rPr>
        <w:t xml:space="preserve">Critical path: </w:t>
      </w:r>
      <w:r>
        <w:t xml:space="preserve">the screening spine — F1 (sanctions/reference data) → F2 (shared screening) → real-time screening → the instant rails. On irrevocable rails screening must be both fast and accurate before any automation is safe, so this chain gates Wave 2.</w:t>
      </w:r>
    </w:p>
    <w:p>
      <w:pPr>
        <w:pStyle w:val="Heading1"/>
      </w:pPr>
      <w:r>
        <w:t xml:space="preserve">9. Build requirements</w:t>
      </w:r>
    </w:p>
    <w:p>
      <w:pPr>
        <w:spacing w:after="140" w:line="264"/>
      </w:pPr>
      <w:r>
        <w:t xml:space="preserve">Requirements are specified as testable functional, data, integration, non-functional, and control items with acceptance criteria, across three parts: Part 1 (foundation F1–F6 + ACH), Part 2 (Fedwire + RTP, with real-time AML/SAR/FinCEN), and Part 3 (SWIFT + stablecoin). A discovery-grade specification covers the stablecoin rail given its novelty and external dependencies.</w:t>
      </w:r>
    </w:p>
    <w:p>
      <w:pPr>
        <w:pStyle w:val="Heading1"/>
      </w:pPr>
      <w:r>
        <w:t xml:space="preserve">10. Prioritization &amp; calibration</w:t>
      </w:r>
    </w:p>
    <w:p>
      <w:pPr>
        <w:spacing w:after="140" w:line="264"/>
      </w:pPr>
      <w:r>
        <w:t xml:space="preserve">A Phase 0 calibration model scores every initiative on volume × risk × feasibility with configurable weights and wave thresholds, and compares the model-suggested sequence against the planned roadmap, flagging divergences to reconcile. Populated with real volumes, break and false-positive rates, and risk assessments, it converts judgment into a data-driven sequence.</w:t>
      </w:r>
    </w:p>
    <w:p>
      <w:pPr>
        <w:pStyle w:val="Heading1"/>
      </w:pPr>
      <w:r>
        <w:t xml:space="preserve">11. Business case</w:t>
      </w:r>
    </w:p>
    <w:p>
      <w:pPr>
        <w:spacing w:after="140" w:line="264"/>
      </w:pPr>
      <w:r>
        <w:t xml:space="preserve">The value comes from four levers, in priority order for this program: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Risk reduction. </w:t>
      </w:r>
      <w:r>
        <w:t xml:space="preserve">One real-time screening spine and consistent AML/SAR coverage reduce sanctions, fraud, and regulatory exposure — the dominant driver on irrevocable rails.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Cost. </w:t>
      </w:r>
      <w:r>
        <w:t xml:space="preserve">An exception-based model and engineered-down false positives cut manual touch and cost per payment.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Resilience &amp; scale. </w:t>
      </w:r>
      <w:r>
        <w:t xml:space="preserve">STP and shared services absorb volume — and 24/7 instant-rail demand — without linear headcount.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Readiness. </w:t>
      </w:r>
      <w:r>
        <w:t xml:space="preserve">A common platform makes new rails (e.g., stablecoin) and new volumes additive rather than another silo.</w:t>
      </w:r>
    </w:p>
    <w:p>
      <w:pPr>
        <w:pStyle w:val="Heading1"/>
      </w:pPr>
      <w:r>
        <w:t xml:space="preserve">12. Regulatory assurance</w:t>
      </w:r>
    </w:p>
    <w:p>
      <w:pPr>
        <w:spacing w:after="140" w:line="264"/>
      </w:pPr>
      <w:r>
        <w:t xml:space="preserve">Controls are embedded and mapped to obligations: OFAC sanctions (block/reject and report), BSA/AML monitoring and SAR/CTR filing, the BSA and crypto Travel Rules, Reg E (ACH consumer), Reg J / UCC 4A (Fedwire), NACHA rules (ACH), and the evolving federal stablecoin framework. Every obligation maps to a named capability, is monitored in real time where the rail demands it, and is fully audited and retained.</w:t>
      </w:r>
    </w:p>
    <w:p>
      <w:pPr>
        <w:pStyle w:val="Heading1"/>
      </w:pPr>
      <w: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Reference &amp; list data quality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golden reference and sanctions data (F1) first; stewardship and versioning.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Real-time screening on irrevocable rails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Prove pre-send screening on Fedwire (business hours) before RTP (24/7); latency budgets and tuning.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Vendor / network dependency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 analytics, Travel Rule, custody, and operator relationships as governed dependencies.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Regulatory uncertainty (stablecoin)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discovery early; confirm the legal position before build; design for change.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Change management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Phased transition with reskilling from re-keying to exception and alert clearing.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RPA brittleness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RPA only to bridge portals; mandate a decommission path for each.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14. Governance &amp; investment</w:t>
      </w:r>
    </w:p>
    <w:p>
      <w:pPr>
        <w:spacing w:after="140" w:line="264"/>
      </w:pPr>
      <w:r>
        <w:t xml:space="preserve">A single payments operations product owner governs the canonical lifecycle and shared services; a steering committee owns the roadmap, prioritization, and aged-exception/alert review. Build-vs-buy is deliberate: buy or partner for commoditized capability (screening engines, analytics, Travel Rule, SWIFT connectivity, on-chain infrastructure, operator and correspondent rails), and build the orchestration, reference-data, reconciliation, and control layers that differentiate. Investment is staged by wave, with Phase 0 a low-cost step that de-risks everything downstream.</w:t>
      </w:r>
    </w:p>
    <w:p>
      <w:pPr>
        <w:pStyle w:val="Heading1"/>
      </w:pPr>
      <w:r>
        <w:t xml:space="preserve">15. The ask &amp; next steps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t xml:space="preserve">Approve the program, the exception-based operating model, and the four-wave sequence.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t xml:space="preserve">Run Phase 0 calibration — populate real volumes, false-positive and break rates, and risk assessments.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t xml:space="preserve">Fund the Wave 0 foundation — the screening spine, golden data, the payment hub, the exceptions desk, reconciliation, and AML/SAR.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t xml:space="preserve">Authorize stablecoin discovery to begin in parallel, given its long lead time.</w:t>
      </w:r>
    </w:p>
    <w:p>
      <w:r>
        <w:t xml:space="preserve"/>
      </w:r>
    </w:p>
    <w:p>
      <w:pPr>
        <w:spacing w:after="140" w:line="264"/>
      </w:pPr>
      <w:r>
        <w:rPr>
          <w:b/>
          <w:bCs/>
          <w:color w:val="1F3864"/>
        </w:rPr>
        <w:t xml:space="preserve">Decision requested. </w:t>
      </w:r>
      <w:r>
        <w:t xml:space="preserve">Approval to proceed and to commence Phase 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Confidential · Draft v0.1 ·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Payments Operations Automation — Program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2026-06-22T22:14:14.884Z</dcterms:created>
  <dcterms:modified xsi:type="dcterms:W3CDTF">2026-06-22T22:14:14.885Z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