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0B594" w14:textId="77777777" w:rsidR="00380776" w:rsidRDefault="00380776" w:rsidP="00380776"/>
    <w:p w14:paraId="36061EA2" w14:textId="77777777" w:rsidR="002867EA" w:rsidRDefault="002867EA" w:rsidP="00380776"/>
    <w:p w14:paraId="23D1EBB8" w14:textId="300BD1AE" w:rsidR="002867EA" w:rsidRDefault="002867EA" w:rsidP="00380776"/>
    <w:p w14:paraId="2092C0D0" w14:textId="77777777" w:rsidR="00380776" w:rsidRDefault="00380776" w:rsidP="00380776"/>
    <w:p w14:paraId="38FBC16E" w14:textId="77777777" w:rsidR="00086984" w:rsidRDefault="00086984" w:rsidP="00380776"/>
    <w:p w14:paraId="2D3878F2" w14:textId="77777777" w:rsidR="00380776" w:rsidRDefault="00380776" w:rsidP="00380776"/>
    <w:p w14:paraId="6A84A98A" w14:textId="77777777" w:rsidR="00A36D91" w:rsidRDefault="00A630D9" w:rsidP="001F3D42">
      <w:pPr>
        <w:pStyle w:val="Footer"/>
        <w:jc w:val="right"/>
      </w:pPr>
      <w:r>
        <w:rPr>
          <w:noProof/>
          <w:lang w:eastAsia="zh-CN"/>
        </w:rPr>
        <w:drawing>
          <wp:inline distT="0" distB="0" distL="0" distR="0" wp14:anchorId="072E2CA4" wp14:editId="117348D4">
            <wp:extent cx="1403985" cy="41338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985" cy="413385"/>
                    </a:xfrm>
                    <a:prstGeom prst="rect">
                      <a:avLst/>
                    </a:prstGeom>
                    <a:noFill/>
                    <a:ln>
                      <a:noFill/>
                    </a:ln>
                  </pic:spPr>
                </pic:pic>
              </a:graphicData>
            </a:graphic>
          </wp:inline>
        </w:drawing>
      </w:r>
    </w:p>
    <w:p w14:paraId="7E68F3DD" w14:textId="77777777" w:rsidR="00380776" w:rsidRDefault="00380776" w:rsidP="00086984">
      <w:pPr>
        <w:jc w:val="right"/>
      </w:pPr>
    </w:p>
    <w:p w14:paraId="1B60523C" w14:textId="77777777" w:rsidR="00380776" w:rsidRDefault="00380776" w:rsidP="00380776">
      <w:pPr>
        <w:jc w:val="right"/>
      </w:pPr>
      <w:r>
        <w:t>_________________________________________________________________________</w:t>
      </w:r>
    </w:p>
    <w:p w14:paraId="593F7F78" w14:textId="77777777" w:rsidR="00380776" w:rsidRDefault="00380776" w:rsidP="00380776">
      <w:pPr>
        <w:jc w:val="right"/>
        <w:rPr>
          <w:b/>
          <w:color w:val="183864"/>
          <w:sz w:val="44"/>
          <w:szCs w:val="72"/>
        </w:rPr>
      </w:pPr>
    </w:p>
    <w:p w14:paraId="7409F6DB" w14:textId="77777777" w:rsidR="00380776" w:rsidRDefault="00380776" w:rsidP="00380776">
      <w:pPr>
        <w:spacing w:after="0"/>
        <w:jc w:val="right"/>
        <w:rPr>
          <w:b/>
          <w:color w:val="183864"/>
          <w:sz w:val="44"/>
          <w:szCs w:val="72"/>
        </w:rPr>
      </w:pPr>
      <w:r>
        <w:rPr>
          <w:color w:val="183864"/>
          <w:sz w:val="44"/>
          <w:szCs w:val="72"/>
        </w:rPr>
        <w:t xml:space="preserve"> </w:t>
      </w:r>
      <w:r>
        <w:rPr>
          <w:b/>
          <w:color w:val="183864"/>
          <w:sz w:val="44"/>
          <w:szCs w:val="72"/>
        </w:rPr>
        <w:t>Advising the Affluent Client:</w:t>
      </w:r>
    </w:p>
    <w:p w14:paraId="3D502EB6" w14:textId="77777777" w:rsidR="00380776" w:rsidRDefault="00380776" w:rsidP="00380776">
      <w:pPr>
        <w:spacing w:before="0"/>
        <w:jc w:val="right"/>
        <w:rPr>
          <w:b/>
          <w:color w:val="183864"/>
          <w:sz w:val="44"/>
          <w:szCs w:val="72"/>
        </w:rPr>
      </w:pPr>
      <w:r>
        <w:rPr>
          <w:b/>
          <w:color w:val="183864"/>
          <w:sz w:val="44"/>
          <w:szCs w:val="72"/>
        </w:rPr>
        <w:t xml:space="preserve">Retirement </w:t>
      </w:r>
      <w:r w:rsidR="002D5D7D">
        <w:rPr>
          <w:b/>
          <w:color w:val="183864"/>
          <w:sz w:val="44"/>
          <w:szCs w:val="72"/>
        </w:rPr>
        <w:t xml:space="preserve">Accumulation </w:t>
      </w:r>
      <w:r>
        <w:rPr>
          <w:b/>
          <w:color w:val="183864"/>
          <w:sz w:val="44"/>
          <w:szCs w:val="72"/>
        </w:rPr>
        <w:t>Planning</w:t>
      </w:r>
    </w:p>
    <w:p w14:paraId="481CDF66" w14:textId="77777777" w:rsidR="00086984" w:rsidRDefault="00086984" w:rsidP="00380776"/>
    <w:p w14:paraId="16B31962" w14:textId="77777777" w:rsidR="00CD7A83" w:rsidRDefault="00CD7A83" w:rsidP="00380776"/>
    <w:p w14:paraId="6FE18975" w14:textId="0FC6CC2E" w:rsidR="00380776" w:rsidRPr="008771A6" w:rsidRDefault="00380776" w:rsidP="00380776">
      <w:r w:rsidRPr="00FE688F">
        <w:t xml:space="preserve">© </w:t>
      </w:r>
      <w:r w:rsidR="002D2503">
        <w:t>2016</w:t>
      </w:r>
      <w:r w:rsidRPr="00FE688F">
        <w:t xml:space="preserve"> Greene Consulting Associates, LLC INTENDED SOLELY FO</w:t>
      </w:r>
      <w:r>
        <w:t xml:space="preserve">R USE BY REGISTERED USERS </w:t>
      </w:r>
      <w:r w:rsidRPr="00FE688F">
        <w:t>NOT TO BE REPRODUCED OR</w:t>
      </w:r>
      <w:r>
        <w:t xml:space="preserve"> CIRCULATED</w:t>
      </w:r>
    </w:p>
    <w:p w14:paraId="3A634AEF" w14:textId="77777777" w:rsidR="00380776" w:rsidRDefault="00380776" w:rsidP="00380776"/>
    <w:p w14:paraId="0E3E8F5D" w14:textId="77777777" w:rsidR="00D91392" w:rsidRPr="00A42140" w:rsidRDefault="00380776" w:rsidP="004344CA">
      <w:pPr>
        <w:pStyle w:val="Heading2"/>
      </w:pPr>
      <w:r>
        <w:br w:type="page"/>
      </w:r>
      <w:r w:rsidR="00D91392" w:rsidRPr="00A42140">
        <w:lastRenderedPageBreak/>
        <w:t>ABOUT GREENE CONSULTING ASSOCIATES, LLC</w:t>
      </w:r>
      <w:r w:rsidR="002F5FA0">
        <w:tab/>
      </w:r>
    </w:p>
    <w:p w14:paraId="110EA2C7" w14:textId="77777777" w:rsidR="00D91392" w:rsidRPr="0057293B" w:rsidRDefault="00D91392" w:rsidP="00CD7A83">
      <w:r w:rsidRPr="0057293B">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w:t>
      </w:r>
      <w:r w:rsidR="00E52C53" w:rsidRPr="0057293B">
        <w:t xml:space="preserve">a </w:t>
      </w:r>
      <w:r w:rsidRPr="0057293B">
        <w:t xml:space="preserve">comprehensive suite of online learning </w:t>
      </w:r>
      <w:r w:rsidR="00E52C53" w:rsidRPr="0057293B">
        <w:t xml:space="preserve">courses </w:t>
      </w:r>
      <w:r w:rsidRPr="0057293B">
        <w:t xml:space="preserve">related to investments and wealth management. </w:t>
      </w:r>
    </w:p>
    <w:p w14:paraId="79876469" w14:textId="77777777" w:rsidR="00D91392" w:rsidRDefault="00D91392" w:rsidP="00CD7A83">
      <w:r w:rsidRPr="0057293B">
        <w:t xml:space="preserve">For more information about Greene Consulting or any of its products and services, write Greene Consulting at </w:t>
      </w:r>
      <w:proofErr w:type="spellStart"/>
      <w:r w:rsidRPr="0057293B">
        <w:t>Waterstone</w:t>
      </w:r>
      <w:proofErr w:type="spellEnd"/>
      <w:r w:rsidRPr="0057293B">
        <w:t xml:space="preserve"> Building, 4751 Best Road, Suite 450, Atlanta, </w:t>
      </w:r>
      <w:proofErr w:type="gramStart"/>
      <w:r w:rsidRPr="0057293B">
        <w:t>Georgia  30337</w:t>
      </w:r>
      <w:proofErr w:type="gramEnd"/>
      <w:r w:rsidRPr="0057293B">
        <w:t>.  Or, visit the company's website at www.greeneconsults.com.</w:t>
      </w:r>
    </w:p>
    <w:p w14:paraId="5A241238" w14:textId="77777777" w:rsidR="00380776" w:rsidRDefault="00380776" w:rsidP="00CD7A83">
      <w:pPr>
        <w:spacing w:before="0" w:after="0"/>
      </w:pPr>
    </w:p>
    <w:p w14:paraId="34DBD4C6" w14:textId="77777777" w:rsidR="00D74F7A" w:rsidRPr="00B276F8" w:rsidRDefault="00380776" w:rsidP="001F3D42">
      <w:pPr>
        <w:pStyle w:val="Heading2"/>
        <w:jc w:val="center"/>
      </w:pPr>
      <w:r>
        <w:br w:type="page"/>
      </w:r>
      <w:r w:rsidR="00D74F7A" w:rsidRPr="00B276F8">
        <w:lastRenderedPageBreak/>
        <w:t>Table of Contents</w:t>
      </w:r>
    </w:p>
    <w:p w14:paraId="707E6F04" w14:textId="77777777" w:rsidR="00D74F7A" w:rsidRDefault="00D74F7A" w:rsidP="00D74F7A">
      <w:pPr>
        <w:spacing w:before="0" w:after="0"/>
      </w:pPr>
      <w:r w:rsidRPr="00B06325">
        <w:t>Introduction</w:t>
      </w:r>
    </w:p>
    <w:p w14:paraId="01956259" w14:textId="5AEAAA8D" w:rsidR="00027D52" w:rsidRPr="00B06325" w:rsidRDefault="00027D52" w:rsidP="00D74F7A">
      <w:pPr>
        <w:spacing w:before="0" w:after="0"/>
      </w:pPr>
      <w:r>
        <w:t>Learning Objectives</w:t>
      </w:r>
    </w:p>
    <w:p w14:paraId="3D75EA68" w14:textId="77777777" w:rsidR="00D74F7A" w:rsidRPr="00B06325" w:rsidRDefault="00D74F7A" w:rsidP="00D74F7A">
      <w:pPr>
        <w:spacing w:before="0" w:after="0"/>
      </w:pPr>
      <w:r w:rsidRPr="00B06325">
        <w:t>The Opportunity</w:t>
      </w:r>
    </w:p>
    <w:p w14:paraId="6FAE7EA8" w14:textId="77777777" w:rsidR="00D74F7A" w:rsidRDefault="00D74F7A" w:rsidP="00D74F7A">
      <w:pPr>
        <w:spacing w:before="0" w:after="0"/>
      </w:pPr>
      <w:r w:rsidRPr="00B06325">
        <w:t>Understanding the Retirement Lifecycle</w:t>
      </w:r>
    </w:p>
    <w:p w14:paraId="143DDBEF" w14:textId="77777777" w:rsidR="002C04F6" w:rsidRDefault="009019C4" w:rsidP="001F3D42">
      <w:pPr>
        <w:spacing w:before="0" w:after="0"/>
      </w:pPr>
      <w:r>
        <w:t>The Five</w:t>
      </w:r>
      <w:r w:rsidR="004F5839">
        <w:t xml:space="preserve"> Key </w:t>
      </w:r>
      <w:r>
        <w:t xml:space="preserve">Issues </w:t>
      </w:r>
      <w:r w:rsidR="0025203A">
        <w:t>of</w:t>
      </w:r>
      <w:r>
        <w:t xml:space="preserve"> </w:t>
      </w:r>
      <w:r w:rsidR="003F44AE">
        <w:t>an Effective Retirement Plan</w:t>
      </w:r>
    </w:p>
    <w:p w14:paraId="242B1EB1" w14:textId="77777777" w:rsidR="002C04F6" w:rsidRDefault="00DE0294" w:rsidP="001F3D42">
      <w:pPr>
        <w:spacing w:before="0" w:after="0"/>
      </w:pPr>
      <w:r>
        <w:t xml:space="preserve">Key Issue 1 - </w:t>
      </w:r>
      <w:r w:rsidR="009019C4">
        <w:t>Clear Retirement Plan</w:t>
      </w:r>
    </w:p>
    <w:p w14:paraId="25452EFD" w14:textId="77777777" w:rsidR="002C04F6" w:rsidRDefault="00DE0294" w:rsidP="001F3D42">
      <w:pPr>
        <w:spacing w:before="0" w:after="0"/>
      </w:pPr>
      <w:r>
        <w:t xml:space="preserve">Key Issue 2 - </w:t>
      </w:r>
      <w:r w:rsidR="009019C4">
        <w:t>Sufficient Savings</w:t>
      </w:r>
    </w:p>
    <w:p w14:paraId="6A286CB6" w14:textId="77777777" w:rsidR="00DE0294" w:rsidRDefault="00DE0294" w:rsidP="001F3D42">
      <w:pPr>
        <w:spacing w:before="0" w:after="0"/>
      </w:pPr>
      <w:r>
        <w:t>Social Security</w:t>
      </w:r>
    </w:p>
    <w:p w14:paraId="2BDF62ED" w14:textId="77777777" w:rsidR="00DE0294" w:rsidRDefault="00DE0294" w:rsidP="001F3D42">
      <w:pPr>
        <w:spacing w:before="0" w:after="0"/>
      </w:pPr>
      <w:r>
        <w:t>Deferred Annuities</w:t>
      </w:r>
    </w:p>
    <w:p w14:paraId="33E2EBA6" w14:textId="77777777" w:rsidR="002C04F6" w:rsidRDefault="008C4117" w:rsidP="001F3D42">
      <w:pPr>
        <w:spacing w:before="0" w:after="0"/>
      </w:pPr>
      <w:r>
        <w:t xml:space="preserve">Key Issue 3 - </w:t>
      </w:r>
      <w:r w:rsidR="009019C4">
        <w:t>Effective Investment Strategy</w:t>
      </w:r>
    </w:p>
    <w:p w14:paraId="23771912" w14:textId="77777777" w:rsidR="002C04F6" w:rsidRDefault="008C4117" w:rsidP="001F3D42">
      <w:pPr>
        <w:spacing w:before="0" w:after="0"/>
      </w:pPr>
      <w:r>
        <w:t xml:space="preserve">Key Issue 4 - </w:t>
      </w:r>
      <w:r w:rsidR="009019C4">
        <w:t>Tax-Efficient Savings Strategy</w:t>
      </w:r>
    </w:p>
    <w:p w14:paraId="08A3C0FE" w14:textId="0D2F7315" w:rsidR="00060A44" w:rsidRDefault="00060A44" w:rsidP="001F3D42">
      <w:pPr>
        <w:spacing w:before="0" w:after="0"/>
      </w:pPr>
      <w:r>
        <w:t>Retirement Savings Vehicles</w:t>
      </w:r>
    </w:p>
    <w:p w14:paraId="2B09923F" w14:textId="77777777" w:rsidR="002C04F6" w:rsidRDefault="00A173E4" w:rsidP="001F3D42">
      <w:pPr>
        <w:spacing w:before="0" w:after="0"/>
      </w:pPr>
      <w:r w:rsidRPr="00B06325">
        <w:t>Importance of Understanding IRAs</w:t>
      </w:r>
    </w:p>
    <w:p w14:paraId="293C3209" w14:textId="77777777" w:rsidR="002C04F6" w:rsidRDefault="00A173E4" w:rsidP="001F3D42">
      <w:pPr>
        <w:spacing w:before="0" w:after="0"/>
      </w:pPr>
      <w:r w:rsidRPr="00B06325">
        <w:t>Advantages of an IRA</w:t>
      </w:r>
    </w:p>
    <w:p w14:paraId="05585120" w14:textId="77777777" w:rsidR="002C04F6" w:rsidRDefault="00A173E4" w:rsidP="001F3D42">
      <w:pPr>
        <w:spacing w:before="0" w:after="0"/>
      </w:pPr>
      <w:r w:rsidRPr="00B06325">
        <w:t xml:space="preserve">IRAs </w:t>
      </w:r>
      <w:r w:rsidR="002B0B1C">
        <w:t xml:space="preserve">Established </w:t>
      </w:r>
      <w:r w:rsidRPr="00B06325">
        <w:t>by Individuals</w:t>
      </w:r>
    </w:p>
    <w:p w14:paraId="282CE18A" w14:textId="77777777" w:rsidR="002C04F6" w:rsidRDefault="00AC7B3B" w:rsidP="001F3D42">
      <w:pPr>
        <w:spacing w:before="0" w:after="0"/>
      </w:pPr>
      <w:r>
        <w:t xml:space="preserve">Traditional and Roth </w:t>
      </w:r>
      <w:r w:rsidR="005F3760">
        <w:t>IRAs</w:t>
      </w:r>
      <w:r w:rsidR="005765D4">
        <w:t xml:space="preserve"> </w:t>
      </w:r>
      <w:r>
        <w:t xml:space="preserve">- </w:t>
      </w:r>
      <w:r w:rsidR="00A173E4" w:rsidRPr="00B06325">
        <w:t>Who Can Set One Up?</w:t>
      </w:r>
    </w:p>
    <w:p w14:paraId="5CD5255A" w14:textId="77777777" w:rsidR="002C04F6" w:rsidRDefault="00403034" w:rsidP="001F3D42">
      <w:pPr>
        <w:spacing w:before="0" w:after="0"/>
      </w:pPr>
      <w:r>
        <w:t>Excess Contributions</w:t>
      </w:r>
    </w:p>
    <w:p w14:paraId="7806CCB4" w14:textId="77777777" w:rsidR="002C04F6" w:rsidRDefault="007C61FD" w:rsidP="001F3D42">
      <w:pPr>
        <w:spacing w:before="0" w:after="0"/>
      </w:pPr>
      <w:r>
        <w:t>Premature Withdrawal Penalty</w:t>
      </w:r>
    </w:p>
    <w:p w14:paraId="37E7FB85" w14:textId="77777777" w:rsidR="002C04F6" w:rsidRDefault="00403034" w:rsidP="001F3D42">
      <w:pPr>
        <w:spacing w:before="0" w:after="0"/>
      </w:pPr>
      <w:r>
        <w:t>Prohibited IRA Investments and Transactions</w:t>
      </w:r>
    </w:p>
    <w:p w14:paraId="59A8E6F8" w14:textId="77777777" w:rsidR="002C04F6" w:rsidRDefault="00A173E4" w:rsidP="001F3D42">
      <w:pPr>
        <w:spacing w:before="0" w:after="0"/>
      </w:pPr>
      <w:r w:rsidRPr="00B06325">
        <w:t>Review Exercise</w:t>
      </w:r>
      <w:r w:rsidR="00FA6A99">
        <w:t xml:space="preserve"> </w:t>
      </w:r>
    </w:p>
    <w:p w14:paraId="1D65CAE6" w14:textId="7BF2CD78" w:rsidR="002C04F6" w:rsidRDefault="008A3A48" w:rsidP="001F3D42">
      <w:pPr>
        <w:spacing w:before="0" w:after="0"/>
      </w:pPr>
      <w:r>
        <w:t xml:space="preserve">How Much </w:t>
      </w:r>
      <w:r w:rsidRPr="000C36AB">
        <w:t xml:space="preserve">of </w:t>
      </w:r>
      <w:r>
        <w:t xml:space="preserve">a </w:t>
      </w:r>
      <w:r w:rsidRPr="000C36AB">
        <w:t xml:space="preserve">Traditional </w:t>
      </w:r>
      <w:r>
        <w:t>I</w:t>
      </w:r>
      <w:r w:rsidRPr="000C36AB">
        <w:t>RA Contribution</w:t>
      </w:r>
      <w:r>
        <w:t xml:space="preserve"> is Deductible?</w:t>
      </w:r>
    </w:p>
    <w:p w14:paraId="6525A395" w14:textId="77777777" w:rsidR="002C04F6" w:rsidRDefault="00106F48" w:rsidP="001F3D42">
      <w:pPr>
        <w:spacing w:before="0" w:after="0"/>
      </w:pPr>
      <w:r>
        <w:t xml:space="preserve">How Does </w:t>
      </w:r>
      <w:r w:rsidR="00C522F2">
        <w:t xml:space="preserve">Modified </w:t>
      </w:r>
      <w:r>
        <w:t xml:space="preserve">AGI Limit the Roth </w:t>
      </w:r>
      <w:r w:rsidR="00650DA0">
        <w:t xml:space="preserve">IRA </w:t>
      </w:r>
      <w:r>
        <w:t>Contribution?</w:t>
      </w:r>
    </w:p>
    <w:p w14:paraId="700176A6" w14:textId="77777777" w:rsidR="002C04F6" w:rsidRDefault="00A173E4" w:rsidP="001F3D42">
      <w:pPr>
        <w:spacing w:before="0" w:after="0"/>
      </w:pPr>
      <w:r w:rsidRPr="00B06325">
        <w:t>Review Exercise</w:t>
      </w:r>
    </w:p>
    <w:p w14:paraId="0331B140" w14:textId="77777777" w:rsidR="005F4462" w:rsidRDefault="005F4462" w:rsidP="001F3D42">
      <w:pPr>
        <w:spacing w:before="0" w:after="0"/>
      </w:pPr>
      <w:r>
        <w:t>Rollovers and Direct Transfers</w:t>
      </w:r>
    </w:p>
    <w:p w14:paraId="49928DD0" w14:textId="1670B36D" w:rsidR="00845BA5" w:rsidRDefault="00A173E4" w:rsidP="001F3D42">
      <w:pPr>
        <w:spacing w:before="0" w:after="0"/>
        <w:rPr>
          <w:rFonts w:eastAsia="Arial Unicode MS"/>
        </w:rPr>
      </w:pPr>
      <w:r w:rsidRPr="00B06325">
        <w:t>Conversion</w:t>
      </w:r>
      <w:r w:rsidR="004F485C">
        <w:t xml:space="preserve">/Rollover </w:t>
      </w:r>
      <w:r w:rsidRPr="00B06325">
        <w:t>to a Roth IRA</w:t>
      </w:r>
    </w:p>
    <w:p w14:paraId="5818DC65" w14:textId="77777777" w:rsidR="00845BA5" w:rsidRDefault="00845BA5" w:rsidP="001F3D42">
      <w:pPr>
        <w:spacing w:before="0" w:after="0"/>
        <w:rPr>
          <w:rFonts w:eastAsia="Arial Unicode MS"/>
        </w:rPr>
      </w:pPr>
      <w:r>
        <w:rPr>
          <w:rFonts w:eastAsia="Arial Unicode MS"/>
        </w:rPr>
        <w:t>Life Happens – Accessing Cash or Reversing the Conversion to a Roth IRA</w:t>
      </w:r>
    </w:p>
    <w:p w14:paraId="75AD5538" w14:textId="77777777" w:rsidR="002C04F6" w:rsidRDefault="00A173E4" w:rsidP="001F3D42">
      <w:pPr>
        <w:spacing w:before="0" w:after="0"/>
      </w:pPr>
      <w:r w:rsidRPr="00B06325">
        <w:t>Review Exercise</w:t>
      </w:r>
    </w:p>
    <w:p w14:paraId="38858BD1" w14:textId="4ABD0D4F" w:rsidR="008B7410" w:rsidRDefault="00BB0FB6" w:rsidP="008B7410">
      <w:pPr>
        <w:spacing w:before="0" w:after="0"/>
      </w:pPr>
      <w:r>
        <w:t>Should You</w:t>
      </w:r>
      <w:r w:rsidR="00DA6532">
        <w:t xml:space="preserve">r Client Contribute to </w:t>
      </w:r>
      <w:r w:rsidR="008B7410">
        <w:t>a Roth IRA?</w:t>
      </w:r>
    </w:p>
    <w:p w14:paraId="15AB342A" w14:textId="1268956F" w:rsidR="003F51C5" w:rsidRDefault="00A76C57" w:rsidP="001F3D42">
      <w:pPr>
        <w:spacing w:before="0" w:after="0"/>
      </w:pPr>
      <w:r>
        <w:t xml:space="preserve">Lowering AGI is a Good Thing - </w:t>
      </w:r>
      <w:r w:rsidR="00D04E85" w:rsidRPr="000635A2">
        <w:t>Roth IRA Unique Planning Opportunities</w:t>
      </w:r>
    </w:p>
    <w:p w14:paraId="7B4D6D07" w14:textId="77777777" w:rsidR="002C04F6" w:rsidRDefault="00EE16CF" w:rsidP="001F3D42">
      <w:pPr>
        <w:spacing w:before="0" w:after="0"/>
      </w:pPr>
      <w:r w:rsidRPr="00F20463">
        <w:t>H</w:t>
      </w:r>
      <w:r w:rsidR="00407A4F" w:rsidRPr="005A0621">
        <w:t>ealth Savings Accounts (HS</w:t>
      </w:r>
      <w:r w:rsidRPr="005A0621">
        <w:t>As)</w:t>
      </w:r>
    </w:p>
    <w:p w14:paraId="645CB22E" w14:textId="77777777" w:rsidR="002C04F6" w:rsidRDefault="005D070F" w:rsidP="001F3D42">
      <w:pPr>
        <w:spacing w:before="0" w:after="0"/>
      </w:pPr>
      <w:r>
        <w:t xml:space="preserve">IRAs Established by </w:t>
      </w:r>
      <w:r w:rsidR="002B0B1C">
        <w:t>Employer</w:t>
      </w:r>
      <w:r>
        <w:t>s</w:t>
      </w:r>
      <w:r w:rsidR="002B0B1C">
        <w:t xml:space="preserve"> </w:t>
      </w:r>
    </w:p>
    <w:p w14:paraId="532C8CAA" w14:textId="77777777" w:rsidR="002C04F6" w:rsidRDefault="00A173E4" w:rsidP="001F3D42">
      <w:pPr>
        <w:spacing w:before="0" w:after="0"/>
      </w:pPr>
      <w:r w:rsidRPr="00B06325">
        <w:t>SEP IRA</w:t>
      </w:r>
    </w:p>
    <w:p w14:paraId="6F1D3C8F" w14:textId="77777777" w:rsidR="002C04F6" w:rsidRDefault="00A173E4" w:rsidP="001F3D42">
      <w:pPr>
        <w:spacing w:before="0" w:after="0"/>
      </w:pPr>
      <w:r w:rsidRPr="00B06325">
        <w:t>SIMPLE IRA</w:t>
      </w:r>
    </w:p>
    <w:p w14:paraId="4FA91BE1" w14:textId="77777777" w:rsidR="002C04F6" w:rsidRDefault="00A173E4" w:rsidP="001F3D42">
      <w:pPr>
        <w:spacing w:before="0" w:after="0"/>
      </w:pPr>
      <w:r w:rsidRPr="00B06325">
        <w:t>Review Exercise</w:t>
      </w:r>
    </w:p>
    <w:p w14:paraId="3183AEC4" w14:textId="23D461EF" w:rsidR="00E35A18" w:rsidRDefault="00E35A18" w:rsidP="001F3D42">
      <w:pPr>
        <w:spacing w:before="0" w:after="0"/>
      </w:pPr>
      <w:r>
        <w:t xml:space="preserve">Government Sponsored IRA - </w:t>
      </w:r>
      <w:proofErr w:type="spellStart"/>
      <w:r w:rsidRPr="00B552EA">
        <w:rPr>
          <w:i/>
        </w:rPr>
        <w:t>my</w:t>
      </w:r>
      <w:r w:rsidRPr="00AB741B">
        <w:t>RA</w:t>
      </w:r>
      <w:proofErr w:type="spellEnd"/>
      <w:r w:rsidRPr="00B552EA">
        <w:rPr>
          <w:i/>
        </w:rPr>
        <w:t xml:space="preserve"> | my </w:t>
      </w:r>
      <w:r w:rsidRPr="00B552EA">
        <w:t>Retirement</w:t>
      </w:r>
    </w:p>
    <w:p w14:paraId="259F702A" w14:textId="77777777" w:rsidR="002C04F6" w:rsidRPr="008E3F14" w:rsidRDefault="002B0B1C" w:rsidP="001F3D42">
      <w:pPr>
        <w:spacing w:before="0" w:after="0"/>
      </w:pPr>
      <w:r w:rsidRPr="008E3F14">
        <w:t>Employer</w:t>
      </w:r>
      <w:r w:rsidR="005765D4" w:rsidRPr="008E3F14">
        <w:t>-</w:t>
      </w:r>
      <w:r w:rsidRPr="008E3F14">
        <w:t xml:space="preserve">Sponsored </w:t>
      </w:r>
      <w:r w:rsidR="007F1F9C" w:rsidRPr="008E3F14">
        <w:t>Qualified Plan</w:t>
      </w:r>
      <w:r w:rsidRPr="008E3F14">
        <w:t>s</w:t>
      </w:r>
      <w:r w:rsidR="007F1F9C" w:rsidRPr="008E3F14">
        <w:t xml:space="preserve"> </w:t>
      </w:r>
    </w:p>
    <w:p w14:paraId="709EC489" w14:textId="77777777" w:rsidR="002C04F6" w:rsidRPr="008E3F14" w:rsidRDefault="007F1F9C" w:rsidP="001F3D42">
      <w:pPr>
        <w:spacing w:before="0" w:after="0"/>
      </w:pPr>
      <w:r w:rsidRPr="008E3F14">
        <w:t>Types of Qualified Plans</w:t>
      </w:r>
    </w:p>
    <w:p w14:paraId="15E6AE56" w14:textId="77777777" w:rsidR="002C04F6" w:rsidRPr="008E3F14" w:rsidRDefault="007F1F9C" w:rsidP="001F3D42">
      <w:pPr>
        <w:spacing w:before="0" w:after="0"/>
      </w:pPr>
      <w:r w:rsidRPr="008E3F14">
        <w:t>Defined Benefit Plans</w:t>
      </w:r>
    </w:p>
    <w:p w14:paraId="6517401F" w14:textId="2514755F" w:rsidR="00944DC3" w:rsidRDefault="007F1F9C" w:rsidP="008E3F14">
      <w:pPr>
        <w:spacing w:before="0" w:after="0"/>
      </w:pPr>
      <w:r w:rsidRPr="008E3F14">
        <w:t>Defined Contribution Plans</w:t>
      </w:r>
    </w:p>
    <w:p w14:paraId="715CDED7" w14:textId="77777777" w:rsidR="00944DC3" w:rsidRPr="0062180A" w:rsidRDefault="00944DC3" w:rsidP="008E3F14">
      <w:pPr>
        <w:spacing w:before="0" w:after="0"/>
      </w:pPr>
      <w:r>
        <w:t xml:space="preserve">Corporate and </w:t>
      </w:r>
      <w:r w:rsidRPr="00A97587">
        <w:t>Keogh</w:t>
      </w:r>
      <w:r>
        <w:t xml:space="preserve"> Sponsors of Qualified</w:t>
      </w:r>
      <w:r w:rsidRPr="00A97587">
        <w:t xml:space="preserve"> Plans</w:t>
      </w:r>
    </w:p>
    <w:p w14:paraId="36C9D474" w14:textId="77777777" w:rsidR="00614224" w:rsidRDefault="00614224" w:rsidP="00614224">
      <w:pPr>
        <w:spacing w:before="0" w:after="0"/>
      </w:pPr>
      <w:r>
        <w:t>Pre-Retirement Distributions from Qual</w:t>
      </w:r>
      <w:r w:rsidR="00CE7947">
        <w:t>i</w:t>
      </w:r>
      <w:r>
        <w:t>fied Plans</w:t>
      </w:r>
    </w:p>
    <w:p w14:paraId="77E82707" w14:textId="77777777" w:rsidR="00614224" w:rsidRDefault="00CE7947" w:rsidP="00614224">
      <w:pPr>
        <w:spacing w:before="0" w:after="0"/>
      </w:pPr>
      <w:r>
        <w:t>Qualified Plan Premature Distribution Penalty</w:t>
      </w:r>
    </w:p>
    <w:p w14:paraId="202E1CEC" w14:textId="77777777" w:rsidR="00471876" w:rsidRDefault="00471876" w:rsidP="00471876">
      <w:pPr>
        <w:spacing w:before="0" w:after="0"/>
      </w:pPr>
      <w:r w:rsidRPr="00B06325">
        <w:t>Tax</w:t>
      </w:r>
      <w:r>
        <w:t>-</w:t>
      </w:r>
      <w:r w:rsidRPr="00B06325">
        <w:t>Exempt Organization Arrangements and Governmental Plans</w:t>
      </w:r>
    </w:p>
    <w:p w14:paraId="24185A6F" w14:textId="579B5242" w:rsidR="002C04F6" w:rsidRPr="008E3F14" w:rsidRDefault="00A64B4F" w:rsidP="001F3D42">
      <w:pPr>
        <w:spacing w:before="0" w:after="0"/>
      </w:pPr>
      <w:r w:rsidRPr="008E3F14">
        <w:t xml:space="preserve">Nonqualified </w:t>
      </w:r>
      <w:r w:rsidR="00EC0FEE" w:rsidRPr="008E3F14">
        <w:t xml:space="preserve">Deferred Compensation </w:t>
      </w:r>
      <w:r w:rsidR="00A206CE">
        <w:t>Arrangements</w:t>
      </w:r>
    </w:p>
    <w:p w14:paraId="55521FDA" w14:textId="7CAF8EB5" w:rsidR="00EC0FEE" w:rsidRPr="00596635" w:rsidRDefault="00EC0FEE" w:rsidP="001F3D42">
      <w:pPr>
        <w:spacing w:before="0" w:after="0"/>
      </w:pPr>
      <w:r w:rsidRPr="008E3F14">
        <w:t>Stock Option</w:t>
      </w:r>
      <w:r w:rsidR="00663DF6">
        <w:t>s</w:t>
      </w:r>
      <w:r w:rsidRPr="008E3F14">
        <w:t xml:space="preserve"> </w:t>
      </w:r>
    </w:p>
    <w:p w14:paraId="4A9CCBA1" w14:textId="77777777" w:rsidR="002C04F6" w:rsidRDefault="007F1F9C" w:rsidP="002C04F6">
      <w:pPr>
        <w:spacing w:before="0" w:after="0"/>
      </w:pPr>
      <w:r w:rsidRPr="001C2A69">
        <w:t>Rev</w:t>
      </w:r>
      <w:r w:rsidRPr="00596635">
        <w:t>iew Exercise</w:t>
      </w:r>
    </w:p>
    <w:p w14:paraId="7C3CCCBB" w14:textId="77777777" w:rsidR="003554B5" w:rsidRPr="00B06325" w:rsidRDefault="003554B5" w:rsidP="003554B5">
      <w:pPr>
        <w:spacing w:before="0" w:after="0"/>
      </w:pPr>
      <w:r>
        <w:t>Conclusion</w:t>
      </w:r>
    </w:p>
    <w:p w14:paraId="43871BB1" w14:textId="77777777" w:rsidR="00E87CCC" w:rsidRDefault="00E87CCC" w:rsidP="00D74F7A">
      <w:pPr>
        <w:spacing w:before="0" w:after="0"/>
      </w:pPr>
    </w:p>
    <w:p w14:paraId="313E3596" w14:textId="77777777" w:rsidR="00E87CCC" w:rsidRDefault="009019C4" w:rsidP="00D74F7A">
      <w:pPr>
        <w:spacing w:before="0" w:after="0"/>
      </w:pPr>
      <w:r>
        <w:br w:type="page"/>
      </w:r>
    </w:p>
    <w:p w14:paraId="3A9A7EA1" w14:textId="77777777" w:rsidR="00903DC5" w:rsidRDefault="00D91392" w:rsidP="004344CA">
      <w:pPr>
        <w:pStyle w:val="Heading2"/>
      </w:pPr>
      <w:r w:rsidRPr="00B06325">
        <w:lastRenderedPageBreak/>
        <w:t>Introduction</w:t>
      </w:r>
    </w:p>
    <w:p w14:paraId="53F8B6BC" w14:textId="77777777" w:rsidR="00A34F76" w:rsidRDefault="00A34F76" w:rsidP="00A34F76">
      <w:pPr>
        <w:rPr>
          <w:b/>
          <w:color w:val="FF0000"/>
        </w:rPr>
      </w:pPr>
    </w:p>
    <w:p w14:paraId="078738BF" w14:textId="77777777" w:rsidR="00A34F76" w:rsidRDefault="00013E67" w:rsidP="00650C83">
      <w:pPr>
        <w:jc w:val="center"/>
        <w:rPr>
          <w:b/>
          <w:color w:val="FF0000"/>
        </w:rPr>
      </w:pPr>
      <w:r>
        <w:rPr>
          <w:b/>
          <w:noProof/>
          <w:color w:val="FF0000"/>
          <w:lang w:eastAsia="zh-CN"/>
        </w:rPr>
        <w:drawing>
          <wp:inline distT="0" distB="0" distL="0" distR="0" wp14:anchorId="0EBD97CE" wp14:editId="1A756273">
            <wp:extent cx="5309174" cy="2942167"/>
            <wp:effectExtent l="0" t="0" r="0" b="4445"/>
            <wp:docPr id="5" name="Picture 5" descr="Macintosh HD:Users:ricktyler:Desktop:Launch_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ktyler:Desktop:Launch_Vide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9174" cy="2942167"/>
                    </a:xfrm>
                    <a:prstGeom prst="rect">
                      <a:avLst/>
                    </a:prstGeom>
                    <a:noFill/>
                    <a:ln>
                      <a:noFill/>
                    </a:ln>
                  </pic:spPr>
                </pic:pic>
              </a:graphicData>
            </a:graphic>
          </wp:inline>
        </w:drawing>
      </w:r>
    </w:p>
    <w:p w14:paraId="6998A0D2" w14:textId="77777777" w:rsidR="00A34F76" w:rsidRDefault="00A34F76" w:rsidP="00A34F76">
      <w:pPr>
        <w:jc w:val="center"/>
        <w:rPr>
          <w:b/>
          <w:color w:val="FF0000"/>
        </w:rPr>
      </w:pPr>
    </w:p>
    <w:tbl>
      <w:tblPr>
        <w:tblW w:w="94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1E0" w:firstRow="1" w:lastRow="1" w:firstColumn="1" w:lastColumn="1" w:noHBand="0" w:noVBand="0"/>
      </w:tblPr>
      <w:tblGrid>
        <w:gridCol w:w="5263"/>
        <w:gridCol w:w="4187"/>
      </w:tblGrid>
      <w:tr w:rsidR="00BD01E9" w:rsidRPr="00013E67" w14:paraId="07DF700C" w14:textId="77777777" w:rsidTr="00650C83">
        <w:trPr>
          <w:trHeight w:val="349"/>
        </w:trPr>
        <w:tc>
          <w:tcPr>
            <w:tcW w:w="9450" w:type="dxa"/>
            <w:gridSpan w:val="2"/>
            <w:tcBorders>
              <w:bottom w:val="nil"/>
            </w:tcBorders>
            <w:shd w:val="clear" w:color="auto" w:fill="C4BD97"/>
            <w:vAlign w:val="center"/>
          </w:tcPr>
          <w:p w14:paraId="1F5E834A" w14:textId="77777777" w:rsidR="00BD01E9" w:rsidRPr="00013E67" w:rsidRDefault="00BD01E9" w:rsidP="00BD01E9">
            <w:pPr>
              <w:spacing w:after="0"/>
              <w:rPr>
                <w:b/>
                <w:bCs/>
                <w:color w:val="000000"/>
              </w:rPr>
            </w:pPr>
            <w:r w:rsidRPr="00013E67">
              <w:rPr>
                <w:b/>
                <w:bCs/>
                <w:color w:val="000000"/>
              </w:rPr>
              <w:t>Video Script</w:t>
            </w:r>
          </w:p>
        </w:tc>
      </w:tr>
      <w:tr w:rsidR="00BD01E9" w:rsidRPr="00013E67" w14:paraId="16DB6A24" w14:textId="77777777" w:rsidTr="00650C83">
        <w:trPr>
          <w:trHeight w:val="268"/>
        </w:trPr>
        <w:tc>
          <w:tcPr>
            <w:tcW w:w="5263" w:type="dxa"/>
            <w:tcBorders>
              <w:top w:val="nil"/>
              <w:right w:val="nil"/>
            </w:tcBorders>
            <w:shd w:val="clear" w:color="auto" w:fill="C4BD97"/>
            <w:vAlign w:val="center"/>
          </w:tcPr>
          <w:p w14:paraId="21DA3EBF" w14:textId="77777777" w:rsidR="00BD01E9" w:rsidRPr="00013E67" w:rsidRDefault="00BD01E9" w:rsidP="00BD01E9">
            <w:pPr>
              <w:spacing w:before="0" w:after="0"/>
              <w:jc w:val="center"/>
              <w:rPr>
                <w:rFonts w:eastAsia="MS Mincho"/>
                <w:b/>
                <w:color w:val="FFFFFF"/>
                <w:lang w:eastAsia="ja-JP"/>
              </w:rPr>
            </w:pPr>
            <w:r w:rsidRPr="00013E67">
              <w:rPr>
                <w:rFonts w:eastAsia="MS Mincho"/>
                <w:b/>
                <w:color w:val="FFFFFF"/>
                <w:lang w:eastAsia="ja-JP"/>
              </w:rPr>
              <w:t>Script</w:t>
            </w:r>
          </w:p>
        </w:tc>
        <w:tc>
          <w:tcPr>
            <w:tcW w:w="4187" w:type="dxa"/>
            <w:tcBorders>
              <w:top w:val="nil"/>
              <w:left w:val="nil"/>
            </w:tcBorders>
            <w:shd w:val="clear" w:color="auto" w:fill="C4BD97"/>
            <w:vAlign w:val="center"/>
          </w:tcPr>
          <w:p w14:paraId="4CA5FCAD" w14:textId="77777777" w:rsidR="00BD01E9" w:rsidRPr="00013E67" w:rsidRDefault="008E3EAE" w:rsidP="00BD01E9">
            <w:pPr>
              <w:spacing w:before="0" w:after="0"/>
              <w:jc w:val="center"/>
              <w:rPr>
                <w:rFonts w:eastAsia="Arial Unicode MS"/>
                <w:b/>
                <w:color w:val="FFFFFF"/>
              </w:rPr>
            </w:pPr>
            <w:r w:rsidRPr="00013E67">
              <w:rPr>
                <w:rFonts w:eastAsia="Arial Unicode MS"/>
                <w:b/>
                <w:color w:val="FFFFFF"/>
              </w:rPr>
              <w:t>On Screen Text</w:t>
            </w:r>
          </w:p>
        </w:tc>
      </w:tr>
      <w:tr w:rsidR="00BD01E9" w:rsidRPr="00013E67" w14:paraId="5054B29F" w14:textId="77777777" w:rsidTr="003F6D7B">
        <w:trPr>
          <w:trHeight w:val="2693"/>
        </w:trPr>
        <w:tc>
          <w:tcPr>
            <w:tcW w:w="5263" w:type="dxa"/>
            <w:shd w:val="clear" w:color="auto" w:fill="EEECE1"/>
            <w:vAlign w:val="center"/>
          </w:tcPr>
          <w:p w14:paraId="7A83B321" w14:textId="0BC91792" w:rsidR="00BD01E9" w:rsidRPr="00013E67" w:rsidRDefault="00AF40F2" w:rsidP="00BD01E9">
            <w:pPr>
              <w:rPr>
                <w:color w:val="0000FF"/>
              </w:rPr>
            </w:pPr>
            <w:r w:rsidRPr="00013E67">
              <w:rPr>
                <w:color w:val="0000FF"/>
              </w:rPr>
              <w:t xml:space="preserve">One of the goals of this course is for its content to be as helpful </w:t>
            </w:r>
            <w:r w:rsidRPr="00013E67">
              <w:rPr>
                <w:b/>
                <w:i/>
                <w:color w:val="0000FF"/>
              </w:rPr>
              <w:t>for</w:t>
            </w:r>
            <w:r w:rsidRPr="00013E67">
              <w:rPr>
                <w:color w:val="0000FF"/>
              </w:rPr>
              <w:t xml:space="preserve"> </w:t>
            </w:r>
            <w:r w:rsidRPr="00013E67">
              <w:rPr>
                <w:b/>
                <w:i/>
                <w:color w:val="0000FF"/>
              </w:rPr>
              <w:t>you</w:t>
            </w:r>
            <w:r w:rsidRPr="00013E67">
              <w:rPr>
                <w:color w:val="0000FF"/>
              </w:rPr>
              <w:t xml:space="preserve"> as it is for </w:t>
            </w:r>
            <w:r w:rsidRPr="00013E67">
              <w:rPr>
                <w:b/>
                <w:i/>
                <w:color w:val="0000FF"/>
              </w:rPr>
              <w:t>your clients</w:t>
            </w:r>
            <w:r w:rsidRPr="00013E67">
              <w:rPr>
                <w:color w:val="0000FF"/>
              </w:rPr>
              <w:t>. Therefore, throughout the course, we will invite you to consider applications for your own personal situation, as well as applications for your clients. We do this in the belief that better understanding how to apply this knowledge to your own life situation will not only enhance your own life, but will kindle your enthusiasm for how you can apply this knowledge in assisting other</w:t>
            </w:r>
            <w:r w:rsidR="00A25C0C">
              <w:rPr>
                <w:color w:val="0000FF"/>
              </w:rPr>
              <w:t>s</w:t>
            </w:r>
            <w:r w:rsidRPr="00013E67">
              <w:rPr>
                <w:color w:val="0000FF"/>
              </w:rPr>
              <w:t>.</w:t>
            </w:r>
          </w:p>
        </w:tc>
        <w:tc>
          <w:tcPr>
            <w:tcW w:w="4187" w:type="dxa"/>
            <w:shd w:val="clear" w:color="auto" w:fill="EEECE1"/>
          </w:tcPr>
          <w:p w14:paraId="297BE0D7" w14:textId="77777777" w:rsidR="00FE2778" w:rsidRPr="00013E67" w:rsidRDefault="00FE2778" w:rsidP="00BD01E9">
            <w:pPr>
              <w:rPr>
                <w:rFonts w:eastAsia="Arial Unicode MS"/>
                <w:b/>
                <w:color w:val="0000FF"/>
              </w:rPr>
            </w:pPr>
            <w:r w:rsidRPr="00013E67">
              <w:rPr>
                <w:rFonts w:eastAsia="Arial Unicode MS"/>
                <w:b/>
                <w:color w:val="0000FF"/>
              </w:rPr>
              <w:t>GOAL:</w:t>
            </w:r>
          </w:p>
          <w:p w14:paraId="106D68A8" w14:textId="77777777" w:rsidR="00BD01E9" w:rsidRPr="00013E67" w:rsidRDefault="00FE2778" w:rsidP="00BD01E9">
            <w:pPr>
              <w:rPr>
                <w:rFonts w:eastAsia="Arial Unicode MS"/>
                <w:color w:val="0000FF"/>
              </w:rPr>
            </w:pPr>
            <w:r w:rsidRPr="00013E67">
              <w:rPr>
                <w:rFonts w:eastAsia="Arial Unicode MS"/>
                <w:color w:val="0000FF"/>
              </w:rPr>
              <w:t xml:space="preserve">This course should help you address </w:t>
            </w:r>
            <w:r w:rsidRPr="00013E67">
              <w:rPr>
                <w:rFonts w:eastAsia="Arial Unicode MS"/>
                <w:b/>
                <w:i/>
                <w:color w:val="0000FF"/>
              </w:rPr>
              <w:t>your own</w:t>
            </w:r>
            <w:r w:rsidRPr="00013E67">
              <w:rPr>
                <w:rFonts w:eastAsia="Arial Unicode MS"/>
                <w:color w:val="0000FF"/>
              </w:rPr>
              <w:t xml:space="preserve"> retirement planning needs as well as those of </w:t>
            </w:r>
            <w:r w:rsidRPr="00013E67">
              <w:rPr>
                <w:rFonts w:eastAsia="Arial Unicode MS"/>
                <w:b/>
                <w:i/>
                <w:color w:val="0000FF"/>
              </w:rPr>
              <w:t>your clients</w:t>
            </w:r>
            <w:r w:rsidRPr="00013E67">
              <w:rPr>
                <w:rFonts w:eastAsia="Arial Unicode MS"/>
                <w:color w:val="0000FF"/>
              </w:rPr>
              <w:t>.</w:t>
            </w:r>
          </w:p>
        </w:tc>
      </w:tr>
      <w:tr w:rsidR="00BD01E9" w:rsidRPr="00013E67" w14:paraId="587C71CB" w14:textId="77777777" w:rsidTr="003F6D7B">
        <w:trPr>
          <w:trHeight w:val="2452"/>
        </w:trPr>
        <w:tc>
          <w:tcPr>
            <w:tcW w:w="5263" w:type="dxa"/>
            <w:shd w:val="clear" w:color="auto" w:fill="EEECE1"/>
            <w:vAlign w:val="center"/>
          </w:tcPr>
          <w:p w14:paraId="5C556370" w14:textId="77777777" w:rsidR="00BD01E9" w:rsidRPr="00013E67" w:rsidRDefault="00AF40F2" w:rsidP="00BD01E9">
            <w:pPr>
              <w:rPr>
                <w:color w:val="0000FF"/>
              </w:rPr>
            </w:pPr>
            <w:r w:rsidRPr="00013E67">
              <w:rPr>
                <w:color w:val="0000FF"/>
              </w:rPr>
              <w:t>So, as we begin, we invite you to consider your own retirement for a moment. What retirement lifestyle do you dream of and when can you afford to retire?  What specific steps have you taken to ensure you will not run out of money? If those questions give you pause, then congratulations - you are feeling what nine of every ten clients feel as they confront the enormity of retirement planning!</w:t>
            </w:r>
          </w:p>
        </w:tc>
        <w:tc>
          <w:tcPr>
            <w:tcW w:w="4187" w:type="dxa"/>
            <w:shd w:val="clear" w:color="auto" w:fill="EEECE1"/>
          </w:tcPr>
          <w:p w14:paraId="52D4AC2F" w14:textId="77777777" w:rsidR="00BD01E9" w:rsidRPr="00013E67" w:rsidRDefault="00FE2778" w:rsidP="003F6D7B">
            <w:pPr>
              <w:rPr>
                <w:rFonts w:eastAsia="Arial Unicode MS"/>
                <w:b/>
                <w:color w:val="0000FF"/>
              </w:rPr>
            </w:pPr>
            <w:r w:rsidRPr="00013E67">
              <w:rPr>
                <w:rFonts w:eastAsia="Arial Unicode MS"/>
                <w:b/>
                <w:color w:val="0000FF"/>
              </w:rPr>
              <w:t>CONSIDER YOUR OWN RETIREMENT</w:t>
            </w:r>
          </w:p>
          <w:p w14:paraId="43DE6183" w14:textId="77777777" w:rsidR="00FE2778" w:rsidRPr="00013E67" w:rsidRDefault="00FE2778" w:rsidP="00822DE7">
            <w:pPr>
              <w:pStyle w:val="ListParagraph"/>
              <w:numPr>
                <w:ilvl w:val="0"/>
                <w:numId w:val="67"/>
              </w:numPr>
              <w:rPr>
                <w:rFonts w:eastAsia="Arial Unicode MS"/>
                <w:color w:val="0000FF"/>
              </w:rPr>
            </w:pPr>
            <w:r w:rsidRPr="00013E67">
              <w:rPr>
                <w:rFonts w:eastAsia="Arial Unicode MS"/>
                <w:color w:val="0000FF"/>
              </w:rPr>
              <w:t>What retirement lifestyle do you dream of?</w:t>
            </w:r>
          </w:p>
          <w:p w14:paraId="454FC1A5" w14:textId="77777777" w:rsidR="00FE2778" w:rsidRPr="00013E67" w:rsidRDefault="00FE2778" w:rsidP="00822DE7">
            <w:pPr>
              <w:pStyle w:val="ListParagraph"/>
              <w:numPr>
                <w:ilvl w:val="0"/>
                <w:numId w:val="67"/>
              </w:numPr>
              <w:rPr>
                <w:rFonts w:eastAsia="Arial Unicode MS"/>
                <w:color w:val="0000FF"/>
              </w:rPr>
            </w:pPr>
            <w:r w:rsidRPr="00013E67">
              <w:rPr>
                <w:rFonts w:eastAsia="Arial Unicode MS"/>
                <w:color w:val="0000FF"/>
              </w:rPr>
              <w:t>When can you afford to retire?</w:t>
            </w:r>
          </w:p>
          <w:p w14:paraId="1FC4B5BA" w14:textId="77777777" w:rsidR="00FE2778" w:rsidRPr="00013E67" w:rsidRDefault="00FE2778" w:rsidP="00822DE7">
            <w:pPr>
              <w:pStyle w:val="ListParagraph"/>
              <w:numPr>
                <w:ilvl w:val="0"/>
                <w:numId w:val="67"/>
              </w:numPr>
              <w:rPr>
                <w:rFonts w:eastAsia="Arial Unicode MS"/>
                <w:color w:val="0000FF"/>
              </w:rPr>
            </w:pPr>
            <w:r w:rsidRPr="00013E67">
              <w:rPr>
                <w:rFonts w:eastAsia="Arial Unicode MS"/>
                <w:color w:val="0000FF"/>
              </w:rPr>
              <w:t>What specific steps have you taken?</w:t>
            </w:r>
          </w:p>
        </w:tc>
      </w:tr>
      <w:tr w:rsidR="00BD01E9" w:rsidRPr="00013E67" w14:paraId="221D7725" w14:textId="77777777" w:rsidTr="003F6D7B">
        <w:trPr>
          <w:trHeight w:val="362"/>
        </w:trPr>
        <w:tc>
          <w:tcPr>
            <w:tcW w:w="5263" w:type="dxa"/>
            <w:shd w:val="clear" w:color="auto" w:fill="EEECE1"/>
            <w:vAlign w:val="center"/>
          </w:tcPr>
          <w:p w14:paraId="39264EB1" w14:textId="77777777" w:rsidR="00BD01E9" w:rsidRPr="00013E67" w:rsidRDefault="00AF40F2" w:rsidP="009F427A">
            <w:pPr>
              <w:rPr>
                <w:color w:val="0000FF"/>
              </w:rPr>
            </w:pPr>
            <w:r w:rsidRPr="00013E67">
              <w:rPr>
                <w:color w:val="0000FF"/>
              </w:rPr>
              <w:lastRenderedPageBreak/>
              <w:t xml:space="preserve">It is easy to dream of one’s retirement. It takes courage and work to turn a dream into reality. The bridge between a dream and an accomplished reality is a </w:t>
            </w:r>
            <w:r w:rsidRPr="00013E67">
              <w:rPr>
                <w:b/>
                <w:i/>
                <w:color w:val="0000FF"/>
              </w:rPr>
              <w:t>plan</w:t>
            </w:r>
            <w:r w:rsidRPr="00013E67">
              <w:rPr>
                <w:color w:val="0000FF"/>
              </w:rPr>
              <w:t xml:space="preserve">. </w:t>
            </w:r>
          </w:p>
          <w:p w14:paraId="0DA59CE4" w14:textId="77777777" w:rsidR="003F6D7B" w:rsidRPr="00013E67" w:rsidRDefault="003F6D7B" w:rsidP="009F427A">
            <w:pPr>
              <w:rPr>
                <w:color w:val="0000FF"/>
              </w:rPr>
            </w:pPr>
            <w:r w:rsidRPr="00013E67">
              <w:rPr>
                <w:color w:val="0000FF"/>
              </w:rPr>
              <w:t xml:space="preserve">You need a clear retirement plan.  Your clear retirement plan, in turn, consists of a series of specific steps you must begin </w:t>
            </w:r>
            <w:r w:rsidRPr="00013E67">
              <w:rPr>
                <w:b/>
                <w:i/>
                <w:color w:val="0000FF"/>
              </w:rPr>
              <w:t>now</w:t>
            </w:r>
            <w:r w:rsidRPr="00013E67">
              <w:rPr>
                <w:color w:val="0000FF"/>
              </w:rPr>
              <w:t xml:space="preserve"> to secure your future.  Just as the GPS in your car guides you to your destination through a series of turns on the highway, a retirement accumulation roadmap guides your clients to their retirement destination through a series of specific steps.</w:t>
            </w:r>
          </w:p>
        </w:tc>
        <w:tc>
          <w:tcPr>
            <w:tcW w:w="4187" w:type="dxa"/>
            <w:shd w:val="clear" w:color="auto" w:fill="EEECE1"/>
          </w:tcPr>
          <w:p w14:paraId="2580A056" w14:textId="77777777" w:rsidR="00BD01E9" w:rsidRPr="00013E67" w:rsidRDefault="009F427A" w:rsidP="003F6D7B">
            <w:pPr>
              <w:rPr>
                <w:rFonts w:eastAsia="Arial Unicode MS"/>
                <w:color w:val="0000FF"/>
              </w:rPr>
            </w:pPr>
            <w:r w:rsidRPr="00013E67">
              <w:rPr>
                <w:rFonts w:eastAsia="Arial Unicode MS"/>
                <w:color w:val="0000FF"/>
              </w:rPr>
              <w:t xml:space="preserve">The bridge between a dream and an accomplished reality is a </w:t>
            </w:r>
            <w:r w:rsidRPr="00013E67">
              <w:rPr>
                <w:rFonts w:eastAsia="Arial Unicode MS"/>
                <w:b/>
                <w:i/>
                <w:color w:val="0000FF"/>
              </w:rPr>
              <w:t>plan</w:t>
            </w:r>
            <w:r w:rsidRPr="00013E67">
              <w:rPr>
                <w:rFonts w:eastAsia="Arial Unicode MS"/>
                <w:color w:val="0000FF"/>
              </w:rPr>
              <w:t>.</w:t>
            </w:r>
          </w:p>
          <w:p w14:paraId="5293BDFC" w14:textId="77777777" w:rsidR="003F6D7B" w:rsidRPr="00013E67" w:rsidRDefault="003F6D7B" w:rsidP="003F6D7B">
            <w:pPr>
              <w:rPr>
                <w:rFonts w:eastAsia="Arial Unicode MS"/>
                <w:color w:val="0000FF"/>
              </w:rPr>
            </w:pPr>
          </w:p>
          <w:p w14:paraId="6DAAFABC" w14:textId="12798378" w:rsidR="003F6D7B" w:rsidRPr="00013E67" w:rsidRDefault="003F6D7B" w:rsidP="00FB76EE">
            <w:pPr>
              <w:spacing w:before="0"/>
              <w:rPr>
                <w:rFonts w:eastAsia="Arial Unicode MS"/>
                <w:color w:val="0000FF"/>
              </w:rPr>
            </w:pPr>
            <w:r w:rsidRPr="00013E67">
              <w:rPr>
                <w:rFonts w:eastAsia="Arial Unicode MS"/>
                <w:color w:val="0000FF"/>
              </w:rPr>
              <w:t xml:space="preserve">A clear retirement </w:t>
            </w:r>
            <w:r w:rsidR="00FB76EE">
              <w:rPr>
                <w:rFonts w:eastAsia="Arial Unicode MS"/>
                <w:color w:val="0000FF"/>
              </w:rPr>
              <w:t xml:space="preserve">accumulation </w:t>
            </w:r>
            <w:r w:rsidRPr="00013E67">
              <w:rPr>
                <w:rFonts w:eastAsia="Arial Unicode MS"/>
                <w:color w:val="0000FF"/>
              </w:rPr>
              <w:t xml:space="preserve">plan </w:t>
            </w:r>
            <w:r w:rsidR="00632B92">
              <w:rPr>
                <w:rFonts w:ascii="Wingdings" w:hAnsi="Wingdings"/>
                <w:color w:val="0000FF"/>
              </w:rPr>
              <w:t></w:t>
            </w:r>
            <w:r w:rsidR="00FB76EE">
              <w:rPr>
                <w:rFonts w:ascii="Wingdings" w:hAnsi="Wingdings"/>
                <w:color w:val="0000FF"/>
              </w:rPr>
              <w:t></w:t>
            </w:r>
            <w:r w:rsidR="00FB76EE">
              <w:rPr>
                <w:rFonts w:eastAsia="Arial Unicode MS"/>
                <w:color w:val="0000FF"/>
              </w:rPr>
              <w:t>S</w:t>
            </w:r>
            <w:r w:rsidRPr="00013E67">
              <w:rPr>
                <w:rFonts w:eastAsia="Arial Unicode MS"/>
                <w:color w:val="0000FF"/>
              </w:rPr>
              <w:t>teps you must begin taking now!</w:t>
            </w:r>
          </w:p>
          <w:p w14:paraId="5361F0DD" w14:textId="77777777" w:rsidR="009F427A" w:rsidRPr="00013E67" w:rsidRDefault="009F427A" w:rsidP="003F6D7B">
            <w:pPr>
              <w:rPr>
                <w:rFonts w:eastAsia="Arial Unicode MS"/>
                <w:color w:val="0000FF"/>
              </w:rPr>
            </w:pPr>
          </w:p>
          <w:p w14:paraId="6F621DC8" w14:textId="77777777" w:rsidR="003F6D7B" w:rsidRPr="00013E67" w:rsidRDefault="003F6D7B" w:rsidP="003F6D7B">
            <w:pPr>
              <w:rPr>
                <w:rFonts w:eastAsia="Arial Unicode MS"/>
                <w:color w:val="0000FF"/>
              </w:rPr>
            </w:pPr>
          </w:p>
        </w:tc>
      </w:tr>
      <w:tr w:rsidR="003F6D7B" w:rsidRPr="00013E67" w14:paraId="7C638A36" w14:textId="77777777" w:rsidTr="003F6D7B">
        <w:trPr>
          <w:trHeight w:val="2693"/>
        </w:trPr>
        <w:tc>
          <w:tcPr>
            <w:tcW w:w="5263" w:type="dxa"/>
            <w:shd w:val="clear" w:color="auto" w:fill="EEECE1"/>
            <w:vAlign w:val="center"/>
          </w:tcPr>
          <w:p w14:paraId="5F709916" w14:textId="77777777" w:rsidR="003F6D7B" w:rsidRPr="00013E67" w:rsidRDefault="003F6D7B" w:rsidP="00BD01E9">
            <w:pPr>
              <w:rPr>
                <w:color w:val="0000FF"/>
              </w:rPr>
            </w:pPr>
            <w:r w:rsidRPr="00013E67">
              <w:rPr>
                <w:color w:val="0000FF"/>
              </w:rPr>
              <w:t xml:space="preserve">We suggest that you can best guide your clients after </w:t>
            </w:r>
            <w:r w:rsidRPr="00013E67">
              <w:rPr>
                <w:b/>
                <w:i/>
                <w:color w:val="0000FF"/>
              </w:rPr>
              <w:t>you</w:t>
            </w:r>
            <w:r w:rsidRPr="00013E67">
              <w:rPr>
                <w:color w:val="0000FF"/>
              </w:rPr>
              <w:t xml:space="preserve"> have faced the same challenges </w:t>
            </w:r>
            <w:r w:rsidRPr="00013E67">
              <w:rPr>
                <w:b/>
                <w:i/>
                <w:color w:val="0000FF"/>
              </w:rPr>
              <w:t>they</w:t>
            </w:r>
            <w:r w:rsidRPr="00013E67">
              <w:rPr>
                <w:color w:val="0000FF"/>
              </w:rPr>
              <w:t xml:space="preserve"> face. </w:t>
            </w:r>
          </w:p>
          <w:p w14:paraId="7DADC83D" w14:textId="77777777" w:rsidR="003F6D7B" w:rsidRPr="00013E67" w:rsidRDefault="003F6D7B" w:rsidP="00BD01E9">
            <w:pPr>
              <w:rPr>
                <w:color w:val="0000FF"/>
              </w:rPr>
            </w:pPr>
            <w:r w:rsidRPr="00013E67">
              <w:rPr>
                <w:color w:val="0000FF"/>
              </w:rPr>
              <w:t>When your client feels overwhelmed at the prospect of making the best decisions, you can assure them that the same thoughtful, consistent roadmap you used to develop your own retirement accumulation plan can help them make wise decisions as well. This course is dedicated to giving you that thoughtful, consistent roadmap.</w:t>
            </w:r>
          </w:p>
        </w:tc>
        <w:tc>
          <w:tcPr>
            <w:tcW w:w="4187" w:type="dxa"/>
            <w:shd w:val="clear" w:color="auto" w:fill="EEECE1"/>
          </w:tcPr>
          <w:p w14:paraId="0EE7D7E8" w14:textId="77777777" w:rsidR="003F6D7B" w:rsidRPr="00013E67" w:rsidRDefault="003F6D7B" w:rsidP="003F6D7B">
            <w:pPr>
              <w:rPr>
                <w:rFonts w:eastAsia="Arial Unicode MS"/>
                <w:b/>
                <w:color w:val="0000FF"/>
              </w:rPr>
            </w:pPr>
            <w:r w:rsidRPr="00013E67">
              <w:rPr>
                <w:rFonts w:eastAsia="Arial Unicode MS"/>
                <w:b/>
                <w:color w:val="0000FF"/>
              </w:rPr>
              <w:t>Experience is the best teacher.</w:t>
            </w:r>
          </w:p>
          <w:p w14:paraId="586952C8" w14:textId="77777777" w:rsidR="003F6D7B" w:rsidRDefault="00D32523" w:rsidP="00822DE7">
            <w:pPr>
              <w:pStyle w:val="ListParagraph"/>
              <w:numPr>
                <w:ilvl w:val="0"/>
                <w:numId w:val="68"/>
              </w:numPr>
              <w:spacing w:before="0"/>
              <w:rPr>
                <w:rFonts w:eastAsia="Arial Unicode MS"/>
                <w:color w:val="0000FF"/>
              </w:rPr>
            </w:pPr>
            <w:r w:rsidRPr="00013E67">
              <w:rPr>
                <w:rFonts w:eastAsia="Arial Unicode MS"/>
                <w:color w:val="0000FF"/>
              </w:rPr>
              <w:t xml:space="preserve">Examining your own planning needs </w:t>
            </w:r>
            <w:r>
              <w:rPr>
                <w:rFonts w:eastAsia="Arial Unicode MS"/>
                <w:color w:val="0000FF"/>
              </w:rPr>
              <w:t>may</w:t>
            </w:r>
            <w:r w:rsidRPr="00013E67">
              <w:rPr>
                <w:rFonts w:eastAsia="Arial Unicode MS"/>
                <w:color w:val="0000FF"/>
              </w:rPr>
              <w:t xml:space="preserve"> better equip you to help others.</w:t>
            </w:r>
          </w:p>
          <w:p w14:paraId="00F970A8" w14:textId="5B99B991" w:rsidR="00FB76EE" w:rsidRPr="00013E67" w:rsidRDefault="00FB76EE" w:rsidP="00822DE7">
            <w:pPr>
              <w:pStyle w:val="ListParagraph"/>
              <w:numPr>
                <w:ilvl w:val="0"/>
                <w:numId w:val="68"/>
              </w:numPr>
              <w:spacing w:before="0"/>
              <w:rPr>
                <w:rFonts w:eastAsia="Arial Unicode MS"/>
                <w:color w:val="0000FF"/>
              </w:rPr>
            </w:pPr>
            <w:r>
              <w:rPr>
                <w:rFonts w:eastAsia="Arial Unicode MS"/>
                <w:color w:val="0000FF"/>
              </w:rPr>
              <w:t>This course is dedicated to giving you a thoughtful consistent roadmap.</w:t>
            </w:r>
          </w:p>
        </w:tc>
      </w:tr>
    </w:tbl>
    <w:p w14:paraId="11BA27C4" w14:textId="77777777" w:rsidR="007541AB" w:rsidRDefault="007541AB" w:rsidP="00903DC5">
      <w:pPr>
        <w:spacing w:before="0" w:after="0"/>
      </w:pPr>
    </w:p>
    <w:p w14:paraId="2D9449AB" w14:textId="77777777" w:rsidR="00B91177" w:rsidRDefault="00B91177">
      <w:pPr>
        <w:spacing w:before="0" w:after="0"/>
      </w:pPr>
      <w:r>
        <w:br w:type="page"/>
      </w:r>
    </w:p>
    <w:p w14:paraId="2CDAF931" w14:textId="77777777" w:rsidR="00B91177" w:rsidRDefault="00B91177" w:rsidP="00B91177">
      <w:pPr>
        <w:pStyle w:val="Heading2"/>
      </w:pPr>
      <w:r>
        <w:lastRenderedPageBreak/>
        <w:t>Learning Objectives</w:t>
      </w:r>
    </w:p>
    <w:p w14:paraId="67969EFF" w14:textId="77777777" w:rsidR="005A0621" w:rsidRDefault="00380776" w:rsidP="007B1F84">
      <w:r w:rsidRPr="00B06325">
        <w:t>When asked to identify their primary financial goals or objectives, many of your clients will assign retirement planning the number one priority in their lives. Yet their actions often contradict that focus. This presents you</w:t>
      </w:r>
      <w:r w:rsidR="00013E67">
        <w:t xml:space="preserve"> </w:t>
      </w:r>
      <w:r w:rsidRPr="00B06325">
        <w:t>with one of the stronger opportunities of your profession. However, the challenge in addressing this opportunity is getting clients to maintain their focus on planning for an event that may be remote, rather than allowing the immediacy of life and current financial demands to drain</w:t>
      </w:r>
      <w:r w:rsidR="00D72F0A">
        <w:t xml:space="preserve"> their resolve and resources. </w:t>
      </w:r>
    </w:p>
    <w:p w14:paraId="185E8072" w14:textId="70A25BDC" w:rsidR="00380776" w:rsidRPr="00B06325" w:rsidRDefault="00380776" w:rsidP="007B1F84">
      <w:r w:rsidRPr="00B06325">
        <w:t>Traditionally, planning for retirement primarily involved gathering and growing assets with advisors who assisted clients in developing an accumulation strategy and were valued for their expertise. Today, however, advisors should segment the process of retirement planning into t</w:t>
      </w:r>
      <w:r w:rsidR="00BA1838">
        <w:t>wo</w:t>
      </w:r>
      <w:r w:rsidRPr="00B06325">
        <w:t xml:space="preserve"> phases</w:t>
      </w:r>
      <w:r w:rsidR="00C93DCF">
        <w:t xml:space="preserve"> or stages</w:t>
      </w:r>
      <w:r w:rsidRPr="00B06325">
        <w:t>:</w:t>
      </w:r>
    </w:p>
    <w:p w14:paraId="7C7246CA" w14:textId="6A288364" w:rsidR="00380776" w:rsidRPr="00D72F0A" w:rsidRDefault="00380776" w:rsidP="00822DE7">
      <w:pPr>
        <w:numPr>
          <w:ilvl w:val="0"/>
          <w:numId w:val="14"/>
        </w:numPr>
      </w:pPr>
      <w:r w:rsidRPr="00D72F0A">
        <w:t xml:space="preserve">Pre-Retirement </w:t>
      </w:r>
      <w:r w:rsidR="00CA5894">
        <w:t xml:space="preserve">Accumulation </w:t>
      </w:r>
      <w:r w:rsidRPr="00D72F0A">
        <w:t>Planning</w:t>
      </w:r>
      <w:r w:rsidR="001C52F9">
        <w:t>,</w:t>
      </w:r>
      <w:r w:rsidR="005A22F5">
        <w:t xml:space="preserve"> and</w:t>
      </w:r>
    </w:p>
    <w:p w14:paraId="4712A81F" w14:textId="0E47432F" w:rsidR="00380776" w:rsidRPr="00D72F0A" w:rsidRDefault="00380776" w:rsidP="00822DE7">
      <w:pPr>
        <w:numPr>
          <w:ilvl w:val="0"/>
          <w:numId w:val="14"/>
        </w:numPr>
      </w:pPr>
      <w:r w:rsidRPr="00D72F0A">
        <w:t xml:space="preserve">Post-Retirement </w:t>
      </w:r>
      <w:r w:rsidR="00706C54">
        <w:t xml:space="preserve">Distribution </w:t>
      </w:r>
      <w:r w:rsidRPr="00D72F0A">
        <w:t xml:space="preserve">Planning.  </w:t>
      </w:r>
    </w:p>
    <w:p w14:paraId="31C8871A" w14:textId="5EE928CE" w:rsidR="00367247" w:rsidRDefault="00367247" w:rsidP="001F3D42">
      <w:r>
        <w:t>This particular course will focus on the first phase</w:t>
      </w:r>
      <w:r w:rsidR="002A5B9D">
        <w:t>:</w:t>
      </w:r>
      <w:r w:rsidR="001C52F9">
        <w:t xml:space="preserve"> Pre-Retirement Accumulation P</w:t>
      </w:r>
      <w:r>
        <w:t>lanning.</w:t>
      </w:r>
    </w:p>
    <w:p w14:paraId="74F3C21D" w14:textId="7E8250D9" w:rsidR="00380776" w:rsidRPr="00367247" w:rsidRDefault="00380776" w:rsidP="001F3D42">
      <w:r w:rsidRPr="00367247">
        <w:t xml:space="preserve">Each </w:t>
      </w:r>
      <w:r w:rsidR="00367247">
        <w:t>phase</w:t>
      </w:r>
      <w:r w:rsidRPr="00367247">
        <w:t xml:space="preserve"> requires a unique set of skills and abilities to address the needs clients typically have at each of these important points in their lives.</w:t>
      </w:r>
      <w:r w:rsidR="00EE1D39" w:rsidRPr="00367247">
        <w:t xml:space="preserve"> </w:t>
      </w:r>
      <w:r w:rsidRPr="00367247">
        <w:t xml:space="preserve">In order to assist clients with these issues, </w:t>
      </w:r>
      <w:r w:rsidR="00D70A27" w:rsidRPr="00367247">
        <w:t>we present the following objectives</w:t>
      </w:r>
      <w:r w:rsidR="00E33CE0">
        <w:t xml:space="preserve"> for this </w:t>
      </w:r>
      <w:r w:rsidR="00C93DCF">
        <w:t>course</w:t>
      </w:r>
      <w:r w:rsidR="00D70A27" w:rsidRPr="00367247">
        <w:t xml:space="preserve">. </w:t>
      </w:r>
    </w:p>
    <w:p w14:paraId="466AD24A" w14:textId="77777777" w:rsidR="007B1F84" w:rsidRPr="00F9043D" w:rsidRDefault="007B1F84" w:rsidP="00FD79A9">
      <w:pPr>
        <w:spacing w:before="0" w:after="0"/>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380776" w:rsidRPr="002E15EB" w14:paraId="5595EEAE" w14:textId="77777777" w:rsidTr="00380776">
        <w:tc>
          <w:tcPr>
            <w:tcW w:w="9576" w:type="dxa"/>
            <w:shd w:val="clear" w:color="auto" w:fill="DBD9B9"/>
          </w:tcPr>
          <w:p w14:paraId="0B122F30" w14:textId="77777777" w:rsidR="00380776" w:rsidRPr="00C34887" w:rsidRDefault="00380776" w:rsidP="00380776">
            <w:pPr>
              <w:rPr>
                <w:b/>
                <w:color w:val="1F497D"/>
                <w:sz w:val="22"/>
                <w:szCs w:val="22"/>
              </w:rPr>
            </w:pPr>
            <w:r w:rsidRPr="00C34887">
              <w:rPr>
                <w:b/>
                <w:color w:val="1F497D"/>
                <w:sz w:val="22"/>
                <w:szCs w:val="22"/>
              </w:rPr>
              <w:t>Objectives</w:t>
            </w:r>
          </w:p>
          <w:p w14:paraId="53A8F0CB" w14:textId="25464A62" w:rsidR="00380776" w:rsidRPr="00C34887" w:rsidRDefault="00380776" w:rsidP="00F64F49">
            <w:r w:rsidRPr="00C34887">
              <w:t xml:space="preserve">This course is designed to provide you with practical, real world strategies you can employ to increase your effectiveness in </w:t>
            </w:r>
            <w:r w:rsidR="00E33CE0" w:rsidRPr="00C34887">
              <w:t>the pre-retirement accumulation planning process</w:t>
            </w:r>
            <w:r w:rsidRPr="00C34887">
              <w:t>. Specifically, this course will help you to:</w:t>
            </w:r>
          </w:p>
          <w:p w14:paraId="132A89F8" w14:textId="66610116" w:rsidR="00380776" w:rsidRPr="00C34887" w:rsidRDefault="00380776" w:rsidP="00822DE7">
            <w:pPr>
              <w:numPr>
                <w:ilvl w:val="0"/>
                <w:numId w:val="15"/>
              </w:numPr>
            </w:pPr>
            <w:r w:rsidRPr="00C34887">
              <w:t xml:space="preserve">Broaden your retirement </w:t>
            </w:r>
            <w:r w:rsidR="001C52F9">
              <w:t>accumulation planning expertise</w:t>
            </w:r>
          </w:p>
          <w:p w14:paraId="61FBA9FC" w14:textId="1879C87F" w:rsidR="00380776" w:rsidRPr="00C34887" w:rsidRDefault="00380776" w:rsidP="00822DE7">
            <w:pPr>
              <w:numPr>
                <w:ilvl w:val="0"/>
                <w:numId w:val="15"/>
              </w:numPr>
            </w:pPr>
            <w:r w:rsidRPr="00C34887">
              <w:t xml:space="preserve">Understand the key </w:t>
            </w:r>
            <w:r w:rsidR="00E33CE0" w:rsidRPr="00C34887">
              <w:t>issues associated with this phase</w:t>
            </w:r>
            <w:r w:rsidRPr="00C34887">
              <w:t xml:space="preserve"> of retirement planning </w:t>
            </w:r>
            <w:r w:rsidR="001C52F9">
              <w:t>and how they can be resolved</w:t>
            </w:r>
          </w:p>
          <w:p w14:paraId="0EB51FE9" w14:textId="130D6FC1" w:rsidR="00380776" w:rsidRPr="00C34887" w:rsidRDefault="00380776" w:rsidP="00822DE7">
            <w:pPr>
              <w:numPr>
                <w:ilvl w:val="0"/>
                <w:numId w:val="15"/>
              </w:numPr>
              <w:rPr>
                <w:bCs/>
              </w:rPr>
            </w:pPr>
            <w:r w:rsidRPr="00C34887">
              <w:t xml:space="preserve">Enhance your ability to </w:t>
            </w:r>
            <w:r w:rsidR="00E33CE0" w:rsidRPr="00C34887">
              <w:t>guide clients in addressing the</w:t>
            </w:r>
            <w:r w:rsidR="00527DEE">
              <w:t>ir</w:t>
            </w:r>
            <w:r w:rsidR="00E33CE0" w:rsidRPr="00C34887">
              <w:t xml:space="preserve"> retirement accumulation needs</w:t>
            </w:r>
          </w:p>
        </w:tc>
      </w:tr>
    </w:tbl>
    <w:p w14:paraId="73F27C86" w14:textId="77777777" w:rsidR="00794C2D" w:rsidRPr="00434E87" w:rsidRDefault="00794C2D" w:rsidP="00FD79A9">
      <w:pPr>
        <w:spacing w:before="0" w:after="0"/>
      </w:pPr>
    </w:p>
    <w:p w14:paraId="38A00F6D" w14:textId="77777777" w:rsidR="00F4552A" w:rsidRPr="003B491C" w:rsidRDefault="00D91392" w:rsidP="004344CA">
      <w:pPr>
        <w:pStyle w:val="Heading2"/>
      </w:pPr>
      <w:r>
        <w:br w:type="page"/>
      </w:r>
      <w:r w:rsidR="00F4552A" w:rsidRPr="00B06325">
        <w:lastRenderedPageBreak/>
        <w:t>The Opportunity</w:t>
      </w:r>
    </w:p>
    <w:p w14:paraId="6F7C8E0E" w14:textId="77777777" w:rsidR="00F4552A" w:rsidRDefault="00EF587F" w:rsidP="003916C4">
      <w:r>
        <w:rPr>
          <w:noProof/>
          <w:lang w:eastAsia="zh-CN"/>
        </w:rPr>
        <w:drawing>
          <wp:anchor distT="0" distB="0" distL="114300" distR="114300" simplePos="0" relativeHeight="251652096" behindDoc="0" locked="0" layoutInCell="1" allowOverlap="1" wp14:anchorId="244E9A7D" wp14:editId="5F623CD3">
            <wp:simplePos x="0" y="0"/>
            <wp:positionH relativeFrom="column">
              <wp:posOffset>4681220</wp:posOffset>
            </wp:positionH>
            <wp:positionV relativeFrom="paragraph">
              <wp:posOffset>-193675</wp:posOffset>
            </wp:positionV>
            <wp:extent cx="1508125" cy="1508125"/>
            <wp:effectExtent l="0" t="0" r="0" b="0"/>
            <wp:wrapSquare wrapText="bothSides"/>
            <wp:docPr id="25" name="Picture 4" descr="Beach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ach Graph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178C5" w:rsidRPr="00B06325">
        <w:t xml:space="preserve">Retirement planning currently represents one of the greatest areas of need among clients, offering a significant boost in productivity for advisors who gain the conversational competence to address this need with their clients and prospects.  </w:t>
      </w:r>
    </w:p>
    <w:p w14:paraId="1862978A" w14:textId="77777777" w:rsidR="0025203A" w:rsidRDefault="00A630D9" w:rsidP="0025203A">
      <w:pPr>
        <w:pStyle w:val="CommentText"/>
      </w:pPr>
      <w:r>
        <w:rPr>
          <w:noProof/>
          <w:lang w:eastAsia="zh-CN"/>
        </w:rPr>
        <w:drawing>
          <wp:inline distT="0" distB="0" distL="0" distR="0" wp14:anchorId="129570C4" wp14:editId="56C450EE">
            <wp:extent cx="304800" cy="304800"/>
            <wp:effectExtent l="0" t="0" r="0" b="0"/>
            <wp:docPr id="4" name="Picture 4"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ationIcon_32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5203A" w:rsidRPr="00B06325">
        <w:rPr>
          <w:b/>
          <w:color w:val="FF0000"/>
        </w:rPr>
        <w:t xml:space="preserve">Click the icon to view the references </w:t>
      </w:r>
      <w:r w:rsidR="0025203A">
        <w:rPr>
          <w:b/>
          <w:color w:val="FF0000"/>
        </w:rPr>
        <w:t xml:space="preserve">that </w:t>
      </w:r>
      <w:r w:rsidR="0025203A" w:rsidRPr="00B06325">
        <w:rPr>
          <w:b/>
          <w:color w:val="FF0000"/>
        </w:rPr>
        <w:t>indicate both the need and the opportunity.</w:t>
      </w:r>
    </w:p>
    <w:p w14:paraId="195C44B4" w14:textId="77777777" w:rsidR="0025203A" w:rsidRDefault="0025203A" w:rsidP="0025203A">
      <w:pPr>
        <w:pStyle w:val="CommentText"/>
      </w:pPr>
    </w:p>
    <w:p w14:paraId="03C47061" w14:textId="77777777" w:rsidR="00EF587F" w:rsidRDefault="00EF587F" w:rsidP="0025203A">
      <w:pPr>
        <w:pStyle w:val="Comment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7B1F84" w:rsidRPr="00B06325" w14:paraId="2ED93A16" w14:textId="77777777" w:rsidTr="00483970">
        <w:tc>
          <w:tcPr>
            <w:tcW w:w="9576" w:type="dxa"/>
            <w:shd w:val="clear" w:color="auto" w:fill="DBD9B9"/>
            <w:tcMar>
              <w:top w:w="72" w:type="dxa"/>
              <w:left w:w="115" w:type="dxa"/>
              <w:bottom w:w="72" w:type="dxa"/>
              <w:right w:w="115" w:type="dxa"/>
            </w:tcMar>
          </w:tcPr>
          <w:p w14:paraId="2217FB8D" w14:textId="5994AE6E" w:rsidR="00D66719" w:rsidRDefault="007B1F84" w:rsidP="00822DE7">
            <w:pPr>
              <w:numPr>
                <w:ilvl w:val="0"/>
                <w:numId w:val="16"/>
              </w:numPr>
            </w:pPr>
            <w:r w:rsidRPr="00B06325">
              <w:t>The U.S. Census Bureau reports that the popula</w:t>
            </w:r>
            <w:r w:rsidR="001C52F9">
              <w:t>tion of retirees is the fastest-</w:t>
            </w:r>
            <w:r w:rsidRPr="00B06325">
              <w:t>growing segment of the American population</w:t>
            </w:r>
            <w:r w:rsidR="00CC78C5">
              <w:t>.</w:t>
            </w:r>
          </w:p>
          <w:p w14:paraId="0D1A208D" w14:textId="77777777" w:rsidR="00D66719" w:rsidRDefault="00D66719" w:rsidP="00822DE7">
            <w:pPr>
              <w:numPr>
                <w:ilvl w:val="0"/>
                <w:numId w:val="16"/>
              </w:numPr>
            </w:pPr>
            <w:r>
              <w:t xml:space="preserve">Less than </w:t>
            </w:r>
            <w:r w:rsidR="00093420">
              <w:t>2</w:t>
            </w:r>
            <w:r>
              <w:t xml:space="preserve"> of every </w:t>
            </w:r>
            <w:r w:rsidR="00093420">
              <w:t>10</w:t>
            </w:r>
            <w:r>
              <w:t xml:space="preserve"> workers are </w:t>
            </w:r>
            <w:r w:rsidR="00B44BF1">
              <w:t>“</w:t>
            </w:r>
            <w:r w:rsidR="006F2B50">
              <w:t xml:space="preserve">very </w:t>
            </w:r>
            <w:r>
              <w:t>confident</w:t>
            </w:r>
            <w:r w:rsidR="00B44BF1">
              <w:t>”</w:t>
            </w:r>
            <w:r>
              <w:t xml:space="preserve"> in having enough saved to live comfortably in retirement based upon </w:t>
            </w:r>
            <w:r w:rsidR="00093420">
              <w:t xml:space="preserve">The </w:t>
            </w:r>
            <w:r>
              <w:t xml:space="preserve">Employee Benefit Research Institute’s </w:t>
            </w:r>
            <w:r w:rsidRPr="008E3F14">
              <w:rPr>
                <w:i/>
              </w:rPr>
              <w:t>2014 Retirement Confidence Survey</w:t>
            </w:r>
            <w:r w:rsidRPr="008E3F14">
              <w:rPr>
                <w:i/>
                <w:vertAlign w:val="superscript"/>
              </w:rPr>
              <w:t>®</w:t>
            </w:r>
            <w:r>
              <w:t>.</w:t>
            </w:r>
          </w:p>
          <w:p w14:paraId="3E5F69E9" w14:textId="77777777" w:rsidR="007B1F84" w:rsidRPr="00B06325" w:rsidRDefault="00D66719" w:rsidP="00822DE7">
            <w:pPr>
              <w:numPr>
                <w:ilvl w:val="0"/>
                <w:numId w:val="16"/>
              </w:numPr>
            </w:pPr>
            <w:r>
              <w:t>The Investment Company Institute</w:t>
            </w:r>
            <w:r w:rsidRPr="001F3D42">
              <w:rPr>
                <w:vertAlign w:val="superscript"/>
              </w:rPr>
              <w:t>®</w:t>
            </w:r>
            <w:r>
              <w:rPr>
                <w:vertAlign w:val="superscript"/>
              </w:rPr>
              <w:t xml:space="preserve"> </w:t>
            </w:r>
            <w:r>
              <w:t xml:space="preserve">announced </w:t>
            </w:r>
            <w:r w:rsidR="00093420">
              <w:t>that</w:t>
            </w:r>
            <w:r>
              <w:t xml:space="preserve"> retirement assets </w:t>
            </w:r>
            <w:r w:rsidR="00093420">
              <w:t xml:space="preserve">reached </w:t>
            </w:r>
            <w:r>
              <w:t>$23 trillion as of December 31, 2013.</w:t>
            </w:r>
          </w:p>
          <w:p w14:paraId="6D6EDB52" w14:textId="77777777" w:rsidR="007B1F84" w:rsidRPr="00B06325" w:rsidRDefault="007B1F84" w:rsidP="00822DE7">
            <w:pPr>
              <w:numPr>
                <w:ilvl w:val="0"/>
                <w:numId w:val="16"/>
              </w:numPr>
            </w:pPr>
            <w:r w:rsidRPr="00B06325">
              <w:t>CNNMoney.com states that only 60% of workers over 40 who are eligible to participate in their 401(k) are actually doing so.</w:t>
            </w:r>
          </w:p>
          <w:p w14:paraId="50E0C429" w14:textId="77777777" w:rsidR="007B1F84" w:rsidRPr="00B06325" w:rsidRDefault="007B1F84" w:rsidP="00822DE7">
            <w:pPr>
              <w:numPr>
                <w:ilvl w:val="0"/>
                <w:numId w:val="16"/>
              </w:numPr>
            </w:pPr>
            <w:r w:rsidRPr="00B06325">
              <w:t>Fidelity Investments research shows that Baby Boomers on average can expect to be able to replace only 59% of their pre-retirement income while less than 57% can expect to receive a pension from their employer.</w:t>
            </w:r>
          </w:p>
          <w:p w14:paraId="59D23DF9" w14:textId="77777777" w:rsidR="007B1F84" w:rsidRPr="00B06325" w:rsidRDefault="007B1F84" w:rsidP="00822DE7">
            <w:pPr>
              <w:numPr>
                <w:ilvl w:val="0"/>
                <w:numId w:val="16"/>
              </w:numPr>
            </w:pPr>
            <w:r w:rsidRPr="00B06325">
              <w:t xml:space="preserve">Retiree health costs </w:t>
            </w:r>
            <w:r w:rsidR="002A6153">
              <w:t xml:space="preserve">and uncertainty over new health care laws </w:t>
            </w:r>
            <w:r w:rsidR="003C2517">
              <w:t xml:space="preserve">increasingly </w:t>
            </w:r>
            <w:r w:rsidR="002A6153">
              <w:t xml:space="preserve">rank among most </w:t>
            </w:r>
            <w:proofErr w:type="gramStart"/>
            <w:r w:rsidR="002A6153">
              <w:t>retirees</w:t>
            </w:r>
            <w:proofErr w:type="gramEnd"/>
            <w:r w:rsidR="002A6153">
              <w:t xml:space="preserve"> primary concerns</w:t>
            </w:r>
            <w:r w:rsidR="003C2517">
              <w:t>.</w:t>
            </w:r>
          </w:p>
          <w:p w14:paraId="71A05491" w14:textId="77777777" w:rsidR="00D66719" w:rsidRPr="003C2517" w:rsidRDefault="007B1F84" w:rsidP="00822DE7">
            <w:pPr>
              <w:numPr>
                <w:ilvl w:val="0"/>
                <w:numId w:val="16"/>
              </w:numPr>
              <w:rPr>
                <w:lang w:val="en"/>
              </w:rPr>
            </w:pPr>
            <w:r w:rsidRPr="00B06325">
              <w:t>The CDC’s National Center for Health Studies states that life expectancy has increased by more than thirty years in the last century.</w:t>
            </w:r>
          </w:p>
        </w:tc>
      </w:tr>
    </w:tbl>
    <w:p w14:paraId="5E9617C3" w14:textId="31CF52A9" w:rsidR="00F4552A" w:rsidRPr="00B06325" w:rsidRDefault="00F4552A" w:rsidP="003916C4">
      <w:r w:rsidRPr="00B06325">
        <w:t>One might think that</w:t>
      </w:r>
      <w:r w:rsidR="00F9043D">
        <w:t>,</w:t>
      </w:r>
      <w:r w:rsidRPr="00B06325">
        <w:t xml:space="preserve"> given this information, most Americans would be actively planning toward their number one financial goal.</w:t>
      </w:r>
      <w:r w:rsidR="00CC78C5">
        <w:t xml:space="preserve"> </w:t>
      </w:r>
      <w:r w:rsidRPr="00B06325">
        <w:t xml:space="preserve">However, The Employee Benefits Research Center found in their </w:t>
      </w:r>
      <w:r w:rsidR="00D13285">
        <w:t>recent</w:t>
      </w:r>
      <w:r w:rsidRPr="00B06325">
        <w:t xml:space="preserve"> </w:t>
      </w:r>
      <w:r w:rsidRPr="00B06325">
        <w:rPr>
          <w:i/>
          <w:iCs/>
        </w:rPr>
        <w:t>Retirement Confidence Survey</w:t>
      </w:r>
      <w:r w:rsidR="00CA5366" w:rsidRPr="00665B2E">
        <w:rPr>
          <w:vertAlign w:val="superscript"/>
        </w:rPr>
        <w:t>®</w:t>
      </w:r>
      <w:r w:rsidRPr="00B06325">
        <w:t xml:space="preserve"> that </w:t>
      </w:r>
      <w:r w:rsidRPr="001E155C">
        <w:rPr>
          <w:b/>
          <w:i/>
        </w:rPr>
        <w:t>only 4 out of 10 workers have even tried to calculate how much money they need to accumulate for retirement</w:t>
      </w:r>
      <w:r w:rsidRPr="00B06325">
        <w:t xml:space="preserve">.  </w:t>
      </w:r>
    </w:p>
    <w:p w14:paraId="3F1A6F67" w14:textId="77777777" w:rsidR="00F4552A" w:rsidRPr="00B06325" w:rsidRDefault="00F4552A" w:rsidP="003916C4">
      <w:r w:rsidRPr="00B06325">
        <w:t xml:space="preserve">Perhaps </w:t>
      </w:r>
      <w:r w:rsidR="007A5A8F" w:rsidRPr="00B06325">
        <w:t>people are simply overwhelmed by the on</w:t>
      </w:r>
      <w:r w:rsidRPr="00B06325">
        <w:t xml:space="preserve">going media coverage of issues like the continuing decline of the savings rate, </w:t>
      </w:r>
      <w:r w:rsidR="007A5A8F" w:rsidRPr="00B06325">
        <w:t xml:space="preserve">the </w:t>
      </w:r>
      <w:r w:rsidRPr="00B06325">
        <w:t xml:space="preserve">increasing income needs of current retirees, </w:t>
      </w:r>
      <w:r w:rsidR="007A5A8F" w:rsidRPr="00B06325">
        <w:t>concerns regarding the future of</w:t>
      </w:r>
      <w:r w:rsidRPr="00B06325">
        <w:t xml:space="preserve"> Social Security</w:t>
      </w:r>
      <w:r w:rsidR="007A5A8F" w:rsidRPr="00B06325">
        <w:t xml:space="preserve">, the </w:t>
      </w:r>
      <w:r w:rsidRPr="00B06325">
        <w:t xml:space="preserve">increase in the numbers of retirees, </w:t>
      </w:r>
      <w:r w:rsidR="007A5A8F" w:rsidRPr="00B06325">
        <w:t xml:space="preserve">health care costs, or the </w:t>
      </w:r>
      <w:r w:rsidRPr="00B06325">
        <w:t>growing life expectancy</w:t>
      </w:r>
      <w:r w:rsidR="007A5A8F" w:rsidRPr="00B06325">
        <w:t xml:space="preserve"> </w:t>
      </w:r>
      <w:r w:rsidRPr="00B06325">
        <w:t xml:space="preserve">and the resulting drain on </w:t>
      </w:r>
      <w:r w:rsidR="007A5A8F" w:rsidRPr="00B06325">
        <w:t xml:space="preserve">resources.  As an </w:t>
      </w:r>
      <w:r w:rsidRPr="00B06325">
        <w:t>old adage of the fina</w:t>
      </w:r>
      <w:r w:rsidR="007A5A8F" w:rsidRPr="00B06325">
        <w:t xml:space="preserve">ncial services industry states: </w:t>
      </w:r>
      <w:r w:rsidRPr="00B06325">
        <w:t xml:space="preserve">“The confused mind ALWAYS says No!” A strong case can be made that many people have simply run up the white flag as it pertains to their retirement. </w:t>
      </w:r>
      <w:r w:rsidR="003B491C" w:rsidRPr="00B06325">
        <w:t>This tendency is apparent in a Met Life study,</w:t>
      </w:r>
      <w:r w:rsidRPr="00B06325">
        <w:t xml:space="preserve"> </w:t>
      </w:r>
      <w:r w:rsidRPr="00B06325">
        <w:rPr>
          <w:i/>
          <w:iCs/>
        </w:rPr>
        <w:t xml:space="preserve">Living Longer, Working Longer, </w:t>
      </w:r>
      <w:r w:rsidR="003B491C" w:rsidRPr="00B06325">
        <w:rPr>
          <w:iCs/>
        </w:rPr>
        <w:t>which</w:t>
      </w:r>
      <w:r w:rsidR="003B491C" w:rsidRPr="00B06325">
        <w:rPr>
          <w:i/>
          <w:iCs/>
        </w:rPr>
        <w:t xml:space="preserve"> </w:t>
      </w:r>
      <w:r w:rsidRPr="00B06325">
        <w:t xml:space="preserve">found that the majority of those surveyed intended to, or were </w:t>
      </w:r>
      <w:r w:rsidRPr="001E155C">
        <w:rPr>
          <w:bCs/>
          <w:i/>
        </w:rPr>
        <w:t>resigned</w:t>
      </w:r>
      <w:r w:rsidRPr="001E155C">
        <w:rPr>
          <w:i/>
        </w:rPr>
        <w:t xml:space="preserve"> to</w:t>
      </w:r>
      <w:r w:rsidRPr="00B06325">
        <w:t xml:space="preserve">, </w:t>
      </w:r>
      <w:r w:rsidR="003B491C" w:rsidRPr="00B06325">
        <w:t>work</w:t>
      </w:r>
      <w:r w:rsidRPr="00B06325">
        <w:t xml:space="preserve"> during their retirement.</w:t>
      </w:r>
    </w:p>
    <w:p w14:paraId="74309AE8" w14:textId="77777777" w:rsidR="009C572D" w:rsidRDefault="00F4552A" w:rsidP="001F3D42">
      <w:r w:rsidRPr="00B06325">
        <w:t xml:space="preserve">Even though it would seem virtually impossible for clients and prospects to remain unaware of the dire forecasts around retirement planning, nearly all retirement services advertising uses idyllic images of travel or hobbies like the one pictured </w:t>
      </w:r>
      <w:r w:rsidR="003B491C" w:rsidRPr="00B06325">
        <w:t>on this page</w:t>
      </w:r>
      <w:r w:rsidRPr="00B06325">
        <w:t xml:space="preserve">. In the face of the differences between reality and those images, advisors must differentiate themselves by </w:t>
      </w:r>
      <w:r w:rsidRPr="00B06325">
        <w:lastRenderedPageBreak/>
        <w:t xml:space="preserve">understanding the realities and how to plan for them in a way that makes the ideal attainable. That differentiation begins with understanding the client’s </w:t>
      </w:r>
      <w:r w:rsidR="009126A3">
        <w:t>retirement lifecycle.</w:t>
      </w:r>
    </w:p>
    <w:p w14:paraId="07B3A3FB" w14:textId="77777777" w:rsidR="000151E4" w:rsidRDefault="003B491C" w:rsidP="004344CA">
      <w:pPr>
        <w:pStyle w:val="Heading2"/>
      </w:pPr>
      <w:r>
        <w:br w:type="page"/>
      </w:r>
      <w:r w:rsidR="000151E4">
        <w:lastRenderedPageBreak/>
        <w:t>Understanding the Retirement Lifecycle</w:t>
      </w:r>
    </w:p>
    <w:p w14:paraId="11A684AA" w14:textId="79A2DF7A" w:rsidR="001F2593" w:rsidRDefault="00753666" w:rsidP="001C4DA9">
      <w:r w:rsidRPr="002478F4">
        <w:t xml:space="preserve">The issues </w:t>
      </w:r>
      <w:r w:rsidR="002A7B58" w:rsidRPr="002478F4">
        <w:t>and concerns</w:t>
      </w:r>
      <w:r w:rsidRPr="002478F4">
        <w:t xml:space="preserve"> clients </w:t>
      </w:r>
      <w:r w:rsidR="002A7B58" w:rsidRPr="002478F4">
        <w:t xml:space="preserve">have </w:t>
      </w:r>
      <w:r w:rsidRPr="002478F4">
        <w:t xml:space="preserve">regarding </w:t>
      </w:r>
      <w:r w:rsidR="008A19D0" w:rsidRPr="002478F4">
        <w:t xml:space="preserve">their </w:t>
      </w:r>
      <w:r w:rsidR="00567AD0" w:rsidRPr="002478F4">
        <w:t xml:space="preserve">retirement tend to shift </w:t>
      </w:r>
      <w:r w:rsidR="008A19D0" w:rsidRPr="002478F4">
        <w:t xml:space="preserve">as they age.  This makes it possible </w:t>
      </w:r>
      <w:r w:rsidR="002A7B58" w:rsidRPr="002478F4">
        <w:t xml:space="preserve">for us </w:t>
      </w:r>
      <w:r w:rsidR="008A19D0" w:rsidRPr="002478F4">
        <w:t xml:space="preserve">to examine retirement planning in the context of a </w:t>
      </w:r>
      <w:r w:rsidR="008A19D0" w:rsidRPr="002478F4">
        <w:rPr>
          <w:b/>
          <w:i/>
        </w:rPr>
        <w:t>retirement lifecycle</w:t>
      </w:r>
      <w:r w:rsidR="008A19D0" w:rsidRPr="002478F4">
        <w:t xml:space="preserve"> that can be divided into t</w:t>
      </w:r>
      <w:r w:rsidR="00B0029E">
        <w:t>wo</w:t>
      </w:r>
      <w:r w:rsidR="008A19D0" w:rsidRPr="002478F4">
        <w:t xml:space="preserve"> stages</w:t>
      </w:r>
      <w:r w:rsidR="005C123F" w:rsidRPr="002478F4">
        <w:t>: pre-retirement and post-retirement</w:t>
      </w:r>
      <w:r w:rsidR="008A19D0" w:rsidRPr="002478F4">
        <w:t xml:space="preserve">.  </w:t>
      </w:r>
    </w:p>
    <w:p w14:paraId="3C3C353D" w14:textId="77777777" w:rsidR="0025203A" w:rsidRDefault="0025203A" w:rsidP="0025203A">
      <w:r w:rsidRPr="002478F4">
        <w:rPr>
          <w:b/>
          <w:color w:val="FF0000"/>
        </w:rPr>
        <w:t>Click the criteria to learn more</w:t>
      </w:r>
      <w:r>
        <w:t xml:space="preserve">. </w:t>
      </w:r>
    </w:p>
    <w:p w14:paraId="6CD349F0" w14:textId="77777777" w:rsidR="001F2593" w:rsidRPr="00F34122" w:rsidRDefault="001F2593" w:rsidP="00DE245D">
      <w:pPr>
        <w:spacing w:before="0" w:after="0"/>
      </w:pPr>
    </w:p>
    <w:tbl>
      <w:tblPr>
        <w:tblW w:w="9540" w:type="dxa"/>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845"/>
      </w:tblGrid>
      <w:tr w:rsidR="001F2593" w:rsidRPr="00F34122" w14:paraId="7BB3B3F2" w14:textId="77777777" w:rsidTr="00EF587F">
        <w:tc>
          <w:tcPr>
            <w:tcW w:w="2695" w:type="dxa"/>
            <w:shd w:val="clear" w:color="auto" w:fill="6CA8CD"/>
            <w:tcMar>
              <w:top w:w="72" w:type="dxa"/>
              <w:bottom w:w="72" w:type="dxa"/>
            </w:tcMar>
          </w:tcPr>
          <w:p w14:paraId="00C861CB" w14:textId="77777777" w:rsidR="001F2593" w:rsidRPr="000E7497" w:rsidRDefault="00866EAF" w:rsidP="001F2593">
            <w:pPr>
              <w:rPr>
                <w:b/>
                <w:bCs/>
                <w:color w:val="000000"/>
              </w:rPr>
            </w:pPr>
            <w:r w:rsidRPr="000E7497">
              <w:rPr>
                <w:b/>
                <w:bCs/>
                <w:color w:val="000000"/>
              </w:rPr>
              <w:t xml:space="preserve">Pre-Retirement </w:t>
            </w:r>
            <w:r w:rsidR="006C1BB1" w:rsidRPr="000E7497">
              <w:rPr>
                <w:b/>
                <w:bCs/>
                <w:color w:val="000000"/>
              </w:rPr>
              <w:t xml:space="preserve">Accumulation </w:t>
            </w:r>
          </w:p>
          <w:p w14:paraId="225C67EA" w14:textId="77777777" w:rsidR="001F2593" w:rsidRPr="000E7497" w:rsidRDefault="001F2593" w:rsidP="001F2593">
            <w:pPr>
              <w:rPr>
                <w:b/>
                <w:color w:val="000000"/>
              </w:rPr>
            </w:pPr>
          </w:p>
        </w:tc>
        <w:tc>
          <w:tcPr>
            <w:tcW w:w="6845" w:type="dxa"/>
            <w:tcMar>
              <w:top w:w="72" w:type="dxa"/>
              <w:bottom w:w="72" w:type="dxa"/>
            </w:tcMar>
          </w:tcPr>
          <w:p w14:paraId="4E0B3434" w14:textId="77777777" w:rsidR="001F2593" w:rsidRDefault="001F2593" w:rsidP="001F2593">
            <w:r w:rsidRPr="001F2593">
              <w:t xml:space="preserve">This stage is characterized by </w:t>
            </w:r>
            <w:r w:rsidRPr="001F2593">
              <w:rPr>
                <w:b/>
                <w:i/>
              </w:rPr>
              <w:t>asset accumulation and growth</w:t>
            </w:r>
            <w:r w:rsidRPr="001F2593">
              <w:t>. For example, many clients in the pre-retirement phase will have “expectations” for their retirement and their concerns will revolve around issues like:</w:t>
            </w:r>
            <w:r>
              <w:t xml:space="preserve"> </w:t>
            </w:r>
          </w:p>
          <w:p w14:paraId="1EDE9D13" w14:textId="77777777" w:rsidR="001F2593" w:rsidRDefault="001F2593" w:rsidP="00822DE7">
            <w:pPr>
              <w:numPr>
                <w:ilvl w:val="0"/>
                <w:numId w:val="17"/>
              </w:numPr>
            </w:pPr>
            <w:r w:rsidRPr="001F2593">
              <w:t xml:space="preserve">"When can I retire?" or </w:t>
            </w:r>
          </w:p>
          <w:p w14:paraId="5D3CAC88" w14:textId="77777777" w:rsidR="001F2593" w:rsidRPr="001F2593" w:rsidRDefault="001F2593" w:rsidP="00822DE7">
            <w:pPr>
              <w:numPr>
                <w:ilvl w:val="0"/>
                <w:numId w:val="17"/>
              </w:numPr>
            </w:pPr>
            <w:r w:rsidRPr="001F2593">
              <w:t>"Can I afford to live in a beach-front home when I retire?”</w:t>
            </w:r>
          </w:p>
        </w:tc>
      </w:tr>
      <w:tr w:rsidR="001F2593" w:rsidRPr="00F34122" w14:paraId="7E25FED9" w14:textId="77777777" w:rsidTr="00EF587F">
        <w:tc>
          <w:tcPr>
            <w:tcW w:w="2695" w:type="dxa"/>
            <w:shd w:val="clear" w:color="auto" w:fill="6CA8CD"/>
            <w:tcMar>
              <w:top w:w="72" w:type="dxa"/>
              <w:bottom w:w="72" w:type="dxa"/>
            </w:tcMar>
          </w:tcPr>
          <w:p w14:paraId="380B4340" w14:textId="78645376" w:rsidR="001F2593" w:rsidRPr="001F2593" w:rsidRDefault="001F2593">
            <w:pPr>
              <w:rPr>
                <w:b/>
              </w:rPr>
            </w:pPr>
            <w:r w:rsidRPr="001F2593">
              <w:rPr>
                <w:b/>
              </w:rPr>
              <w:t>Post-Retirement</w:t>
            </w:r>
            <w:r w:rsidR="00866EAF">
              <w:rPr>
                <w:b/>
              </w:rPr>
              <w:t xml:space="preserve"> </w:t>
            </w:r>
            <w:r w:rsidR="00616F2D">
              <w:rPr>
                <w:b/>
              </w:rPr>
              <w:t xml:space="preserve">Distribution </w:t>
            </w:r>
          </w:p>
        </w:tc>
        <w:tc>
          <w:tcPr>
            <w:tcW w:w="6845" w:type="dxa"/>
            <w:tcMar>
              <w:top w:w="72" w:type="dxa"/>
              <w:bottom w:w="72" w:type="dxa"/>
            </w:tcMar>
          </w:tcPr>
          <w:p w14:paraId="231FBD4D" w14:textId="77777777" w:rsidR="00D8124F" w:rsidRDefault="00B67C8F" w:rsidP="001F2593">
            <w:r w:rsidRPr="001F2593">
              <w:t xml:space="preserve">As clients approach the actual point of retirement, their concerns begin to shift from accumulation and growth to </w:t>
            </w:r>
            <w:r w:rsidRPr="00B0029E">
              <w:t>income planning and h</w:t>
            </w:r>
            <w:r w:rsidRPr="000E7497">
              <w:t>ealth preservation</w:t>
            </w:r>
            <w:r w:rsidRPr="001F2593">
              <w:rPr>
                <w:b/>
                <w:i/>
              </w:rPr>
              <w:t>.</w:t>
            </w:r>
            <w:r w:rsidRPr="001F2593">
              <w:t xml:space="preserve"> In other words, their focus shifts to having adequate income for their living expenses</w:t>
            </w:r>
            <w:r w:rsidR="00051B93">
              <w:t>,</w:t>
            </w:r>
            <w:r w:rsidRPr="001F2593">
              <w:t xml:space="preserve"> adequate insurance to help maintain their </w:t>
            </w:r>
            <w:r w:rsidR="00051B93">
              <w:t xml:space="preserve">everyday </w:t>
            </w:r>
            <w:r w:rsidRPr="001F2593">
              <w:t>health</w:t>
            </w:r>
            <w:r w:rsidR="00051B93">
              <w:t>,</w:t>
            </w:r>
            <w:r w:rsidRPr="001F2593">
              <w:t xml:space="preserve"> and </w:t>
            </w:r>
            <w:r w:rsidR="00051B93">
              <w:t xml:space="preserve">adequate </w:t>
            </w:r>
            <w:r w:rsidRPr="001F2593">
              <w:t>protect</w:t>
            </w:r>
            <w:r w:rsidR="00051B93">
              <w:t>ion</w:t>
            </w:r>
            <w:r w:rsidRPr="001F2593">
              <w:t xml:space="preserve"> against depleting their assets due to long-term illness. </w:t>
            </w:r>
          </w:p>
          <w:p w14:paraId="13ADFEA7" w14:textId="77777777" w:rsidR="00082897" w:rsidRDefault="001F2593" w:rsidP="001F2593">
            <w:r w:rsidRPr="001F2593">
              <w:t>As clients go through their post</w:t>
            </w:r>
            <w:r w:rsidR="00310635">
              <w:t>-</w:t>
            </w:r>
            <w:r w:rsidRPr="001F2593">
              <w:t xml:space="preserve">retirement years, they may find that circumstances evolve in ways they had not anticipated. Their investment needs may change, as might their attitudes regarding their investments. </w:t>
            </w:r>
            <w:r w:rsidR="00082897">
              <w:t>Client life expectancies may become a factor in investing decisions.</w:t>
            </w:r>
            <w:r w:rsidRPr="001F2593">
              <w:t xml:space="preserve"> </w:t>
            </w:r>
            <w:r w:rsidR="00CD488B">
              <w:t>For example, a client may be well advised to consider conservative equity securities in their post-retirement portfolio to provide continued growth for a long life span in retirement.</w:t>
            </w:r>
          </w:p>
          <w:p w14:paraId="150F11AE" w14:textId="087A7F72" w:rsidR="00A065C4" w:rsidRPr="001F2593" w:rsidRDefault="001F2593" w:rsidP="00AA7E2F">
            <w:r w:rsidRPr="001F2593">
              <w:t xml:space="preserve">They also begin to shift their concerns to what will happen after they die and become concerned </w:t>
            </w:r>
            <w:r w:rsidR="008F2DEA">
              <w:t>about</w:t>
            </w:r>
            <w:r w:rsidRPr="001F2593">
              <w:t xml:space="preserve"> the transfer of their estates to heirs in the most tax-effective and beneficial ways.</w:t>
            </w:r>
            <w:r w:rsidR="00D8124F">
              <w:t xml:space="preserve"> </w:t>
            </w:r>
          </w:p>
        </w:tc>
      </w:tr>
    </w:tbl>
    <w:p w14:paraId="12AEC558" w14:textId="77777777" w:rsidR="001F2593" w:rsidRPr="00F34122" w:rsidRDefault="001F2593" w:rsidP="00E97D74">
      <w:pPr>
        <w:spacing w:before="0" w:after="0"/>
      </w:pPr>
    </w:p>
    <w:p w14:paraId="55D573D8" w14:textId="77777777" w:rsidR="00753666" w:rsidRPr="002478F4" w:rsidRDefault="00753666" w:rsidP="003916C4">
      <w:r w:rsidRPr="002478F4">
        <w:t xml:space="preserve">Advisors who recognize these differing needs and provide adequate solutions to the situation should thrive. </w:t>
      </w:r>
      <w:r w:rsidR="00A1171B" w:rsidRPr="002478F4">
        <w:t xml:space="preserve">On the following pages, we shall examine </w:t>
      </w:r>
      <w:r w:rsidR="00B67C8F">
        <w:t xml:space="preserve">planning for retirement accumulation. </w:t>
      </w:r>
      <w:r w:rsidR="00B6246D" w:rsidRPr="000E7497">
        <w:t>W</w:t>
      </w:r>
      <w:r w:rsidR="00D85A1F" w:rsidRPr="003C03E2">
        <w:t xml:space="preserve">ise decisions during the accumulation period </w:t>
      </w:r>
      <w:r w:rsidR="00B6246D" w:rsidRPr="000E7497">
        <w:t xml:space="preserve">generally mean more income in retirement. </w:t>
      </w:r>
      <w:r w:rsidR="00D85A1F" w:rsidRPr="003C03E2">
        <w:t xml:space="preserve">The ideal </w:t>
      </w:r>
      <w:r w:rsidR="00B6246D" w:rsidRPr="000E7497">
        <w:t>retirement distribution p</w:t>
      </w:r>
      <w:r w:rsidR="00D85A1F" w:rsidRPr="003C03E2">
        <w:t xml:space="preserve">lan is the natural consequence </w:t>
      </w:r>
      <w:r w:rsidR="00B6246D" w:rsidRPr="000E7497">
        <w:t>of</w:t>
      </w:r>
      <w:r w:rsidR="00D85A1F" w:rsidRPr="003C03E2">
        <w:t xml:space="preserve"> an effective accumulation plan, launched </w:t>
      </w:r>
      <w:r w:rsidR="00B6246D" w:rsidRPr="000E7497">
        <w:t xml:space="preserve">as early as possible in a </w:t>
      </w:r>
      <w:r w:rsidR="00D85A1F" w:rsidRPr="003C03E2">
        <w:t xml:space="preserve">client’s career. </w:t>
      </w:r>
    </w:p>
    <w:p w14:paraId="78CA0C1E" w14:textId="77777777" w:rsidR="001E155C" w:rsidRDefault="001E155C">
      <w:pPr>
        <w:spacing w:before="0" w:after="0"/>
        <w:rPr>
          <w:b/>
          <w:bCs/>
          <w:iCs/>
          <w:color w:val="17365D"/>
          <w:sz w:val="28"/>
          <w:szCs w:val="12"/>
        </w:rPr>
      </w:pPr>
      <w:r>
        <w:br w:type="page"/>
      </w:r>
    </w:p>
    <w:p w14:paraId="7A3FD541" w14:textId="77777777" w:rsidR="00BC2793" w:rsidRPr="00F91ED9" w:rsidRDefault="003834FF" w:rsidP="004344CA">
      <w:pPr>
        <w:pStyle w:val="Heading2"/>
      </w:pPr>
      <w:r>
        <w:lastRenderedPageBreak/>
        <w:t xml:space="preserve">The </w:t>
      </w:r>
      <w:r w:rsidR="00051B93">
        <w:t xml:space="preserve">Five </w:t>
      </w:r>
      <w:r w:rsidR="004F5839">
        <w:t xml:space="preserve">Key </w:t>
      </w:r>
      <w:r w:rsidR="00051B93">
        <w:t xml:space="preserve">Issues </w:t>
      </w:r>
      <w:r w:rsidR="004F5839">
        <w:t>of</w:t>
      </w:r>
      <w:r>
        <w:t xml:space="preserve"> an Effective Retirement </w:t>
      </w:r>
      <w:r w:rsidR="00051B93">
        <w:t>P</w:t>
      </w:r>
      <w:r>
        <w:t>lan</w:t>
      </w:r>
    </w:p>
    <w:p w14:paraId="7DE51047" w14:textId="77777777" w:rsidR="00903DC5" w:rsidRDefault="00C43B29" w:rsidP="000078DF">
      <w:r w:rsidRPr="00884FBF">
        <w:t xml:space="preserve">Many of the pre-retirees you encounter will have needs that share some collective themes.  The most common issues they face are the </w:t>
      </w:r>
      <w:r w:rsidR="009C763D">
        <w:t xml:space="preserve">five key issues </w:t>
      </w:r>
      <w:r w:rsidRPr="00884FBF">
        <w:t xml:space="preserve">listed </w:t>
      </w:r>
      <w:r>
        <w:t>below</w:t>
      </w:r>
      <w:r w:rsidRPr="00884FBF">
        <w:t xml:space="preserve">. </w:t>
      </w:r>
    </w:p>
    <w:p w14:paraId="57AE62C3" w14:textId="1A5650EF" w:rsidR="00C43B29" w:rsidRPr="00884FBF" w:rsidRDefault="009C763D" w:rsidP="000078DF">
      <w:r w:rsidRPr="00C34887">
        <w:t>This course</w:t>
      </w:r>
      <w:r w:rsidR="00AA7E2F">
        <w:t xml:space="preserve"> - </w:t>
      </w:r>
      <w:r w:rsidRPr="00C34887">
        <w:rPr>
          <w:i/>
        </w:rPr>
        <w:t>Retirement Accumulation Planning</w:t>
      </w:r>
      <w:r w:rsidR="00AA7E2F">
        <w:t xml:space="preserve"> - </w:t>
      </w:r>
      <w:r w:rsidRPr="00C34887">
        <w:t xml:space="preserve">is the first of two courses focused on an effective retirement plan and will provide insights into </w:t>
      </w:r>
      <w:r w:rsidR="009126A3" w:rsidRPr="00C34887">
        <w:t xml:space="preserve">the first four of the </w:t>
      </w:r>
      <w:r w:rsidR="0025203A" w:rsidRPr="00C34887">
        <w:t xml:space="preserve">five </w:t>
      </w:r>
      <w:r w:rsidR="00C56882" w:rsidRPr="00C34887">
        <w:t>k</w:t>
      </w:r>
      <w:r w:rsidRPr="00C34887">
        <w:t xml:space="preserve">ey issues </w:t>
      </w:r>
      <w:r w:rsidR="0025203A" w:rsidRPr="00C34887">
        <w:t xml:space="preserve">listed </w:t>
      </w:r>
      <w:r w:rsidRPr="00C34887">
        <w:t xml:space="preserve">below. </w:t>
      </w:r>
      <w:r w:rsidR="003501A3" w:rsidRPr="00C34887">
        <w:t>A separate course</w:t>
      </w:r>
      <w:r w:rsidR="00AA7E2F">
        <w:t xml:space="preserve"> - </w:t>
      </w:r>
      <w:r w:rsidRPr="00C34887">
        <w:rPr>
          <w:i/>
        </w:rPr>
        <w:t>Retirement Distribution Planning</w:t>
      </w:r>
      <w:r w:rsidR="00AA7E2F">
        <w:t xml:space="preserve"> - </w:t>
      </w:r>
      <w:r w:rsidRPr="00C34887">
        <w:t xml:space="preserve">will focus exclusively on </w:t>
      </w:r>
      <w:r w:rsidR="00EC7EC5" w:rsidRPr="00C34887">
        <w:t>the fifth key issue</w:t>
      </w:r>
      <w:r w:rsidRPr="00C348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8F4EFC" w:rsidRPr="00602663" w14:paraId="139E956C" w14:textId="77777777" w:rsidTr="006E399B">
        <w:tc>
          <w:tcPr>
            <w:tcW w:w="9576" w:type="dxa"/>
            <w:shd w:val="clear" w:color="auto" w:fill="DBD9BD"/>
          </w:tcPr>
          <w:p w14:paraId="580FAD21" w14:textId="77777777" w:rsidR="00051B93" w:rsidRDefault="00051B93" w:rsidP="00822DE7">
            <w:pPr>
              <w:numPr>
                <w:ilvl w:val="0"/>
                <w:numId w:val="41"/>
              </w:numPr>
            </w:pPr>
            <w:r>
              <w:t>Clear Retirement Plan</w:t>
            </w:r>
          </w:p>
          <w:p w14:paraId="6C71A01B" w14:textId="77777777" w:rsidR="008F4EFC" w:rsidRPr="00733456" w:rsidRDefault="00051B93" w:rsidP="00822DE7">
            <w:pPr>
              <w:numPr>
                <w:ilvl w:val="0"/>
                <w:numId w:val="41"/>
              </w:numPr>
            </w:pPr>
            <w:r>
              <w:t>Sufficient Savings</w:t>
            </w:r>
          </w:p>
          <w:p w14:paraId="5E1812D5" w14:textId="77777777" w:rsidR="008F4EFC" w:rsidRPr="000B7AD7" w:rsidRDefault="00051B93" w:rsidP="00822DE7">
            <w:pPr>
              <w:numPr>
                <w:ilvl w:val="0"/>
                <w:numId w:val="41"/>
              </w:numPr>
            </w:pPr>
            <w:r>
              <w:t>Effective Investment Strategy</w:t>
            </w:r>
          </w:p>
          <w:p w14:paraId="5C976C4A" w14:textId="77777777" w:rsidR="007C321B" w:rsidRPr="00602663" w:rsidRDefault="00051B93" w:rsidP="00822DE7">
            <w:pPr>
              <w:numPr>
                <w:ilvl w:val="0"/>
                <w:numId w:val="41"/>
              </w:numPr>
              <w:rPr>
                <w:bCs/>
              </w:rPr>
            </w:pPr>
            <w:r>
              <w:t>Tax</w:t>
            </w:r>
            <w:r w:rsidR="0025203A">
              <w:t>-</w:t>
            </w:r>
            <w:r>
              <w:t>Efficient Savings Strategy</w:t>
            </w:r>
          </w:p>
          <w:p w14:paraId="382236D7" w14:textId="77777777" w:rsidR="008F4EFC" w:rsidRPr="001F3D42" w:rsidRDefault="00051B93" w:rsidP="00822DE7">
            <w:pPr>
              <w:numPr>
                <w:ilvl w:val="0"/>
                <w:numId w:val="41"/>
              </w:numPr>
              <w:rPr>
                <w:bCs/>
              </w:rPr>
            </w:pPr>
            <w:r>
              <w:t>Effective Distribution Strategy</w:t>
            </w:r>
          </w:p>
        </w:tc>
      </w:tr>
    </w:tbl>
    <w:p w14:paraId="45D7165E" w14:textId="77777777" w:rsidR="008F4EFC" w:rsidRPr="00602663" w:rsidRDefault="008F4EFC" w:rsidP="00E97D74">
      <w:pPr>
        <w:spacing w:before="0" w:after="0"/>
      </w:pPr>
    </w:p>
    <w:p w14:paraId="6781EE96" w14:textId="77777777" w:rsidR="00DB2306" w:rsidRDefault="00D91392" w:rsidP="001F3D42">
      <w:pPr>
        <w:pStyle w:val="Heading2"/>
      </w:pPr>
      <w:r>
        <w:br w:type="page"/>
      </w:r>
      <w:r w:rsidR="00DE0294">
        <w:lastRenderedPageBreak/>
        <w:t>Key Issue</w:t>
      </w:r>
      <w:r w:rsidR="005E1881" w:rsidRPr="000A228D">
        <w:t xml:space="preserve"> 1 – </w:t>
      </w:r>
      <w:r w:rsidR="003A17DA">
        <w:t>Clear Retirement Plan</w:t>
      </w:r>
    </w:p>
    <w:p w14:paraId="7EAAD38B" w14:textId="77777777" w:rsidR="002347BC" w:rsidRDefault="002347BC" w:rsidP="002347BC">
      <w:pPr>
        <w:rPr>
          <w:b/>
          <w:color w:val="FF0000"/>
        </w:rPr>
      </w:pPr>
    </w:p>
    <w:p w14:paraId="7A8280A4" w14:textId="77777777" w:rsidR="002347BC" w:rsidRDefault="00C34887" w:rsidP="002347BC">
      <w:pPr>
        <w:jc w:val="center"/>
        <w:rPr>
          <w:b/>
          <w:color w:val="FF0000"/>
        </w:rPr>
      </w:pPr>
      <w:r>
        <w:rPr>
          <w:b/>
          <w:noProof/>
          <w:color w:val="FF0000"/>
          <w:lang w:eastAsia="zh-CN"/>
        </w:rPr>
        <w:drawing>
          <wp:inline distT="0" distB="0" distL="0" distR="0" wp14:anchorId="32CFE281" wp14:editId="446191FA">
            <wp:extent cx="5308600" cy="2946400"/>
            <wp:effectExtent l="0" t="0" r="0" b="0"/>
            <wp:docPr id="9" name="Picture 4" descr="Description: Macintosh HD:Users:ricktyler:Desktop:Launch_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acintosh HD:Users:ricktyler:Desktop:Launch_Vide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600" cy="2946400"/>
                    </a:xfrm>
                    <a:prstGeom prst="rect">
                      <a:avLst/>
                    </a:prstGeom>
                    <a:noFill/>
                    <a:ln>
                      <a:noFill/>
                    </a:ln>
                  </pic:spPr>
                </pic:pic>
              </a:graphicData>
            </a:graphic>
          </wp:inline>
        </w:drawing>
      </w:r>
    </w:p>
    <w:p w14:paraId="7B8E0B3C" w14:textId="77777777" w:rsidR="002347BC" w:rsidRDefault="002347BC" w:rsidP="002347BC">
      <w:pPr>
        <w:jc w:val="center"/>
        <w:rPr>
          <w:b/>
          <w:color w:val="FF0000"/>
        </w:rPr>
      </w:pPr>
    </w:p>
    <w:tbl>
      <w:tblPr>
        <w:tblW w:w="95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1E0" w:firstRow="1" w:lastRow="1" w:firstColumn="1" w:lastColumn="1" w:noHBand="0" w:noVBand="0"/>
      </w:tblPr>
      <w:tblGrid>
        <w:gridCol w:w="5220"/>
        <w:gridCol w:w="4320"/>
      </w:tblGrid>
      <w:tr w:rsidR="002347BC" w:rsidRPr="00632B92" w14:paraId="4BDC7551" w14:textId="77777777" w:rsidTr="00C34887">
        <w:tc>
          <w:tcPr>
            <w:tcW w:w="9540" w:type="dxa"/>
            <w:gridSpan w:val="2"/>
            <w:tcBorders>
              <w:bottom w:val="nil"/>
            </w:tcBorders>
            <w:shd w:val="clear" w:color="auto" w:fill="C4BD97"/>
            <w:vAlign w:val="center"/>
          </w:tcPr>
          <w:p w14:paraId="13520026" w14:textId="77777777" w:rsidR="002347BC" w:rsidRPr="00632B92" w:rsidRDefault="002347BC" w:rsidP="008E3EAE">
            <w:pPr>
              <w:spacing w:after="0"/>
              <w:rPr>
                <w:b/>
                <w:bCs/>
                <w:color w:val="000000"/>
              </w:rPr>
            </w:pPr>
            <w:r w:rsidRPr="00632B92">
              <w:rPr>
                <w:b/>
                <w:bCs/>
                <w:color w:val="000000"/>
              </w:rPr>
              <w:t>Video Script</w:t>
            </w:r>
          </w:p>
        </w:tc>
      </w:tr>
      <w:tr w:rsidR="002347BC" w:rsidRPr="00632B92" w14:paraId="1CBE8167" w14:textId="77777777" w:rsidTr="00C34887">
        <w:tc>
          <w:tcPr>
            <w:tcW w:w="5220" w:type="dxa"/>
            <w:tcBorders>
              <w:top w:val="nil"/>
              <w:right w:val="nil"/>
            </w:tcBorders>
            <w:shd w:val="clear" w:color="auto" w:fill="C4BD97"/>
            <w:vAlign w:val="center"/>
          </w:tcPr>
          <w:p w14:paraId="638D7127" w14:textId="77777777" w:rsidR="002347BC" w:rsidRPr="00632B92" w:rsidRDefault="002347BC" w:rsidP="008E3EAE">
            <w:pPr>
              <w:spacing w:before="0" w:after="0"/>
              <w:jc w:val="center"/>
              <w:rPr>
                <w:rFonts w:eastAsia="MS Mincho"/>
                <w:b/>
                <w:color w:val="FFFFFF"/>
                <w:lang w:eastAsia="ja-JP"/>
              </w:rPr>
            </w:pPr>
            <w:r w:rsidRPr="00632B92">
              <w:rPr>
                <w:rFonts w:eastAsia="MS Mincho"/>
                <w:b/>
                <w:color w:val="FFFFFF"/>
                <w:lang w:eastAsia="ja-JP"/>
              </w:rPr>
              <w:t>Script</w:t>
            </w:r>
          </w:p>
        </w:tc>
        <w:tc>
          <w:tcPr>
            <w:tcW w:w="4320" w:type="dxa"/>
            <w:tcBorders>
              <w:top w:val="nil"/>
              <w:left w:val="nil"/>
            </w:tcBorders>
            <w:shd w:val="clear" w:color="auto" w:fill="C4BD97"/>
            <w:vAlign w:val="center"/>
          </w:tcPr>
          <w:p w14:paraId="443ABF02" w14:textId="77777777" w:rsidR="002347BC" w:rsidRPr="00632B92" w:rsidRDefault="00C34887" w:rsidP="008E3EAE">
            <w:pPr>
              <w:spacing w:before="0" w:after="0"/>
              <w:jc w:val="center"/>
              <w:rPr>
                <w:rFonts w:eastAsia="Arial Unicode MS"/>
                <w:b/>
                <w:color w:val="FFFFFF"/>
              </w:rPr>
            </w:pPr>
            <w:r w:rsidRPr="00632B92">
              <w:rPr>
                <w:rFonts w:eastAsia="Arial Unicode MS"/>
                <w:b/>
                <w:color w:val="FFFFFF"/>
              </w:rPr>
              <w:t>On Screen Text</w:t>
            </w:r>
          </w:p>
        </w:tc>
      </w:tr>
      <w:tr w:rsidR="002347BC" w:rsidRPr="00632B92" w14:paraId="203563AA" w14:textId="77777777" w:rsidTr="00593FB4">
        <w:trPr>
          <w:trHeight w:val="2213"/>
        </w:trPr>
        <w:tc>
          <w:tcPr>
            <w:tcW w:w="5220" w:type="dxa"/>
            <w:shd w:val="clear" w:color="auto" w:fill="EEECE1"/>
          </w:tcPr>
          <w:p w14:paraId="173286A4" w14:textId="271EBE35" w:rsidR="002347BC" w:rsidRPr="00593FB4" w:rsidRDefault="002347BC" w:rsidP="002347BC">
            <w:pPr>
              <w:rPr>
                <w:color w:val="0000FF"/>
              </w:rPr>
            </w:pPr>
            <w:r w:rsidRPr="00632B92">
              <w:rPr>
                <w:color w:val="0000FF"/>
              </w:rPr>
              <w:t xml:space="preserve">Let us pose perhaps the most important question in this process to you. How clear is your own retirement plan? If it is not crystal clear, then you are in the same boat as the majority of your clients!  Or, put another way, if you haven’t had an opportunity to define success for your retirement plan, how will you know when you have achieved success? </w:t>
            </w:r>
          </w:p>
        </w:tc>
        <w:tc>
          <w:tcPr>
            <w:tcW w:w="4320" w:type="dxa"/>
            <w:shd w:val="clear" w:color="auto" w:fill="EEECE1"/>
          </w:tcPr>
          <w:p w14:paraId="08640D56" w14:textId="04AFB634" w:rsidR="002F1DDF" w:rsidRPr="00BB61A4" w:rsidRDefault="00BB61A4" w:rsidP="008E3EAE">
            <w:pPr>
              <w:rPr>
                <w:rFonts w:eastAsia="Arial Unicode MS"/>
                <w:b/>
                <w:color w:val="0000FF"/>
              </w:rPr>
            </w:pPr>
            <w:r w:rsidRPr="00BB61A4">
              <w:rPr>
                <w:rFonts w:eastAsia="Arial Unicode MS"/>
                <w:b/>
                <w:color w:val="0000FF"/>
              </w:rPr>
              <w:t xml:space="preserve">Consider Your Own </w:t>
            </w:r>
            <w:r w:rsidR="00C679D9">
              <w:rPr>
                <w:rFonts w:eastAsia="Arial Unicode MS"/>
                <w:b/>
                <w:color w:val="0000FF"/>
              </w:rPr>
              <w:t>Retirement</w:t>
            </w:r>
          </w:p>
          <w:p w14:paraId="016041DC" w14:textId="77777777" w:rsidR="002347BC" w:rsidRPr="00BB61A4" w:rsidRDefault="00C34887" w:rsidP="00822DE7">
            <w:pPr>
              <w:pStyle w:val="ListParagraph"/>
              <w:numPr>
                <w:ilvl w:val="0"/>
                <w:numId w:val="69"/>
              </w:numPr>
              <w:contextualSpacing w:val="0"/>
              <w:rPr>
                <w:rFonts w:eastAsia="Arial Unicode MS"/>
                <w:color w:val="0000FF"/>
              </w:rPr>
            </w:pPr>
            <w:r w:rsidRPr="00BB61A4">
              <w:rPr>
                <w:rFonts w:eastAsia="Arial Unicode MS"/>
                <w:color w:val="0000FF"/>
              </w:rPr>
              <w:t>How clear is your own retirement plan?</w:t>
            </w:r>
          </w:p>
          <w:p w14:paraId="66B37692" w14:textId="77777777" w:rsidR="00C34887" w:rsidRPr="00BB61A4" w:rsidRDefault="00C34887" w:rsidP="00822DE7">
            <w:pPr>
              <w:pStyle w:val="ListParagraph"/>
              <w:numPr>
                <w:ilvl w:val="0"/>
                <w:numId w:val="69"/>
              </w:numPr>
              <w:rPr>
                <w:rFonts w:eastAsia="Arial Unicode MS"/>
                <w:color w:val="0000FF"/>
              </w:rPr>
            </w:pPr>
            <w:r w:rsidRPr="00BB61A4">
              <w:rPr>
                <w:rFonts w:eastAsia="Arial Unicode MS"/>
                <w:color w:val="0000FF"/>
              </w:rPr>
              <w:t>How will you know when you have achieved success?</w:t>
            </w:r>
          </w:p>
          <w:p w14:paraId="0DD8A026" w14:textId="77777777" w:rsidR="002F1DDF" w:rsidRPr="00632B92" w:rsidRDefault="002F1DDF" w:rsidP="008E3EAE">
            <w:pPr>
              <w:rPr>
                <w:rFonts w:eastAsia="Arial Unicode MS"/>
                <w:color w:val="0000FF"/>
              </w:rPr>
            </w:pPr>
          </w:p>
          <w:p w14:paraId="5B4FD1ED" w14:textId="77777777" w:rsidR="002F1DDF" w:rsidRPr="00632B92" w:rsidRDefault="002F1DDF" w:rsidP="00632B92">
            <w:pPr>
              <w:rPr>
                <w:rFonts w:eastAsia="Arial Unicode MS"/>
                <w:color w:val="0000FF"/>
              </w:rPr>
            </w:pPr>
          </w:p>
        </w:tc>
      </w:tr>
      <w:tr w:rsidR="002347BC" w:rsidRPr="00632B92" w14:paraId="755A0CA7" w14:textId="77777777" w:rsidTr="00C34887">
        <w:tc>
          <w:tcPr>
            <w:tcW w:w="5220" w:type="dxa"/>
            <w:shd w:val="clear" w:color="auto" w:fill="EEECE1"/>
            <w:vAlign w:val="center"/>
          </w:tcPr>
          <w:p w14:paraId="3B3D402F" w14:textId="5E77E478" w:rsidR="002347BC" w:rsidRPr="00632B92" w:rsidRDefault="00632B92" w:rsidP="00593FB4">
            <w:pPr>
              <w:rPr>
                <w:rFonts w:eastAsia="Arial Unicode MS"/>
                <w:color w:val="0000FF"/>
              </w:rPr>
            </w:pPr>
            <w:r w:rsidRPr="00632B92">
              <w:rPr>
                <w:color w:val="0000FF"/>
              </w:rPr>
              <w:t xml:space="preserve">The difference between a </w:t>
            </w:r>
            <w:r w:rsidRPr="00632B92">
              <w:rPr>
                <w:i/>
                <w:color w:val="0000FF"/>
              </w:rPr>
              <w:t>real plan</w:t>
            </w:r>
            <w:r w:rsidRPr="00632B92">
              <w:rPr>
                <w:color w:val="0000FF"/>
              </w:rPr>
              <w:t xml:space="preserve"> and a </w:t>
            </w:r>
            <w:r w:rsidRPr="00632B92">
              <w:rPr>
                <w:i/>
                <w:color w:val="0000FF"/>
              </w:rPr>
              <w:t>mere hope</w:t>
            </w:r>
            <w:r w:rsidRPr="00632B92">
              <w:rPr>
                <w:color w:val="0000FF"/>
              </w:rPr>
              <w:t xml:space="preserve"> begins with specificity. For </w:t>
            </w:r>
            <w:proofErr w:type="gramStart"/>
            <w:r w:rsidRPr="00632B92">
              <w:rPr>
                <w:color w:val="0000FF"/>
              </w:rPr>
              <w:t>example,  “</w:t>
            </w:r>
            <w:proofErr w:type="gramEnd"/>
            <w:r w:rsidRPr="00632B92">
              <w:rPr>
                <w:color w:val="0000FF"/>
              </w:rPr>
              <w:t xml:space="preserve">I want to retire in comfort” is a hope, a laudable hope to be sure, but ultimately just a </w:t>
            </w:r>
            <w:r w:rsidR="008B57F1">
              <w:rPr>
                <w:color w:val="0000FF"/>
              </w:rPr>
              <w:t xml:space="preserve">nonspecific </w:t>
            </w:r>
            <w:r w:rsidRPr="00632B92">
              <w:rPr>
                <w:color w:val="0000FF"/>
              </w:rPr>
              <w:t xml:space="preserve">hope.  Now consider this clear and specific statement, “I want to retire at age 65 with 80% of the purchasing power of my current income.”  Your own successful retirement accumulation plan begins with </w:t>
            </w:r>
            <w:r w:rsidR="00262328">
              <w:rPr>
                <w:color w:val="0000FF"/>
              </w:rPr>
              <w:t xml:space="preserve">specifics! </w:t>
            </w:r>
          </w:p>
        </w:tc>
        <w:tc>
          <w:tcPr>
            <w:tcW w:w="4320" w:type="dxa"/>
            <w:shd w:val="clear" w:color="auto" w:fill="EEECE1"/>
            <w:vAlign w:val="center"/>
          </w:tcPr>
          <w:p w14:paraId="37D4133B" w14:textId="77777777" w:rsidR="00BB61A4" w:rsidRPr="00BB61A4" w:rsidRDefault="00BB61A4" w:rsidP="00632B92">
            <w:pPr>
              <w:rPr>
                <w:rFonts w:eastAsia="Arial Unicode MS"/>
                <w:b/>
                <w:color w:val="0000FF"/>
              </w:rPr>
            </w:pPr>
            <w:r w:rsidRPr="00BB61A4">
              <w:rPr>
                <w:rFonts w:eastAsia="Arial Unicode MS"/>
                <w:b/>
                <w:color w:val="0000FF"/>
              </w:rPr>
              <w:t>Be Specific</w:t>
            </w:r>
          </w:p>
          <w:p w14:paraId="5DF29533" w14:textId="77777777" w:rsidR="00BB61A4" w:rsidRDefault="00632B92" w:rsidP="00822DE7">
            <w:pPr>
              <w:pStyle w:val="ListParagraph"/>
              <w:numPr>
                <w:ilvl w:val="0"/>
                <w:numId w:val="70"/>
              </w:numPr>
              <w:contextualSpacing w:val="0"/>
              <w:rPr>
                <w:rFonts w:eastAsia="Arial Unicode MS"/>
                <w:color w:val="0000FF"/>
              </w:rPr>
            </w:pPr>
            <w:r w:rsidRPr="00BB61A4">
              <w:rPr>
                <w:rFonts w:eastAsia="Arial Unicode MS"/>
                <w:color w:val="0000FF"/>
              </w:rPr>
              <w:t>Specificity is key to a “real plan:”</w:t>
            </w:r>
          </w:p>
          <w:p w14:paraId="3E52AC68" w14:textId="77777777" w:rsidR="00BB61A4" w:rsidRDefault="00632B92" w:rsidP="00822DE7">
            <w:pPr>
              <w:pStyle w:val="ListParagraph"/>
              <w:numPr>
                <w:ilvl w:val="1"/>
                <w:numId w:val="70"/>
              </w:numPr>
              <w:contextualSpacing w:val="0"/>
              <w:rPr>
                <w:rFonts w:eastAsia="Arial Unicode MS"/>
                <w:color w:val="0000FF"/>
              </w:rPr>
            </w:pPr>
            <w:r w:rsidRPr="00BB61A4">
              <w:rPr>
                <w:rFonts w:eastAsia="Arial Unicode MS"/>
                <w:color w:val="0000FF"/>
              </w:rPr>
              <w:t xml:space="preserve">Nonspecific </w:t>
            </w:r>
            <w:r w:rsidRPr="00BB61A4">
              <w:rPr>
                <w:rFonts w:ascii="Wingdings" w:eastAsia="Arial Unicode MS" w:hAnsi="Wingdings"/>
                <w:color w:val="0000FF"/>
              </w:rPr>
              <w:t></w:t>
            </w:r>
            <w:r w:rsidRPr="00BB61A4">
              <w:rPr>
                <w:rFonts w:eastAsia="Arial Unicode MS"/>
                <w:color w:val="0000FF"/>
              </w:rPr>
              <w:t xml:space="preserve"> “I want to retire in comfort”</w:t>
            </w:r>
          </w:p>
          <w:p w14:paraId="04ACD452" w14:textId="77777777" w:rsidR="002347BC" w:rsidRPr="00BB61A4" w:rsidRDefault="00632B92" w:rsidP="00822DE7">
            <w:pPr>
              <w:pStyle w:val="ListParagraph"/>
              <w:numPr>
                <w:ilvl w:val="1"/>
                <w:numId w:val="70"/>
              </w:numPr>
              <w:contextualSpacing w:val="0"/>
              <w:rPr>
                <w:rFonts w:eastAsia="Arial Unicode MS"/>
                <w:color w:val="0000FF"/>
              </w:rPr>
            </w:pPr>
            <w:r w:rsidRPr="00BB61A4">
              <w:rPr>
                <w:rFonts w:eastAsia="Arial Unicode MS"/>
                <w:color w:val="0000FF"/>
              </w:rPr>
              <w:t xml:space="preserve">Specific </w:t>
            </w:r>
            <w:r w:rsidRPr="00BB61A4">
              <w:rPr>
                <w:rFonts w:ascii="Wingdings" w:eastAsia="Arial Unicode MS" w:hAnsi="Wingdings"/>
                <w:color w:val="0000FF"/>
              </w:rPr>
              <w:t></w:t>
            </w:r>
            <w:r w:rsidRPr="00BB61A4">
              <w:rPr>
                <w:rFonts w:eastAsia="Arial Unicode MS"/>
                <w:color w:val="0000FF"/>
              </w:rPr>
              <w:t xml:space="preserve"> “I want to retire at age 65 with 80% of the purchasing power of my current income.”</w:t>
            </w:r>
          </w:p>
        </w:tc>
      </w:tr>
    </w:tbl>
    <w:p w14:paraId="1AA44BB8" w14:textId="77777777" w:rsidR="00305FE1" w:rsidRPr="00F91ED9" w:rsidRDefault="00305FE1" w:rsidP="00305FE1">
      <w:r w:rsidRPr="00F91ED9">
        <w:t xml:space="preserve">If you look up the word "goal" in Dictionary.com, you will see it defined as: </w:t>
      </w:r>
    </w:p>
    <w:p w14:paraId="2BF99ECC" w14:textId="3884C84E" w:rsidR="00305FE1" w:rsidRPr="00E91BF5" w:rsidRDefault="00305FE1" w:rsidP="00305FE1">
      <w:pPr>
        <w:ind w:left="360"/>
        <w:rPr>
          <w:i/>
        </w:rPr>
      </w:pPr>
      <w:r w:rsidRPr="00E91BF5">
        <w:rPr>
          <w:i/>
        </w:rPr>
        <w:lastRenderedPageBreak/>
        <w:t xml:space="preserve">The state of </w:t>
      </w:r>
      <w:r w:rsidR="00D32523" w:rsidRPr="00E91BF5">
        <w:rPr>
          <w:i/>
        </w:rPr>
        <w:t>affairs that a plan is intended to achieve and that (when achieved) terminate</w:t>
      </w:r>
      <w:r w:rsidR="000A27FE">
        <w:rPr>
          <w:i/>
        </w:rPr>
        <w:t>s the</w:t>
      </w:r>
      <w:r w:rsidRPr="00E91BF5">
        <w:rPr>
          <w:i/>
        </w:rPr>
        <w:t xml:space="preserve"> behavior intended to achieve it.  </w:t>
      </w:r>
    </w:p>
    <w:p w14:paraId="224DC07E" w14:textId="77777777" w:rsidR="00305FE1" w:rsidRPr="00F91ED9" w:rsidRDefault="00305FE1" w:rsidP="001F3D42">
      <w:pPr>
        <w:spacing w:after="0"/>
      </w:pPr>
      <w:r w:rsidRPr="00F91ED9">
        <w:t xml:space="preserve">Thus, a goal must contain sufficient "specificity" to allow a person to: 1) identify an appropriate plan of action; and 2) recognize when it is achieved.  </w:t>
      </w:r>
    </w:p>
    <w:p w14:paraId="1BDE6716" w14:textId="77777777" w:rsidR="00305FE1" w:rsidRPr="00F91ED9" w:rsidRDefault="00305FE1" w:rsidP="001F3D42">
      <w:pPr>
        <w:spacing w:after="0"/>
      </w:pPr>
      <w:r w:rsidRPr="00F91ED9">
        <w:t xml:space="preserve">However, when you begin conversations with clients or prospects about their individual retirement situations, they will typically describe their retirement goals with words such as, “I’d like to maintain my lifestyle; be comfortable, so to speak.”  In other words, their response is likely to be nonspecific and inadequate for the purpose of creating a plan of action.  </w:t>
      </w:r>
    </w:p>
    <w:p w14:paraId="3E256B25" w14:textId="77777777" w:rsidR="00822DE7" w:rsidRDefault="00305FE1" w:rsidP="00305FE1">
      <w:r w:rsidRPr="00F91ED9">
        <w:t>As you work with pre-retirees around this very important consideration, it is imperative that</w:t>
      </w:r>
      <w:r w:rsidR="00822DE7">
        <w:t xml:space="preserve"> you help them achieve clarity:</w:t>
      </w:r>
    </w:p>
    <w:p w14:paraId="3C8C2E1A" w14:textId="77777777" w:rsidR="00822DE7" w:rsidRDefault="00822DE7" w:rsidP="00822DE7">
      <w:pPr>
        <w:pStyle w:val="ListParagraph"/>
        <w:numPr>
          <w:ilvl w:val="0"/>
          <w:numId w:val="70"/>
        </w:numPr>
        <w:ind w:left="1080"/>
        <w:contextualSpacing w:val="0"/>
      </w:pPr>
      <w:r>
        <w:rPr>
          <w:noProof/>
          <w:lang w:eastAsia="zh-CN"/>
        </w:rPr>
        <mc:AlternateContent>
          <mc:Choice Requires="wps">
            <w:drawing>
              <wp:anchor distT="0" distB="0" distL="114300" distR="114300" simplePos="0" relativeHeight="251653120" behindDoc="0" locked="0" layoutInCell="1" allowOverlap="1" wp14:anchorId="39B93352" wp14:editId="6E2A03A7">
                <wp:simplePos x="0" y="0"/>
                <wp:positionH relativeFrom="column">
                  <wp:posOffset>3314700</wp:posOffset>
                </wp:positionH>
                <wp:positionV relativeFrom="paragraph">
                  <wp:posOffset>133350</wp:posOffset>
                </wp:positionV>
                <wp:extent cx="2628900" cy="1976755"/>
                <wp:effectExtent l="0" t="0" r="38100" b="29845"/>
                <wp:wrapSquare wrapText="bothSides"/>
                <wp:docPr id="27" name="Text Box 27"/>
                <wp:cNvGraphicFramePr/>
                <a:graphic xmlns:a="http://schemas.openxmlformats.org/drawingml/2006/main">
                  <a:graphicData uri="http://schemas.microsoft.com/office/word/2010/wordprocessingShape">
                    <wps:wsp>
                      <wps:cNvSpPr txBox="1"/>
                      <wps:spPr>
                        <a:xfrm>
                          <a:off x="0" y="0"/>
                          <a:ext cx="2628900" cy="1976755"/>
                        </a:xfrm>
                        <a:prstGeom prst="rect">
                          <a:avLst/>
                        </a:prstGeom>
                        <a:solidFill>
                          <a:srgbClr val="DBD9B9"/>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1DD996" w14:textId="77777777" w:rsidR="004507AE" w:rsidRPr="00593FB4" w:rsidRDefault="004507AE" w:rsidP="001A1D74">
                            <w:pPr>
                              <w:rPr>
                                <w:rStyle w:val="Strong"/>
                                <w:i/>
                              </w:rPr>
                            </w:pPr>
                            <w:r w:rsidRPr="00593FB4">
                              <w:rPr>
                                <w:rStyle w:val="Strong"/>
                                <w:i/>
                              </w:rPr>
                              <w:t xml:space="preserve">“The reason most people never reach their goals is that they don't define them, or ever seriously consider them as believable or achievable. Winners can tell you where they are going, what they plan to do along the way, and who will be sharing the adventure with them.”  </w:t>
                            </w:r>
                          </w:p>
                          <w:p w14:paraId="4731292E" w14:textId="77777777" w:rsidR="004507AE" w:rsidRDefault="004507AE" w:rsidP="001A1D74">
                            <w:pPr>
                              <w:ind w:left="720"/>
                            </w:pPr>
                            <w:r w:rsidRPr="00F91ED9">
                              <w:t>Den</w:t>
                            </w:r>
                            <w:r>
                              <w:t>n</w:t>
                            </w:r>
                            <w:r w:rsidRPr="00F91ED9">
                              <w:t>is Watley – Senior Vice President, Kansas City Chiefs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B93352" id="_x0000_t202" coordsize="21600,21600" o:spt="202" path="m0,0l0,21600,21600,21600,21600,0xe">
                <v:stroke joinstyle="miter"/>
                <v:path gradientshapeok="t" o:connecttype="rect"/>
              </v:shapetype>
              <v:shape id="Text_x0020_Box_x0020_27" o:spid="_x0000_s1026" type="#_x0000_t202" style="position:absolute;left:0;text-align:left;margin-left:261pt;margin-top:10.5pt;width:207pt;height:15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" fillcolor="#dbd9b9" strokecolor="black [3213]">
                <v:textbox>
                  <w:txbxContent>
                    <w:p w14:paraId="4F1DD996" w14:textId="77777777" w:rsidR="004507AE" w:rsidRPr="00593FB4" w:rsidRDefault="004507AE" w:rsidP="001A1D74">
                      <w:pPr>
                        <w:rPr>
                          <w:rStyle w:val="Strong"/>
                          <w:i/>
                        </w:rPr>
                      </w:pPr>
                      <w:r w:rsidRPr="00593FB4">
                        <w:rPr>
                          <w:rStyle w:val="Strong"/>
                          <w:i/>
                        </w:rPr>
                        <w:t xml:space="preserve">“The reason most people never reach their goals is that they don't define them, or ever seriously consider them as believable or achievable. Winners can tell you where they are going, what they plan to do along the way, and who will be sharing the adventure with them.”  </w:t>
                      </w:r>
                    </w:p>
                    <w:p w14:paraId="4731292E" w14:textId="77777777" w:rsidR="004507AE" w:rsidRDefault="004507AE" w:rsidP="001A1D74">
                      <w:pPr>
                        <w:ind w:left="720"/>
                      </w:pPr>
                      <w:r w:rsidRPr="00F91ED9">
                        <w:t>Den</w:t>
                      </w:r>
                      <w:r>
                        <w:t>n</w:t>
                      </w:r>
                      <w:r w:rsidRPr="00F91ED9">
                        <w:t>is Watley – Senior Vice President, Kansas City Chiefs</w:t>
                      </w:r>
                    </w:p>
                  </w:txbxContent>
                </v:textbox>
                <w10:wrap type="square"/>
              </v:shape>
            </w:pict>
          </mc:Fallback>
        </mc:AlternateContent>
      </w:r>
      <w:r w:rsidR="00305FE1" w:rsidRPr="00F91ED9">
        <w:t xml:space="preserve">What specific objectives are there around the lifestyle they would like to accomplish?  </w:t>
      </w:r>
    </w:p>
    <w:p w14:paraId="68D1761B" w14:textId="77777777" w:rsidR="00822DE7" w:rsidRDefault="00305FE1" w:rsidP="00822DE7">
      <w:pPr>
        <w:pStyle w:val="ListParagraph"/>
        <w:numPr>
          <w:ilvl w:val="0"/>
          <w:numId w:val="70"/>
        </w:numPr>
        <w:ind w:left="1080"/>
        <w:contextualSpacing w:val="0"/>
      </w:pPr>
      <w:r w:rsidRPr="00822DE7">
        <w:t>How much money, in today’s dollars, must they accumulate to meet their needs?</w:t>
      </w:r>
      <w:r w:rsidRPr="00F91ED9">
        <w:t xml:space="preserve"> </w:t>
      </w:r>
    </w:p>
    <w:p w14:paraId="46ACE1C5" w14:textId="77777777" w:rsidR="00822DE7" w:rsidRDefault="00305FE1" w:rsidP="00822DE7">
      <w:pPr>
        <w:pStyle w:val="ListParagraph"/>
        <w:numPr>
          <w:ilvl w:val="0"/>
          <w:numId w:val="70"/>
        </w:numPr>
        <w:ind w:left="1080"/>
        <w:contextualSpacing w:val="0"/>
      </w:pPr>
      <w:r w:rsidRPr="00F91ED9">
        <w:t xml:space="preserve">When and where do they plan to live during retirement? </w:t>
      </w:r>
    </w:p>
    <w:p w14:paraId="715E14FC" w14:textId="77777777" w:rsidR="00AD50C6" w:rsidRDefault="00305FE1" w:rsidP="00822DE7">
      <w:r w:rsidRPr="00F91ED9">
        <w:t xml:space="preserve">These and many more specific </w:t>
      </w:r>
      <w:r>
        <w:t>considerations</w:t>
      </w:r>
      <w:r w:rsidRPr="00F91ED9">
        <w:t xml:space="preserve"> make up their individual retirement reality. </w:t>
      </w:r>
      <w:r>
        <w:t xml:space="preserve">Once clarity is achieved, that clarity </w:t>
      </w:r>
      <w:r w:rsidR="00441D23">
        <w:t xml:space="preserve">becomes your client’s clear retirement plan and </w:t>
      </w:r>
      <w:r>
        <w:t xml:space="preserve">should </w:t>
      </w:r>
      <w:r w:rsidR="00152C67">
        <w:t xml:space="preserve">be </w:t>
      </w:r>
      <w:r w:rsidR="00441D23">
        <w:t xml:space="preserve">formalized in writing. </w:t>
      </w:r>
    </w:p>
    <w:p w14:paraId="41580042" w14:textId="77777777" w:rsidR="00AD50C6" w:rsidRDefault="00AD50C6" w:rsidP="001F3D42">
      <w:pPr>
        <w:spacing w:before="0" w:after="0"/>
      </w:pPr>
    </w:p>
    <w:p w14:paraId="680EAF6D" w14:textId="77777777" w:rsidR="00EF587F" w:rsidRDefault="00EF587F">
      <w:pPr>
        <w:spacing w:before="0" w:after="0"/>
        <w:rPr>
          <w:b/>
          <w:bCs/>
          <w:iCs/>
          <w:color w:val="17365D"/>
          <w:sz w:val="28"/>
          <w:szCs w:val="12"/>
        </w:rPr>
      </w:pPr>
      <w:r>
        <w:br w:type="page"/>
      </w:r>
    </w:p>
    <w:p w14:paraId="166CE56E" w14:textId="77777777" w:rsidR="00B72678" w:rsidRDefault="00544294" w:rsidP="00AD50C6">
      <w:pPr>
        <w:pStyle w:val="Heading2"/>
      </w:pPr>
      <w:r>
        <w:lastRenderedPageBreak/>
        <w:t xml:space="preserve">Key Issue </w:t>
      </w:r>
      <w:r w:rsidR="00DB2306">
        <w:t>2 –</w:t>
      </w:r>
      <w:r w:rsidR="001B36BE">
        <w:t xml:space="preserve"> </w:t>
      </w:r>
      <w:r>
        <w:t xml:space="preserve">Sufficient Savings </w:t>
      </w:r>
    </w:p>
    <w:p w14:paraId="6AAA77F6" w14:textId="77777777" w:rsidR="002347BC" w:rsidRDefault="00DB2306" w:rsidP="002347BC">
      <w:pPr>
        <w:rPr>
          <w:b/>
          <w:color w:val="FF0000"/>
        </w:rPr>
      </w:pPr>
      <w:r>
        <w:t xml:space="preserve"> </w:t>
      </w:r>
    </w:p>
    <w:p w14:paraId="28C911C1" w14:textId="77777777" w:rsidR="002347BC" w:rsidRDefault="00822DE7" w:rsidP="002347BC">
      <w:pPr>
        <w:jc w:val="center"/>
        <w:rPr>
          <w:b/>
          <w:color w:val="FF0000"/>
        </w:rPr>
      </w:pPr>
      <w:r>
        <w:rPr>
          <w:b/>
          <w:noProof/>
          <w:color w:val="FF0000"/>
          <w:lang w:eastAsia="zh-CN"/>
        </w:rPr>
        <w:drawing>
          <wp:inline distT="0" distB="0" distL="0" distR="0" wp14:anchorId="49B3A6B6" wp14:editId="5CDB03B8">
            <wp:extent cx="5308600" cy="2946400"/>
            <wp:effectExtent l="0" t="0" r="0" b="0"/>
            <wp:docPr id="28" name="Picture 11" descr="Description: Macintosh HD:Users:ricktyler:Desktop:Launch_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Macintosh HD:Users:ricktyler:Desktop:Launch_Vide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600" cy="2946400"/>
                    </a:xfrm>
                    <a:prstGeom prst="rect">
                      <a:avLst/>
                    </a:prstGeom>
                    <a:noFill/>
                    <a:ln>
                      <a:noFill/>
                    </a:ln>
                  </pic:spPr>
                </pic:pic>
              </a:graphicData>
            </a:graphic>
          </wp:inline>
        </w:drawing>
      </w:r>
    </w:p>
    <w:p w14:paraId="44BAD67B" w14:textId="77777777" w:rsidR="002347BC" w:rsidRDefault="002347BC" w:rsidP="002347BC">
      <w:pPr>
        <w:jc w:val="center"/>
        <w:rPr>
          <w:b/>
          <w:color w:val="FF0000"/>
        </w:rPr>
      </w:pPr>
    </w:p>
    <w:tbl>
      <w:tblPr>
        <w:tblW w:w="972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1E0" w:firstRow="1" w:lastRow="1" w:firstColumn="1" w:lastColumn="1" w:noHBand="0" w:noVBand="0"/>
      </w:tblPr>
      <w:tblGrid>
        <w:gridCol w:w="4950"/>
        <w:gridCol w:w="4770"/>
      </w:tblGrid>
      <w:tr w:rsidR="00822DE7" w:rsidRPr="00396697" w14:paraId="29824400" w14:textId="77777777" w:rsidTr="00D62F3C">
        <w:tc>
          <w:tcPr>
            <w:tcW w:w="9720" w:type="dxa"/>
            <w:gridSpan w:val="2"/>
            <w:tcBorders>
              <w:bottom w:val="nil"/>
            </w:tcBorders>
            <w:shd w:val="clear" w:color="auto" w:fill="C4BD97"/>
            <w:vAlign w:val="center"/>
          </w:tcPr>
          <w:p w14:paraId="4EC2FD75" w14:textId="77777777" w:rsidR="00822DE7" w:rsidRPr="009B4E97" w:rsidRDefault="00822DE7" w:rsidP="00822DE7">
            <w:pPr>
              <w:rPr>
                <w:b/>
                <w:bCs/>
                <w:color w:val="000000"/>
              </w:rPr>
            </w:pPr>
            <w:r w:rsidRPr="009B4E97">
              <w:rPr>
                <w:b/>
                <w:bCs/>
                <w:color w:val="000000"/>
              </w:rPr>
              <w:t>Video Script</w:t>
            </w:r>
          </w:p>
        </w:tc>
      </w:tr>
      <w:tr w:rsidR="00822DE7" w:rsidRPr="00F2482F" w14:paraId="66E6C072" w14:textId="77777777" w:rsidTr="00D62F3C">
        <w:tc>
          <w:tcPr>
            <w:tcW w:w="4950" w:type="dxa"/>
            <w:tcBorders>
              <w:top w:val="nil"/>
              <w:right w:val="nil"/>
            </w:tcBorders>
            <w:shd w:val="clear" w:color="auto" w:fill="C4BD97"/>
            <w:vAlign w:val="center"/>
          </w:tcPr>
          <w:p w14:paraId="05778D52" w14:textId="77777777" w:rsidR="00822DE7" w:rsidRPr="009B4E97" w:rsidRDefault="00822DE7" w:rsidP="00822DE7">
            <w:pPr>
              <w:jc w:val="center"/>
              <w:rPr>
                <w:rFonts w:eastAsia="MS Mincho"/>
                <w:b/>
                <w:color w:val="FFFFFF"/>
                <w:lang w:eastAsia="ja-JP"/>
              </w:rPr>
            </w:pPr>
            <w:r w:rsidRPr="009B4E97">
              <w:rPr>
                <w:rFonts w:eastAsia="MS Mincho"/>
                <w:b/>
                <w:color w:val="FFFFFF"/>
                <w:lang w:eastAsia="ja-JP"/>
              </w:rPr>
              <w:t>Script</w:t>
            </w:r>
          </w:p>
        </w:tc>
        <w:tc>
          <w:tcPr>
            <w:tcW w:w="4770" w:type="dxa"/>
            <w:tcBorders>
              <w:top w:val="nil"/>
              <w:left w:val="nil"/>
            </w:tcBorders>
            <w:shd w:val="clear" w:color="auto" w:fill="C4BD97"/>
            <w:vAlign w:val="center"/>
          </w:tcPr>
          <w:p w14:paraId="567523AE" w14:textId="77777777" w:rsidR="00822DE7" w:rsidRPr="009B4E97" w:rsidRDefault="00822DE7" w:rsidP="00822DE7">
            <w:pPr>
              <w:jc w:val="center"/>
              <w:rPr>
                <w:rFonts w:eastAsia="Arial Unicode MS"/>
                <w:b/>
                <w:color w:val="FFFFFF"/>
              </w:rPr>
            </w:pPr>
            <w:r w:rsidRPr="009B4E97">
              <w:rPr>
                <w:rFonts w:eastAsia="Arial Unicode MS"/>
                <w:b/>
                <w:color w:val="FFFFFF"/>
              </w:rPr>
              <w:t>On Screen Text</w:t>
            </w:r>
          </w:p>
        </w:tc>
      </w:tr>
      <w:tr w:rsidR="00822DE7" w:rsidRPr="00396697" w14:paraId="6C1D1820" w14:textId="77777777" w:rsidTr="00D62F3C">
        <w:tc>
          <w:tcPr>
            <w:tcW w:w="4950" w:type="dxa"/>
            <w:shd w:val="clear" w:color="auto" w:fill="EEECE1"/>
          </w:tcPr>
          <w:p w14:paraId="3D71C761" w14:textId="77777777" w:rsidR="00D62F3C" w:rsidRPr="00D62F3C" w:rsidRDefault="00D62F3C" w:rsidP="00D62F3C">
            <w:pPr>
              <w:rPr>
                <w:color w:val="0000FF"/>
              </w:rPr>
            </w:pPr>
            <w:r w:rsidRPr="00D62F3C">
              <w:rPr>
                <w:color w:val="0000FF"/>
              </w:rPr>
              <w:t xml:space="preserve">The failure to save adequately for retirement is a national epidemic. The Employee Benefit Research Institute’s </w:t>
            </w:r>
            <w:r w:rsidRPr="00D62F3C">
              <w:rPr>
                <w:i/>
                <w:color w:val="0000FF"/>
              </w:rPr>
              <w:t>Annual Retirement Confidence</w:t>
            </w:r>
            <w:r w:rsidRPr="00D62F3C">
              <w:rPr>
                <w:color w:val="0000FF"/>
              </w:rPr>
              <w:t xml:space="preserve"> Survey</w:t>
            </w:r>
            <w:r w:rsidRPr="00D62F3C">
              <w:rPr>
                <w:i/>
                <w:iCs/>
                <w:color w:val="0000FF"/>
                <w:vertAlign w:val="superscript"/>
              </w:rPr>
              <w:t>®</w:t>
            </w:r>
            <w:r w:rsidRPr="00D62F3C">
              <w:rPr>
                <w:color w:val="0000FF"/>
              </w:rPr>
              <w:t xml:space="preserve"> found that only 69 percent of workers surveyed felt they were “doing a good job of preparing financially for retirement.”  </w:t>
            </w:r>
          </w:p>
          <w:p w14:paraId="7EE05128" w14:textId="14219CCF" w:rsidR="00822DE7" w:rsidRPr="00196F5D" w:rsidRDefault="00D62F3C" w:rsidP="00D62F3C">
            <w:pPr>
              <w:rPr>
                <w:color w:val="0000FF"/>
              </w:rPr>
            </w:pPr>
            <w:r w:rsidRPr="00D62F3C">
              <w:rPr>
                <w:color w:val="0000FF"/>
              </w:rPr>
              <w:t xml:space="preserve">At the same time, more than half those surveyed say they’ve saved </w:t>
            </w:r>
            <w:r w:rsidRPr="00D62F3C">
              <w:rPr>
                <w:b/>
                <w:bCs/>
                <w:color w:val="0000FF"/>
              </w:rPr>
              <w:t xml:space="preserve">less than $25,000 </w:t>
            </w:r>
            <w:r w:rsidRPr="00D62F3C">
              <w:rPr>
                <w:color w:val="0000FF"/>
              </w:rPr>
              <w:t xml:space="preserve">toward their retirement, excluding home equity and defined benefit plans. </w:t>
            </w:r>
          </w:p>
        </w:tc>
        <w:tc>
          <w:tcPr>
            <w:tcW w:w="4770" w:type="dxa"/>
            <w:shd w:val="clear" w:color="auto" w:fill="EEECE1"/>
          </w:tcPr>
          <w:p w14:paraId="4416D64A" w14:textId="65385DCD" w:rsidR="006377A0" w:rsidRPr="0041615D" w:rsidRDefault="006377A0" w:rsidP="00822DE7">
            <w:pPr>
              <w:pStyle w:val="ListParagraph"/>
              <w:ind w:left="0"/>
              <w:contextualSpacing w:val="0"/>
              <w:rPr>
                <w:rFonts w:eastAsia="Arial Unicode MS"/>
                <w:b/>
                <w:color w:val="0000FF"/>
              </w:rPr>
            </w:pPr>
            <w:r>
              <w:rPr>
                <w:rFonts w:eastAsia="Arial Unicode MS"/>
                <w:b/>
                <w:color w:val="0000FF"/>
              </w:rPr>
              <w:t>A National Epidemic*</w:t>
            </w:r>
          </w:p>
          <w:p w14:paraId="5CD5B465" w14:textId="77777777" w:rsidR="000576D6" w:rsidRPr="000576D6" w:rsidRDefault="000576D6" w:rsidP="000576D6">
            <w:pPr>
              <w:ind w:left="360"/>
              <w:rPr>
                <w:rFonts w:eastAsia="Arial Unicode MS"/>
                <w:color w:val="0000FF"/>
              </w:rPr>
            </w:pPr>
          </w:p>
          <w:p w14:paraId="2CBDBEB2" w14:textId="0922633A" w:rsidR="006377A0" w:rsidRDefault="006377A0" w:rsidP="006873C4">
            <w:pPr>
              <w:pStyle w:val="ListParagraph"/>
              <w:numPr>
                <w:ilvl w:val="0"/>
                <w:numId w:val="71"/>
              </w:numPr>
              <w:contextualSpacing w:val="0"/>
              <w:rPr>
                <w:rFonts w:eastAsia="Arial Unicode MS"/>
                <w:color w:val="0000FF"/>
              </w:rPr>
            </w:pPr>
            <w:r>
              <w:rPr>
                <w:rFonts w:eastAsia="Arial Unicode MS"/>
                <w:color w:val="0000FF"/>
              </w:rPr>
              <w:t>69% of workers felt they were “doing a good job of preparing financially for retirement.”</w:t>
            </w:r>
          </w:p>
          <w:p w14:paraId="6AC9DAA4" w14:textId="77777777" w:rsidR="000576D6" w:rsidRPr="000576D6" w:rsidRDefault="000576D6" w:rsidP="000576D6">
            <w:pPr>
              <w:rPr>
                <w:rFonts w:eastAsia="Arial Unicode MS"/>
                <w:color w:val="0000FF"/>
              </w:rPr>
            </w:pPr>
          </w:p>
          <w:p w14:paraId="1C1AF2EF" w14:textId="77777777" w:rsidR="006377A0" w:rsidRDefault="006377A0" w:rsidP="006873C4">
            <w:pPr>
              <w:pStyle w:val="ListParagraph"/>
              <w:numPr>
                <w:ilvl w:val="0"/>
                <w:numId w:val="71"/>
              </w:numPr>
              <w:rPr>
                <w:rFonts w:eastAsia="Arial Unicode MS"/>
                <w:color w:val="0000FF"/>
              </w:rPr>
            </w:pPr>
            <w:r>
              <w:rPr>
                <w:rFonts w:eastAsia="Arial Unicode MS"/>
                <w:color w:val="0000FF"/>
              </w:rPr>
              <w:t xml:space="preserve">Yet over 50% said they had saved </w:t>
            </w:r>
            <w:r w:rsidRPr="006377A0">
              <w:rPr>
                <w:rFonts w:eastAsia="Arial Unicode MS"/>
                <w:b/>
                <w:i/>
                <w:color w:val="0000FF"/>
              </w:rPr>
              <w:t>less than $25,000</w:t>
            </w:r>
            <w:r>
              <w:rPr>
                <w:rFonts w:eastAsia="Arial Unicode MS"/>
                <w:color w:val="0000FF"/>
              </w:rPr>
              <w:t xml:space="preserve"> toward retirement</w:t>
            </w:r>
          </w:p>
          <w:p w14:paraId="1785A87C" w14:textId="77777777" w:rsidR="002809DA" w:rsidRDefault="002809DA" w:rsidP="002809DA">
            <w:pPr>
              <w:ind w:left="1440"/>
              <w:rPr>
                <w:rFonts w:eastAsia="Arial Unicode MS"/>
                <w:color w:val="0000FF"/>
                <w:sz w:val="16"/>
                <w:szCs w:val="16"/>
              </w:rPr>
            </w:pPr>
          </w:p>
          <w:p w14:paraId="7E966E94" w14:textId="52320C14" w:rsidR="002809DA" w:rsidRPr="0041615D" w:rsidRDefault="002809DA" w:rsidP="0041615D">
            <w:pPr>
              <w:ind w:left="-25"/>
              <w:rPr>
                <w:rFonts w:eastAsia="Arial Unicode MS"/>
                <w:i/>
                <w:color w:val="0000FF"/>
                <w:sz w:val="16"/>
                <w:szCs w:val="16"/>
              </w:rPr>
            </w:pPr>
            <w:r w:rsidRPr="0041615D">
              <w:rPr>
                <w:rFonts w:eastAsia="Arial Unicode MS"/>
                <w:i/>
                <w:color w:val="0000FF"/>
                <w:sz w:val="16"/>
                <w:szCs w:val="16"/>
              </w:rPr>
              <w:t>*Annual Retirement Confidence Survey, by the Employee Benefit Research Institute</w:t>
            </w:r>
            <w:r w:rsidR="0090582C" w:rsidRPr="0041615D">
              <w:rPr>
                <w:rFonts w:eastAsia="Arial Unicode MS"/>
                <w:i/>
                <w:color w:val="0000FF"/>
                <w:sz w:val="16"/>
                <w:szCs w:val="16"/>
              </w:rPr>
              <w:t>®</w:t>
            </w:r>
          </w:p>
        </w:tc>
      </w:tr>
      <w:tr w:rsidR="00822DE7" w:rsidRPr="00396697" w14:paraId="6170792B" w14:textId="77777777" w:rsidTr="00D62F3C">
        <w:tc>
          <w:tcPr>
            <w:tcW w:w="4950" w:type="dxa"/>
            <w:shd w:val="clear" w:color="auto" w:fill="EEECE1"/>
          </w:tcPr>
          <w:p w14:paraId="620EABDD" w14:textId="4F1B4BD1" w:rsidR="006377A0" w:rsidRPr="00D62F3C" w:rsidRDefault="006377A0" w:rsidP="006377A0">
            <w:pPr>
              <w:rPr>
                <w:color w:val="0000FF"/>
              </w:rPr>
            </w:pPr>
            <w:r w:rsidRPr="00D62F3C">
              <w:rPr>
                <w:color w:val="0000FF"/>
              </w:rPr>
              <w:t xml:space="preserve">Looking at your own retirement plan, how will you determine how much </w:t>
            </w:r>
            <w:r w:rsidR="00177C96">
              <w:rPr>
                <w:color w:val="0000FF"/>
              </w:rPr>
              <w:t>you will need at retirement</w:t>
            </w:r>
            <w:r w:rsidRPr="00D62F3C">
              <w:rPr>
                <w:color w:val="0000FF"/>
              </w:rPr>
              <w:t xml:space="preserve">?  How will you calculate the amount </w:t>
            </w:r>
            <w:r w:rsidR="00177C96">
              <w:rPr>
                <w:color w:val="0000FF"/>
              </w:rPr>
              <w:t xml:space="preserve">to save </w:t>
            </w:r>
            <w:r w:rsidR="007E35C9">
              <w:rPr>
                <w:color w:val="0000FF"/>
              </w:rPr>
              <w:t>on a regular basis</w:t>
            </w:r>
            <w:r w:rsidR="00177C96">
              <w:rPr>
                <w:color w:val="0000FF"/>
              </w:rPr>
              <w:t xml:space="preserve"> </w:t>
            </w:r>
            <w:r w:rsidR="0041615D">
              <w:rPr>
                <w:color w:val="0000FF"/>
              </w:rPr>
              <w:t xml:space="preserve">to </w:t>
            </w:r>
            <w:r w:rsidRPr="00D62F3C">
              <w:rPr>
                <w:color w:val="0000FF"/>
              </w:rPr>
              <w:t xml:space="preserve">fund your own retirement? When you can answer </w:t>
            </w:r>
            <w:r w:rsidRPr="00D62F3C">
              <w:rPr>
                <w:color w:val="0000FF"/>
              </w:rPr>
              <w:lastRenderedPageBreak/>
              <w:t>those personal questions confidently</w:t>
            </w:r>
            <w:r w:rsidR="0041615D">
              <w:rPr>
                <w:color w:val="0000FF"/>
              </w:rPr>
              <w:t>,</w:t>
            </w:r>
            <w:r w:rsidRPr="00D62F3C">
              <w:rPr>
                <w:color w:val="0000FF"/>
              </w:rPr>
              <w:t xml:space="preserve"> you can guide your clients with confidence as well.</w:t>
            </w:r>
          </w:p>
          <w:p w14:paraId="33338746" w14:textId="490F42B5" w:rsidR="00822DE7" w:rsidRPr="00196F5D" w:rsidRDefault="006377A0" w:rsidP="006377A0">
            <w:pPr>
              <w:rPr>
                <w:color w:val="0000FF"/>
              </w:rPr>
            </w:pPr>
            <w:r w:rsidRPr="00D62F3C">
              <w:rPr>
                <w:color w:val="0000FF"/>
              </w:rPr>
              <w:t>In this key issue - Key Issue 2 - we will suggest strategies for calculating sufficient savings. The primary strategy is courage - the courage to take responsibility for one’s own retirement and by doing so, take specific steps toward sufficient savings.</w:t>
            </w:r>
          </w:p>
        </w:tc>
        <w:tc>
          <w:tcPr>
            <w:tcW w:w="4770" w:type="dxa"/>
            <w:shd w:val="clear" w:color="auto" w:fill="EEECE1"/>
          </w:tcPr>
          <w:p w14:paraId="0C673125" w14:textId="77777777" w:rsidR="00822DE7" w:rsidRPr="00887923" w:rsidRDefault="00887923" w:rsidP="00F93A4C">
            <w:pPr>
              <w:pStyle w:val="ListParagraph"/>
              <w:ind w:left="0"/>
              <w:contextualSpacing w:val="0"/>
              <w:rPr>
                <w:rFonts w:eastAsia="Arial Unicode MS"/>
                <w:b/>
                <w:color w:val="0000FF"/>
              </w:rPr>
            </w:pPr>
            <w:r w:rsidRPr="00887923">
              <w:rPr>
                <w:rFonts w:eastAsia="Arial Unicode MS"/>
                <w:b/>
                <w:color w:val="0000FF"/>
              </w:rPr>
              <w:lastRenderedPageBreak/>
              <w:t>Considering Your Retirement Plan</w:t>
            </w:r>
          </w:p>
          <w:p w14:paraId="04E36DAD" w14:textId="259A995D" w:rsidR="00887923" w:rsidRDefault="00887923" w:rsidP="006873C4">
            <w:pPr>
              <w:pStyle w:val="ListParagraph"/>
              <w:numPr>
                <w:ilvl w:val="0"/>
                <w:numId w:val="72"/>
              </w:numPr>
              <w:contextualSpacing w:val="0"/>
              <w:rPr>
                <w:rFonts w:eastAsia="Arial Unicode MS"/>
                <w:color w:val="0000FF"/>
              </w:rPr>
            </w:pPr>
            <w:r>
              <w:rPr>
                <w:rFonts w:eastAsia="Arial Unicode MS"/>
                <w:color w:val="0000FF"/>
              </w:rPr>
              <w:t xml:space="preserve">How will you determine how much </w:t>
            </w:r>
            <w:r w:rsidR="00177C96">
              <w:rPr>
                <w:rFonts w:eastAsia="Arial Unicode MS"/>
                <w:color w:val="0000FF"/>
              </w:rPr>
              <w:t>you will need when you retire</w:t>
            </w:r>
            <w:r>
              <w:rPr>
                <w:rFonts w:eastAsia="Arial Unicode MS"/>
                <w:color w:val="0000FF"/>
              </w:rPr>
              <w:t>?</w:t>
            </w:r>
          </w:p>
          <w:p w14:paraId="649FE233" w14:textId="77777777" w:rsidR="00887923" w:rsidRDefault="00887923" w:rsidP="006873C4">
            <w:pPr>
              <w:pStyle w:val="ListParagraph"/>
              <w:numPr>
                <w:ilvl w:val="0"/>
                <w:numId w:val="72"/>
              </w:numPr>
              <w:contextualSpacing w:val="0"/>
              <w:rPr>
                <w:rFonts w:eastAsia="Arial Unicode MS"/>
                <w:color w:val="0000FF"/>
              </w:rPr>
            </w:pPr>
            <w:r>
              <w:rPr>
                <w:rFonts w:eastAsia="Arial Unicode MS"/>
                <w:color w:val="0000FF"/>
              </w:rPr>
              <w:t xml:space="preserve">How will you </w:t>
            </w:r>
            <w:r w:rsidR="00177C96">
              <w:rPr>
                <w:rFonts w:eastAsia="Arial Unicode MS"/>
                <w:color w:val="0000FF"/>
              </w:rPr>
              <w:t xml:space="preserve">calculate the amount to </w:t>
            </w:r>
            <w:r w:rsidR="00177C96">
              <w:rPr>
                <w:rFonts w:eastAsia="Arial Unicode MS"/>
                <w:color w:val="0000FF"/>
              </w:rPr>
              <w:lastRenderedPageBreak/>
              <w:t xml:space="preserve">save </w:t>
            </w:r>
            <w:r w:rsidR="007E35C9">
              <w:rPr>
                <w:rFonts w:eastAsia="Arial Unicode MS"/>
                <w:color w:val="0000FF"/>
              </w:rPr>
              <w:t>on a regular basis (beginning now)</w:t>
            </w:r>
            <w:r w:rsidR="00177C96">
              <w:rPr>
                <w:rFonts w:eastAsia="Arial Unicode MS"/>
                <w:color w:val="0000FF"/>
              </w:rPr>
              <w:t xml:space="preserve">? </w:t>
            </w:r>
          </w:p>
          <w:p w14:paraId="65BA0552" w14:textId="77777777" w:rsidR="000576D6" w:rsidRPr="000576D6" w:rsidRDefault="000576D6" w:rsidP="000576D6">
            <w:pPr>
              <w:rPr>
                <w:rFonts w:eastAsia="Arial Unicode MS"/>
                <w:color w:val="0000FF"/>
              </w:rPr>
            </w:pPr>
          </w:p>
          <w:p w14:paraId="5AD967D0" w14:textId="2037DFFE" w:rsidR="00A2260C" w:rsidRPr="00887923" w:rsidRDefault="00A2260C" w:rsidP="006873C4">
            <w:pPr>
              <w:pStyle w:val="ListParagraph"/>
              <w:numPr>
                <w:ilvl w:val="0"/>
                <w:numId w:val="72"/>
              </w:numPr>
              <w:contextualSpacing w:val="0"/>
              <w:rPr>
                <w:rFonts w:eastAsia="Arial Unicode MS"/>
                <w:color w:val="0000FF"/>
              </w:rPr>
            </w:pPr>
            <w:r>
              <w:rPr>
                <w:rFonts w:eastAsia="Arial Unicode MS"/>
                <w:color w:val="0000FF"/>
              </w:rPr>
              <w:t>Taking responsibility requires courage</w:t>
            </w:r>
            <w:r w:rsidR="0041615D">
              <w:rPr>
                <w:rFonts w:eastAsia="Arial Unicode MS"/>
                <w:color w:val="0000FF"/>
              </w:rPr>
              <w:t>.</w:t>
            </w:r>
          </w:p>
        </w:tc>
      </w:tr>
      <w:tr w:rsidR="00F93A4C" w:rsidRPr="00396697" w14:paraId="2E6A4296" w14:textId="77777777" w:rsidTr="00D62F3C">
        <w:tc>
          <w:tcPr>
            <w:tcW w:w="4950" w:type="dxa"/>
            <w:shd w:val="clear" w:color="auto" w:fill="EEECE1"/>
          </w:tcPr>
          <w:p w14:paraId="70DE802A" w14:textId="3D895227" w:rsidR="00F93A4C" w:rsidRPr="00D62F3C" w:rsidRDefault="00F93A4C" w:rsidP="006377A0">
            <w:pPr>
              <w:rPr>
                <w:color w:val="0000FF"/>
              </w:rPr>
            </w:pPr>
            <w:r w:rsidRPr="00D62F3C">
              <w:rPr>
                <w:color w:val="0000FF"/>
              </w:rPr>
              <w:lastRenderedPageBreak/>
              <w:t>Conceptually, the calculation is quite simple. Determine how much capital you will need at your retirement age to generate your required income and subtract the projected resources you’ll have available at that time. The difference is the amount of additional money you need to save during the accumulation period.</w:t>
            </w:r>
          </w:p>
        </w:tc>
        <w:tc>
          <w:tcPr>
            <w:tcW w:w="4770" w:type="dxa"/>
            <w:shd w:val="clear" w:color="auto" w:fill="EEECE1"/>
          </w:tcPr>
          <w:p w14:paraId="58217DF4" w14:textId="77777777" w:rsidR="00F93A4C" w:rsidRDefault="00F93A4C" w:rsidP="00F93A4C">
            <w:pPr>
              <w:pStyle w:val="ListParagraph"/>
              <w:ind w:left="0"/>
              <w:contextualSpacing w:val="0"/>
              <w:rPr>
                <w:rFonts w:eastAsia="Arial Unicode MS"/>
                <w:b/>
                <w:color w:val="0000FF"/>
              </w:rPr>
            </w:pPr>
            <w:r>
              <w:rPr>
                <w:rFonts w:eastAsia="Arial Unicode MS"/>
                <w:b/>
                <w:color w:val="0000FF"/>
              </w:rPr>
              <w:t>The Basic Calculation</w:t>
            </w:r>
          </w:p>
          <w:p w14:paraId="0351259B" w14:textId="77777777" w:rsidR="00F93A4C" w:rsidRDefault="00F93A4C" w:rsidP="00F93A4C">
            <w:pPr>
              <w:pStyle w:val="ListParagraph"/>
              <w:contextualSpacing w:val="0"/>
              <w:rPr>
                <w:rFonts w:eastAsia="Arial Unicode MS"/>
                <w:color w:val="0000FF"/>
              </w:rPr>
            </w:pPr>
            <w:r>
              <w:rPr>
                <w:rFonts w:eastAsia="Arial Unicode MS"/>
                <w:color w:val="0000FF"/>
              </w:rPr>
              <w:t>Capital Needed at Retirement</w:t>
            </w:r>
          </w:p>
          <w:p w14:paraId="70FE1C11" w14:textId="669DA5E4" w:rsidR="00F93A4C" w:rsidRDefault="00F93A4C" w:rsidP="00F93A4C">
            <w:pPr>
              <w:rPr>
                <w:rFonts w:eastAsia="Arial Unicode MS"/>
                <w:color w:val="0000FF"/>
              </w:rPr>
            </w:pPr>
            <w:r>
              <w:rPr>
                <w:rFonts w:eastAsia="Arial Unicode MS"/>
                <w:color w:val="0000FF"/>
              </w:rPr>
              <w:t xml:space="preserve">        - </w:t>
            </w:r>
            <w:r w:rsidRPr="00F93A4C">
              <w:rPr>
                <w:rFonts w:eastAsia="Arial Unicode MS"/>
                <w:color w:val="0000FF"/>
                <w:u w:val="single"/>
              </w:rPr>
              <w:t>Projected Resources</w:t>
            </w:r>
            <w:r>
              <w:rPr>
                <w:rFonts w:eastAsia="Arial Unicode MS"/>
                <w:color w:val="0000FF"/>
              </w:rPr>
              <w:t xml:space="preserve"> </w:t>
            </w:r>
            <w:r w:rsidRPr="00F93A4C">
              <w:rPr>
                <w:rFonts w:eastAsia="Arial Unicode MS"/>
                <w:color w:val="0000FF"/>
                <w:u w:val="single"/>
              </w:rPr>
              <w:t xml:space="preserve">                </w:t>
            </w:r>
          </w:p>
          <w:p w14:paraId="22E7B728" w14:textId="2EDD4EED" w:rsidR="00F93A4C" w:rsidRPr="00F93A4C" w:rsidRDefault="00F93A4C" w:rsidP="0085034B">
            <w:pPr>
              <w:ind w:left="720"/>
              <w:rPr>
                <w:rFonts w:eastAsia="Arial Unicode MS"/>
                <w:color w:val="0000FF"/>
              </w:rPr>
            </w:pPr>
            <w:r>
              <w:rPr>
                <w:rFonts w:eastAsia="Arial Unicode MS"/>
                <w:color w:val="0000FF"/>
              </w:rPr>
              <w:t xml:space="preserve">Additional </w:t>
            </w:r>
            <w:r w:rsidR="0085034B">
              <w:rPr>
                <w:rFonts w:eastAsia="Arial Unicode MS"/>
                <w:color w:val="0000FF"/>
              </w:rPr>
              <w:t>Savings Need</w:t>
            </w:r>
          </w:p>
        </w:tc>
      </w:tr>
    </w:tbl>
    <w:p w14:paraId="32E541F6" w14:textId="5B1C5CE9" w:rsidR="00B72678" w:rsidRDefault="00B72678" w:rsidP="00B72678">
      <w:pPr>
        <w:spacing w:before="0" w:after="0"/>
      </w:pPr>
    </w:p>
    <w:p w14:paraId="0FF58D57" w14:textId="77777777" w:rsidR="00831C22" w:rsidRDefault="00831C22" w:rsidP="00441D23">
      <w:r>
        <w:t>The Employee Benefit Research Institute</w:t>
      </w:r>
      <w:r w:rsidR="008555CD" w:rsidRPr="001F3D42">
        <w:rPr>
          <w:vertAlign w:val="superscript"/>
        </w:rPr>
        <w:t>®</w:t>
      </w:r>
      <w:r>
        <w:t xml:space="preserve"> reports </w:t>
      </w:r>
      <w:r w:rsidR="008555CD">
        <w:t xml:space="preserve">in its </w:t>
      </w:r>
      <w:r w:rsidR="008555CD" w:rsidRPr="008E3F14">
        <w:rPr>
          <w:i/>
        </w:rPr>
        <w:t>2014 RCS Fact Sheet #6</w:t>
      </w:r>
      <w:r w:rsidR="008555CD">
        <w:t xml:space="preserve"> </w:t>
      </w:r>
      <w:r>
        <w:t xml:space="preserve">that </w:t>
      </w:r>
      <w:r w:rsidR="008555CD">
        <w:t xml:space="preserve">less than half of workers </w:t>
      </w:r>
      <w:r w:rsidR="008555CD" w:rsidRPr="00AD68AC">
        <w:t>have even tried</w:t>
      </w:r>
      <w:r w:rsidR="008555CD">
        <w:t xml:space="preserve"> to calculate the amount they need to save to live comfortably in retirement. The report goes on to reveal, not surprisingly, that </w:t>
      </w:r>
      <w:r w:rsidR="008555CD" w:rsidRPr="007E35C9">
        <w:rPr>
          <w:b/>
          <w:i/>
        </w:rPr>
        <w:t>workers who have calculated a savings amount “tend to have higher levels of savings.”</w:t>
      </w:r>
      <w:r w:rsidR="008555CD">
        <w:t xml:space="preserve"> The mere calculation of the amount influences savings behavior!</w:t>
      </w:r>
    </w:p>
    <w:p w14:paraId="7DF666AF" w14:textId="70CE42C1" w:rsidR="00A2260C" w:rsidRDefault="00A2260C" w:rsidP="00441D23">
      <w:r w:rsidRPr="00DD6B07">
        <w:t xml:space="preserve">The most critical question to answer in developing </w:t>
      </w:r>
      <w:r>
        <w:t>a sufficient savings plan</w:t>
      </w:r>
      <w:r w:rsidRPr="00DD6B07">
        <w:t xml:space="preserve"> is, "</w:t>
      </w:r>
      <w:r w:rsidRPr="007E35C9">
        <w:rPr>
          <w:b/>
          <w:i/>
        </w:rPr>
        <w:t>What is the total cumulative amount I need to save?"</w:t>
      </w:r>
      <w:r w:rsidRPr="00DD6B07">
        <w:t xml:space="preserve"> Only when that question is answered does it become possible to set </w:t>
      </w:r>
      <w:r>
        <w:t xml:space="preserve">specific </w:t>
      </w:r>
      <w:r w:rsidRPr="00DD6B07">
        <w:t xml:space="preserve">savings goals and select appropriate savings vehicles.  </w:t>
      </w:r>
    </w:p>
    <w:p w14:paraId="5A3BF1F5" w14:textId="77777777" w:rsidR="00544668" w:rsidRDefault="00CF6E20" w:rsidP="00663A77">
      <w:r w:rsidRPr="00DD6B07">
        <w:t>There are multiple meth</w:t>
      </w:r>
      <w:r w:rsidR="009F08B4" w:rsidRPr="00DD6B07">
        <w:t>ods for answering this question. Some methods start with expenses, preparing an individual expense budget and adjusting from there; the resulting adjusted budget is then used as the retirement income goal</w:t>
      </w:r>
      <w:r w:rsidR="007601DF" w:rsidRPr="00DD6B07">
        <w:t xml:space="preserve">. </w:t>
      </w:r>
      <w:r w:rsidR="009F08B4" w:rsidRPr="00DD6B07">
        <w:t>Others start with current income and adjust it by anticipated changes to expenses, either by identifying specific expenses for which income will no longer be needed or by a rule-of-thumb percentage (e.g.</w:t>
      </w:r>
      <w:r w:rsidR="0074596C" w:rsidRPr="00DD6B07">
        <w:t>,</w:t>
      </w:r>
      <w:r w:rsidR="009F08B4" w:rsidRPr="00DD6B07">
        <w:t xml:space="preserve"> 70-80% of current income)</w:t>
      </w:r>
      <w:r w:rsidR="007601DF" w:rsidRPr="00DD6B07">
        <w:t>.</w:t>
      </w:r>
      <w:r w:rsidR="009F08B4" w:rsidRPr="00DD6B07">
        <w:t xml:space="preserve"> </w:t>
      </w:r>
      <w:r w:rsidR="007601DF" w:rsidRPr="00DD6B07">
        <w:t xml:space="preserve"> </w:t>
      </w:r>
    </w:p>
    <w:p w14:paraId="48BE3C6A" w14:textId="77777777" w:rsidR="009F08B4" w:rsidRPr="00DD6B07" w:rsidRDefault="007601DF" w:rsidP="00663A77">
      <w:r w:rsidRPr="00DD6B07">
        <w:t>Regardless of the method, the identified level of income is then adjusted for inflation to identify the level of income that will be needed upon retirement to maintain the current standard of living.</w:t>
      </w:r>
    </w:p>
    <w:p w14:paraId="45208460" w14:textId="77777777" w:rsidR="00AA257A" w:rsidRDefault="00E43916" w:rsidP="001F3D3B">
      <w:r>
        <w:t>Once the future level of desired i</w:t>
      </w:r>
      <w:r w:rsidR="0090019E">
        <w:t>ncome is determined</w:t>
      </w:r>
      <w:r w:rsidR="008C4D45" w:rsidRPr="00DD6B07">
        <w:t>,</w:t>
      </w:r>
      <w:r w:rsidR="00A66889">
        <w:t xml:space="preserve"> we</w:t>
      </w:r>
      <w:r>
        <w:t xml:space="preserve"> identify all potential sources of retirement income</w:t>
      </w:r>
      <w:r w:rsidR="00E35431">
        <w:t xml:space="preserve">. </w:t>
      </w:r>
      <w:r w:rsidR="009F4801">
        <w:t xml:space="preserve">These existing </w:t>
      </w:r>
      <w:r w:rsidR="00CE7E7E">
        <w:t>sources of income are</w:t>
      </w:r>
      <w:r w:rsidR="008C4D45" w:rsidRPr="00DD6B07">
        <w:t xml:space="preserve"> subtracted </w:t>
      </w:r>
      <w:r w:rsidR="00CE7E7E">
        <w:t xml:space="preserve">from total income desired </w:t>
      </w:r>
      <w:r w:rsidR="008C4D45" w:rsidRPr="00DD6B07">
        <w:t xml:space="preserve">to identify the amount of </w:t>
      </w:r>
      <w:r w:rsidR="000573E4">
        <w:t xml:space="preserve">additional </w:t>
      </w:r>
      <w:r w:rsidR="008C4D45" w:rsidRPr="00DD6B07">
        <w:t>retirement income</w:t>
      </w:r>
      <w:r w:rsidR="000573E4">
        <w:t xml:space="preserve"> needed (the shortfall)</w:t>
      </w:r>
      <w:r w:rsidR="009D4132">
        <w:t xml:space="preserve">. </w:t>
      </w:r>
      <w:r w:rsidR="000573E4">
        <w:t>T</w:t>
      </w:r>
      <w:r w:rsidR="008C4D45" w:rsidRPr="00DD6B07">
        <w:t xml:space="preserve">hat </w:t>
      </w:r>
      <w:r w:rsidR="009D4132">
        <w:t xml:space="preserve">shortfall </w:t>
      </w:r>
      <w:r w:rsidR="008C4D45" w:rsidRPr="00DD6B07">
        <w:t xml:space="preserve">will need to be generated by </w:t>
      </w:r>
      <w:r w:rsidR="00CE7E7E">
        <w:t>additional retirement accumulations</w:t>
      </w:r>
      <w:r w:rsidR="008C4D45" w:rsidRPr="00DD6B07">
        <w:t xml:space="preserve">. </w:t>
      </w:r>
    </w:p>
    <w:p w14:paraId="0B8336DD" w14:textId="77777777" w:rsidR="00536BB8" w:rsidRDefault="00544668" w:rsidP="001F3D3B">
      <w:r>
        <w:t xml:space="preserve">Retirement income is usually generated by a combination of </w:t>
      </w:r>
      <w:r w:rsidR="00A0364E">
        <w:t>S</w:t>
      </w:r>
      <w:r>
        <w:t xml:space="preserve">ocial </w:t>
      </w:r>
      <w:r w:rsidR="00A0364E">
        <w:t>S</w:t>
      </w:r>
      <w:r>
        <w:t xml:space="preserve">ecurity benefits, annuities, employer-sponsored </w:t>
      </w:r>
      <w:r w:rsidR="00271596">
        <w:t xml:space="preserve">retirement </w:t>
      </w:r>
      <w:r>
        <w:t>plans, and personal savings</w:t>
      </w:r>
      <w:r w:rsidR="00A0364E">
        <w:t>,</w:t>
      </w:r>
      <w:r>
        <w:t xml:space="preserve"> such as IRAs.  Employer-sponsored plans and IRAs are analyzed later in this course. </w:t>
      </w:r>
      <w:r w:rsidR="004524D8">
        <w:t>Social Security and annuities are presented now.</w:t>
      </w:r>
      <w:r>
        <w:t xml:space="preserve">  </w:t>
      </w:r>
    </w:p>
    <w:p w14:paraId="43DC638C" w14:textId="77777777" w:rsidR="00125F3F" w:rsidRDefault="00AA257A" w:rsidP="001F3D42">
      <w:pPr>
        <w:pStyle w:val="Heading2"/>
      </w:pPr>
      <w:r>
        <w:br w:type="page"/>
      </w:r>
      <w:r w:rsidR="007B10D2">
        <w:lastRenderedPageBreak/>
        <w:t>Social Security</w:t>
      </w:r>
    </w:p>
    <w:p w14:paraId="78E3D297" w14:textId="1D08E759" w:rsidR="00AC40A8" w:rsidRDefault="00A70B39" w:rsidP="001F3D3B">
      <w:r>
        <w:t>The</w:t>
      </w:r>
      <w:r w:rsidR="0091643E">
        <w:t xml:space="preserve"> April 2014 Social Security </w:t>
      </w:r>
      <w:r>
        <w:t xml:space="preserve">Administration’s </w:t>
      </w:r>
      <w:r w:rsidRPr="008E3F14">
        <w:rPr>
          <w:i/>
        </w:rPr>
        <w:t>Basic Facts</w:t>
      </w:r>
      <w:r>
        <w:t xml:space="preserve"> report</w:t>
      </w:r>
      <w:r w:rsidR="0091643E">
        <w:t xml:space="preserve"> </w:t>
      </w:r>
      <w:r w:rsidR="00854BFB" w:rsidRPr="004C08A0">
        <w:t>discloses</w:t>
      </w:r>
      <w:r w:rsidR="00312660">
        <w:t xml:space="preserve"> t</w:t>
      </w:r>
      <w:r w:rsidR="0091643E">
        <w:t xml:space="preserve">hat the elderly derive </w:t>
      </w:r>
      <w:r w:rsidR="003C17CE">
        <w:t>almost four</w:t>
      </w:r>
      <w:r w:rsidR="00434F84">
        <w:t xml:space="preserve"> of every </w:t>
      </w:r>
      <w:r w:rsidR="003C17CE">
        <w:t>ten</w:t>
      </w:r>
      <w:r w:rsidR="00434F84">
        <w:t xml:space="preserve"> </w:t>
      </w:r>
      <w:r w:rsidR="00D32523">
        <w:t>dollars</w:t>
      </w:r>
      <w:r w:rsidR="00434F84">
        <w:t xml:space="preserve"> </w:t>
      </w:r>
      <w:r w:rsidR="00D32523">
        <w:t xml:space="preserve">of their income </w:t>
      </w:r>
      <w:r w:rsidR="00514A7A">
        <w:t>from Social Security.</w:t>
      </w:r>
      <w:r w:rsidR="00434F84">
        <w:t xml:space="preserve"> </w:t>
      </w:r>
      <w:r w:rsidR="0015696B">
        <w:t xml:space="preserve">Ironically, a </w:t>
      </w:r>
      <w:r w:rsidR="000C0838">
        <w:t xml:space="preserve">national </w:t>
      </w:r>
      <w:r w:rsidR="0015696B">
        <w:t xml:space="preserve">survey </w:t>
      </w:r>
      <w:r w:rsidR="000C0838">
        <w:t xml:space="preserve">conducted by the </w:t>
      </w:r>
      <w:r w:rsidR="0015696B">
        <w:t>Financial Literacy Center</w:t>
      </w:r>
      <w:r w:rsidR="00F47965">
        <w:rPr>
          <w:rStyle w:val="FootnoteReference"/>
        </w:rPr>
        <w:footnoteReference w:id="1"/>
      </w:r>
      <w:r w:rsidR="00D03076">
        <w:t xml:space="preserve"> </w:t>
      </w:r>
      <w:r w:rsidR="00AC40A8">
        <w:t xml:space="preserve">for the Social Security Administration revealed that only 22% of financial advisors feel “very knowledgeable” about Social Security. </w:t>
      </w:r>
    </w:p>
    <w:p w14:paraId="5712D7CD" w14:textId="50C4CE2A" w:rsidR="00741EDB" w:rsidRDefault="00741EDB" w:rsidP="00741EDB">
      <w:r>
        <w:t>Social Security provides a powerful combination of lifetime payments, federal guarantees, and an inflation</w:t>
      </w:r>
      <w:r w:rsidR="00BD1C9E">
        <w:t>-</w:t>
      </w:r>
      <w:r>
        <w:t xml:space="preserve">adjusted income stream. The savvy advisor will </w:t>
      </w:r>
      <w:r w:rsidR="00C25E5B">
        <w:t xml:space="preserve">develop expertise in this foundational retirement income benefit. </w:t>
      </w:r>
      <w:r>
        <w:t xml:space="preserve">We will help you develop </w:t>
      </w:r>
      <w:r w:rsidR="00C25E5B">
        <w:t>expertise, and hopefully confidence,</w:t>
      </w:r>
      <w:r>
        <w:t xml:space="preserve"> in Social Security retirement planning during the accumulation phase by focusi</w:t>
      </w:r>
      <w:r w:rsidR="002C3C52">
        <w:t>ng upon these aspects:</w:t>
      </w:r>
      <w:r>
        <w:t xml:space="preserve"> </w:t>
      </w:r>
    </w:p>
    <w:p w14:paraId="08EDB183" w14:textId="77777777" w:rsidR="00741EDB" w:rsidRDefault="00741EDB" w:rsidP="00822DE7">
      <w:pPr>
        <w:numPr>
          <w:ilvl w:val="0"/>
          <w:numId w:val="59"/>
        </w:numPr>
      </w:pPr>
      <w:r>
        <w:t>Design and operation of Social Security</w:t>
      </w:r>
    </w:p>
    <w:p w14:paraId="21BFA07F" w14:textId="77777777" w:rsidR="00741EDB" w:rsidRDefault="00741EDB" w:rsidP="00822DE7">
      <w:pPr>
        <w:numPr>
          <w:ilvl w:val="0"/>
          <w:numId w:val="59"/>
        </w:numPr>
      </w:pPr>
      <w:r>
        <w:t xml:space="preserve">Calculating retirement benefits </w:t>
      </w:r>
    </w:p>
    <w:p w14:paraId="4F7CDA90" w14:textId="77777777" w:rsidR="00741EDB" w:rsidRDefault="00741EDB" w:rsidP="00822DE7">
      <w:pPr>
        <w:numPr>
          <w:ilvl w:val="0"/>
          <w:numId w:val="59"/>
        </w:numPr>
      </w:pPr>
      <w:r>
        <w:t>Avoiding common mistakes</w:t>
      </w:r>
    </w:p>
    <w:p w14:paraId="03D9A986" w14:textId="77777777" w:rsidR="007B1C6E" w:rsidRDefault="00434077" w:rsidP="00822DE7">
      <w:pPr>
        <w:numPr>
          <w:ilvl w:val="0"/>
          <w:numId w:val="59"/>
        </w:numPr>
      </w:pPr>
      <w:r>
        <w:t>Social Security financial solvency</w:t>
      </w:r>
    </w:p>
    <w:p w14:paraId="504919AC" w14:textId="77777777" w:rsidR="00AC40A8" w:rsidRDefault="00AC40A8" w:rsidP="001F3D42">
      <w:pPr>
        <w:pStyle w:val="Heading3"/>
      </w:pPr>
      <w:r>
        <w:t>Design and Operation of Social Security</w:t>
      </w:r>
    </w:p>
    <w:p w14:paraId="1F6ACAD5" w14:textId="77777777" w:rsidR="00E60111" w:rsidRDefault="00AC40A8" w:rsidP="00391042">
      <w:r>
        <w:t xml:space="preserve">Social Security pays benefits, subject to eligibility rules, when a worker retires, becomes disabled, or dies. The worker’s spouse, former spouse, and children may also become eligible for benefits when the worker becomes entitled or dies. Understanding retirement benefits is our focus in this course. </w:t>
      </w:r>
    </w:p>
    <w:p w14:paraId="5EF3FDB5" w14:textId="77777777" w:rsidR="00AC40A8" w:rsidRDefault="00AC40A8" w:rsidP="00391042">
      <w:r>
        <w:t>Social Security retirement benefits give comfort to clients concerned about outliving their money and the potential ravages of inflation. Under current law, qualifying workers will receive an inflation-adjusted retirement benefit for life, no matter how long they live.</w:t>
      </w:r>
      <w:r w:rsidR="00E60111">
        <w:t xml:space="preserve"> </w:t>
      </w:r>
    </w:p>
    <w:p w14:paraId="5158E8A9" w14:textId="77777777" w:rsidR="00AC40A8" w:rsidRDefault="00AC40A8" w:rsidP="00391042">
      <w:r>
        <w:t xml:space="preserve">Before a worker can receive retirement benefits, he or she must have credit for a required amount of work in </w:t>
      </w:r>
      <w:r w:rsidRPr="001F3D42">
        <w:rPr>
          <w:rStyle w:val="Hyperlink"/>
        </w:rPr>
        <w:t>covered employment</w:t>
      </w:r>
      <w:r>
        <w:t xml:space="preserve">. Retirement benefits are </w:t>
      </w:r>
      <w:r w:rsidR="00E60111">
        <w:t xml:space="preserve">earned </w:t>
      </w:r>
      <w:r>
        <w:t xml:space="preserve">only if a worker is </w:t>
      </w:r>
      <w:r w:rsidRPr="001F3D42">
        <w:rPr>
          <w:rStyle w:val="Hyperlink"/>
          <w:b w:val="0"/>
          <w:color w:val="auto"/>
          <w:u w:val="none"/>
        </w:rPr>
        <w:t>fully insured.</w:t>
      </w:r>
      <w:r>
        <w:t xml:space="preserve"> A worker is generally fully insured for retirement benefits if he or she has forty </w:t>
      </w:r>
      <w:r w:rsidRPr="001F3D42">
        <w:rPr>
          <w:rStyle w:val="Hyperlink"/>
        </w:rPr>
        <w:t>credits</w:t>
      </w:r>
      <w:r>
        <w:t>. Once a worker is fully insured</w:t>
      </w:r>
      <w:r w:rsidR="00230A37">
        <w:t xml:space="preserve"> for retirement purposes</w:t>
      </w:r>
      <w:r>
        <w:t>, he or she remains fully insured for life.</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ook w:val="04A0" w:firstRow="1" w:lastRow="0" w:firstColumn="1" w:lastColumn="0" w:noHBand="0" w:noVBand="1"/>
      </w:tblPr>
      <w:tblGrid>
        <w:gridCol w:w="9576"/>
      </w:tblGrid>
      <w:tr w:rsidR="00AC40A8" w14:paraId="581D62CB" w14:textId="77777777" w:rsidTr="009F119B">
        <w:trPr>
          <w:trHeight w:val="394"/>
        </w:trPr>
        <w:tc>
          <w:tcPr>
            <w:tcW w:w="9576" w:type="dxa"/>
            <w:shd w:val="clear" w:color="auto" w:fill="D9D9D9"/>
          </w:tcPr>
          <w:p w14:paraId="5AE2886A" w14:textId="77777777" w:rsidR="00AC40A8" w:rsidRPr="003B4006" w:rsidRDefault="00AC40A8" w:rsidP="00DA19E3">
            <w:pPr>
              <w:rPr>
                <w:rStyle w:val="Hyperlink"/>
                <w:u w:val="none"/>
              </w:rPr>
            </w:pPr>
            <w:r w:rsidRPr="003B4006">
              <w:rPr>
                <w:rStyle w:val="Hyperlink"/>
                <w:u w:val="none"/>
              </w:rPr>
              <w:t>Covered Employment</w:t>
            </w:r>
          </w:p>
          <w:p w14:paraId="3F982F5D" w14:textId="77777777" w:rsidR="00234A60" w:rsidRDefault="00AC40A8" w:rsidP="00834CAF">
            <w:r>
              <w:t xml:space="preserve">If Social Security </w:t>
            </w:r>
            <w:r w:rsidR="00234A60">
              <w:t xml:space="preserve">and Medicare </w:t>
            </w:r>
            <w:r>
              <w:t xml:space="preserve">taxes are being withheld from your client’s paycheck, then their employment is covered employment. </w:t>
            </w:r>
            <w:r w:rsidR="00E60111">
              <w:t xml:space="preserve">The following types of employment are not covered employment and hence, Social Security taxes are not withheld and the workers are not eligible for Social Security benefits.  </w:t>
            </w:r>
          </w:p>
          <w:p w14:paraId="4C5DC8FE" w14:textId="77777777" w:rsidR="009236D7" w:rsidRDefault="009236D7" w:rsidP="00822DE7">
            <w:pPr>
              <w:numPr>
                <w:ilvl w:val="0"/>
                <w:numId w:val="64"/>
              </w:numPr>
            </w:pPr>
            <w:r>
              <w:t>R</w:t>
            </w:r>
            <w:r w:rsidR="00234A60">
              <w:t>ailroad workers</w:t>
            </w:r>
            <w:r>
              <w:t xml:space="preserve"> with their own retirement system outside of Social Security.</w:t>
            </w:r>
          </w:p>
          <w:p w14:paraId="44F499AE" w14:textId="77777777" w:rsidR="00E60111" w:rsidRDefault="009236D7" w:rsidP="00822DE7">
            <w:pPr>
              <w:numPr>
                <w:ilvl w:val="0"/>
                <w:numId w:val="64"/>
              </w:numPr>
            </w:pPr>
            <w:r>
              <w:t>F</w:t>
            </w:r>
            <w:r w:rsidR="00AC40A8">
              <w:t>ederal government employees</w:t>
            </w:r>
            <w:r w:rsidR="00234A60">
              <w:t xml:space="preserve"> hired before 1984 d</w:t>
            </w:r>
            <w:r w:rsidR="00AC40A8">
              <w:t xml:space="preserve">o not pay </w:t>
            </w:r>
            <w:r w:rsidR="00BD1C9E">
              <w:t>S</w:t>
            </w:r>
            <w:r w:rsidR="00AC40A8">
              <w:t xml:space="preserve">ocial </w:t>
            </w:r>
            <w:r w:rsidR="00BD1C9E">
              <w:t>S</w:t>
            </w:r>
            <w:r w:rsidR="00AC40A8">
              <w:t xml:space="preserve">ecurity taxes because they </w:t>
            </w:r>
            <w:r w:rsidR="00234A60">
              <w:t xml:space="preserve">participate in </w:t>
            </w:r>
            <w:r>
              <w:t xml:space="preserve">a </w:t>
            </w:r>
            <w:r w:rsidR="00234A60">
              <w:t xml:space="preserve">separate retirement system </w:t>
            </w:r>
            <w:r w:rsidR="00AC40A8">
              <w:t xml:space="preserve">outside of Social Security. </w:t>
            </w:r>
          </w:p>
          <w:p w14:paraId="3BE3BE3C" w14:textId="5E425B67" w:rsidR="006D2B69" w:rsidRPr="006D2B69" w:rsidRDefault="00234A60" w:rsidP="00822DE7">
            <w:pPr>
              <w:numPr>
                <w:ilvl w:val="0"/>
                <w:numId w:val="64"/>
              </w:numPr>
              <w:rPr>
                <w:kern w:val="32"/>
                <w:sz w:val="24"/>
              </w:rPr>
            </w:pPr>
            <w:r>
              <w:t xml:space="preserve">State and local governments may opt out of Social Security and establish separate retirement plans for their employees. </w:t>
            </w:r>
          </w:p>
          <w:p w14:paraId="32B9752E" w14:textId="77777777" w:rsidR="00AC40A8" w:rsidRPr="006D2B69" w:rsidRDefault="00234A60" w:rsidP="00822DE7">
            <w:pPr>
              <w:numPr>
                <w:ilvl w:val="0"/>
                <w:numId w:val="64"/>
              </w:numPr>
              <w:rPr>
                <w:kern w:val="32"/>
                <w:sz w:val="24"/>
              </w:rPr>
            </w:pPr>
            <w:r>
              <w:lastRenderedPageBreak/>
              <w:t>Clergy may op</w:t>
            </w:r>
            <w:r w:rsidR="009236D7">
              <w:t>t out of Social Security</w:t>
            </w:r>
            <w:r>
              <w:t>.</w:t>
            </w:r>
          </w:p>
          <w:p w14:paraId="2025759A" w14:textId="00B28FF5" w:rsidR="006D2B69" w:rsidRPr="00DD763B" w:rsidRDefault="002C3C52" w:rsidP="00604703">
            <w:pPr>
              <w:rPr>
                <w:kern w:val="32"/>
                <w:sz w:val="24"/>
              </w:rPr>
            </w:pPr>
            <w:r>
              <w:t>Noteworthy - S</w:t>
            </w:r>
            <w:r w:rsidR="006D2B69">
              <w:t xml:space="preserve">elf-employment is also </w:t>
            </w:r>
            <w:r w:rsidR="001273C0">
              <w:t xml:space="preserve">generally </w:t>
            </w:r>
            <w:r w:rsidR="006D2B69">
              <w:t>considered covered employment.</w:t>
            </w:r>
          </w:p>
        </w:tc>
      </w:tr>
    </w:tbl>
    <w:p w14:paraId="7A63FB61" w14:textId="77777777" w:rsidR="00AC40A8" w:rsidRDefault="00AC40A8" w:rsidP="00DA19E3"/>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ook w:val="04A0" w:firstRow="1" w:lastRow="0" w:firstColumn="1" w:lastColumn="0" w:noHBand="0" w:noVBand="1"/>
      </w:tblPr>
      <w:tblGrid>
        <w:gridCol w:w="9576"/>
      </w:tblGrid>
      <w:tr w:rsidR="00AC40A8" w14:paraId="11F1B9F3" w14:textId="77777777" w:rsidTr="00DA19E3">
        <w:tc>
          <w:tcPr>
            <w:tcW w:w="9576" w:type="dxa"/>
            <w:shd w:val="clear" w:color="auto" w:fill="D9D9D9"/>
          </w:tcPr>
          <w:p w14:paraId="68AFBF2F" w14:textId="77777777" w:rsidR="00AC40A8" w:rsidRPr="003B4006" w:rsidRDefault="00AC40A8" w:rsidP="00DA19E3">
            <w:pPr>
              <w:rPr>
                <w:rStyle w:val="Hyperlink"/>
                <w:u w:val="none"/>
              </w:rPr>
            </w:pPr>
            <w:r w:rsidRPr="003B4006">
              <w:rPr>
                <w:rStyle w:val="Hyperlink"/>
                <w:u w:val="none"/>
              </w:rPr>
              <w:t>Credit</w:t>
            </w:r>
          </w:p>
          <w:p w14:paraId="39464D29" w14:textId="1A58319D" w:rsidR="00AC40A8" w:rsidRDefault="00AC40A8" w:rsidP="00E57989">
            <w:r>
              <w:t xml:space="preserve">A worker receives one </w:t>
            </w:r>
            <w:r w:rsidRPr="001F3D42">
              <w:rPr>
                <w:b/>
                <w:i/>
              </w:rPr>
              <w:t>credit</w:t>
            </w:r>
            <w:r>
              <w:rPr>
                <w:b/>
                <w:color w:val="0000FF"/>
              </w:rPr>
              <w:t xml:space="preserve"> </w:t>
            </w:r>
            <w:r>
              <w:t>for each $</w:t>
            </w:r>
            <w:r w:rsidR="00C34B97">
              <w:t>1,260</w:t>
            </w:r>
            <w:r>
              <w:t xml:space="preserve"> (</w:t>
            </w:r>
            <w:r w:rsidR="002D2503">
              <w:t>2016</w:t>
            </w:r>
            <w:r w:rsidR="0004375F">
              <w:t>,</w:t>
            </w:r>
            <w:r>
              <w:t xml:space="preserve"> as indexed) in compensation earned from covered employment. A maximum of four credits can be earned each year. </w:t>
            </w:r>
          </w:p>
          <w:p w14:paraId="590AE4A0" w14:textId="77777777" w:rsidR="00AC40A8" w:rsidRPr="00DD763B" w:rsidRDefault="00AC40A8" w:rsidP="000641C4">
            <w:pPr>
              <w:rPr>
                <w:kern w:val="32"/>
                <w:sz w:val="24"/>
              </w:rPr>
            </w:pPr>
            <w:r>
              <w:t xml:space="preserve">A </w:t>
            </w:r>
            <w:r w:rsidRPr="001F3D42">
              <w:t>credit</w:t>
            </w:r>
            <w:r>
              <w:rPr>
                <w:b/>
                <w:i/>
              </w:rPr>
              <w:t xml:space="preserve"> </w:t>
            </w:r>
            <w:r>
              <w:t xml:space="preserve">is also frequently and mistakenly referred to as a quarter of coverage. This can be confusing because a worker may earn four credits in the first quarter of the year. Hence, it </w:t>
            </w:r>
            <w:r w:rsidR="009236D7">
              <w:t>is</w:t>
            </w:r>
            <w:r>
              <w:t xml:space="preserve"> less confusing and more accurate to describe this requirement in terms </w:t>
            </w:r>
            <w:proofErr w:type="gramStart"/>
            <w:r>
              <w:t>of  “</w:t>
            </w:r>
            <w:proofErr w:type="gramEnd"/>
            <w:r>
              <w:t xml:space="preserve">credits” rather than “quarters.” </w:t>
            </w:r>
          </w:p>
        </w:tc>
      </w:tr>
    </w:tbl>
    <w:p w14:paraId="0177615E" w14:textId="77777777" w:rsidR="00AC40A8" w:rsidRDefault="00AC40A8" w:rsidP="003E3F22">
      <w:r>
        <w:t xml:space="preserve">Where does the money to pay benefits come from?  Social Security is funded by </w:t>
      </w:r>
      <w:r w:rsidRPr="00652277">
        <w:rPr>
          <w:rStyle w:val="Hyperlink"/>
        </w:rPr>
        <w:t>payroll taxes</w:t>
      </w:r>
      <w:r>
        <w:t xml:space="preserve"> assessed against employers, employees, and the self-employed.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ook w:val="04A0" w:firstRow="1" w:lastRow="0" w:firstColumn="1" w:lastColumn="0" w:noHBand="0" w:noVBand="1"/>
      </w:tblPr>
      <w:tblGrid>
        <w:gridCol w:w="9576"/>
      </w:tblGrid>
      <w:tr w:rsidR="00AC40A8" w14:paraId="7DB2DC9F" w14:textId="77777777" w:rsidTr="00DA19E3">
        <w:tc>
          <w:tcPr>
            <w:tcW w:w="9576" w:type="dxa"/>
            <w:shd w:val="clear" w:color="auto" w:fill="D9D9D9"/>
          </w:tcPr>
          <w:p w14:paraId="5BDF0E91" w14:textId="77777777" w:rsidR="00AC40A8" w:rsidRPr="003B4006" w:rsidRDefault="00AC40A8" w:rsidP="001F3D42">
            <w:pPr>
              <w:rPr>
                <w:rStyle w:val="Hyperlink"/>
                <w:u w:val="none"/>
              </w:rPr>
            </w:pPr>
            <w:r w:rsidRPr="003B4006">
              <w:rPr>
                <w:rStyle w:val="Hyperlink"/>
                <w:u w:val="none"/>
              </w:rPr>
              <w:t>Payroll Taxes</w:t>
            </w:r>
          </w:p>
          <w:p w14:paraId="173EAC18" w14:textId="44741A8B" w:rsidR="00AC40A8" w:rsidRDefault="00AC40A8" w:rsidP="001F3D42">
            <w:pPr>
              <w:rPr>
                <w:bCs/>
              </w:rPr>
            </w:pPr>
            <w:r>
              <w:rPr>
                <w:bCs/>
              </w:rPr>
              <w:t xml:space="preserve">Employees pay Social Security taxes of 6.2% on compensation from covered employment up to a certain limit. That limit is </w:t>
            </w:r>
            <w:r w:rsidR="00F47CC2">
              <w:rPr>
                <w:bCs/>
              </w:rPr>
              <w:t xml:space="preserve">called </w:t>
            </w:r>
            <w:r>
              <w:rPr>
                <w:bCs/>
              </w:rPr>
              <w:t xml:space="preserve">the taxable wage base. </w:t>
            </w:r>
            <w:r>
              <w:rPr>
                <w:rStyle w:val="Strong"/>
                <w:b w:val="0"/>
              </w:rPr>
              <w:t>The</w:t>
            </w:r>
            <w:r w:rsidRPr="003C71F0">
              <w:rPr>
                <w:rStyle w:val="Strong"/>
                <w:b w:val="0"/>
              </w:rPr>
              <w:t xml:space="preserve"> taxable wage base </w:t>
            </w:r>
            <w:r>
              <w:rPr>
                <w:rStyle w:val="Strong"/>
                <w:b w:val="0"/>
              </w:rPr>
              <w:t>is $</w:t>
            </w:r>
            <w:r w:rsidR="000B176D">
              <w:rPr>
                <w:rStyle w:val="Strong"/>
                <w:b w:val="0"/>
              </w:rPr>
              <w:t>118,500</w:t>
            </w:r>
            <w:r>
              <w:rPr>
                <w:rStyle w:val="Strong"/>
                <w:b w:val="0"/>
              </w:rPr>
              <w:t xml:space="preserve"> in </w:t>
            </w:r>
            <w:r w:rsidR="002D2503">
              <w:rPr>
                <w:rStyle w:val="Strong"/>
                <w:b w:val="0"/>
              </w:rPr>
              <w:t>2016</w:t>
            </w:r>
            <w:r>
              <w:rPr>
                <w:rStyle w:val="Strong"/>
                <w:b w:val="0"/>
              </w:rPr>
              <w:t>, as indexed. Here</w:t>
            </w:r>
            <w:r w:rsidR="0004375F">
              <w:rPr>
                <w:rStyle w:val="Strong"/>
                <w:b w:val="0"/>
              </w:rPr>
              <w:t xml:space="preserve"> is an interesting observation - </w:t>
            </w:r>
            <w:r>
              <w:rPr>
                <w:rStyle w:val="Strong"/>
                <w:b w:val="0"/>
              </w:rPr>
              <w:t>the taxable wage base has increased four times faster than inflation since the first taxable wage base was set at $3,000 in 1937.</w:t>
            </w:r>
            <w:r w:rsidRPr="003C71F0">
              <w:rPr>
                <w:rStyle w:val="Strong"/>
                <w:b w:val="0"/>
              </w:rPr>
              <w:t xml:space="preserve"> </w:t>
            </w:r>
            <w:r>
              <w:rPr>
                <w:bCs/>
              </w:rPr>
              <w:t xml:space="preserve"> </w:t>
            </w:r>
          </w:p>
          <w:p w14:paraId="5A5CC45F" w14:textId="0E37616F" w:rsidR="00AC40A8" w:rsidRDefault="00AC40A8" w:rsidP="001F3D42">
            <w:pPr>
              <w:rPr>
                <w:bCs/>
              </w:rPr>
            </w:pPr>
            <w:r>
              <w:rPr>
                <w:bCs/>
              </w:rPr>
              <w:t>Employees also pay a Medicare tax of 1.45% of ALL compensation without limit. While our focus is not Medicare in this discussion, you should know how these</w:t>
            </w:r>
            <w:r w:rsidR="00DC03A9">
              <w:rPr>
                <w:bCs/>
              </w:rPr>
              <w:t xml:space="preserve"> taxes are assessed. A new tax - the 0.9% Medicare Surtax - </w:t>
            </w:r>
            <w:r>
              <w:rPr>
                <w:bCs/>
              </w:rPr>
              <w:t>is also payable by the employee on earned income in excess of certain thresholds. Employers are required to match the 6.2% Social Security tax and the 1.45% Medicare tax withheld from employees. Employers do not match the 0.9% Medicare Surtax.</w:t>
            </w:r>
          </w:p>
          <w:tbl>
            <w:tblPr>
              <w:tblW w:w="0" w:type="auto"/>
              <w:tblInd w:w="360" w:type="dxa"/>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990"/>
            </w:tblGrid>
            <w:tr w:rsidR="00AC40A8" w:rsidRPr="00DA19E3" w14:paraId="0C349495" w14:textId="77777777" w:rsidTr="001F3D42">
              <w:tc>
                <w:tcPr>
                  <w:tcW w:w="8990" w:type="dxa"/>
                  <w:tcBorders>
                    <w:top w:val="single" w:sz="4" w:space="0" w:color="auto"/>
                  </w:tcBorders>
                  <w:shd w:val="clear" w:color="auto" w:fill="FFFF99"/>
                </w:tcPr>
                <w:p w14:paraId="33E65E6F" w14:textId="77777777" w:rsidR="00AC40A8" w:rsidRPr="001F3D42" w:rsidRDefault="00AC40A8" w:rsidP="00DA19E3">
                  <w:pPr>
                    <w:rPr>
                      <w:b/>
                      <w:bCs/>
                    </w:rPr>
                  </w:pPr>
                  <w:r w:rsidRPr="001F3D42">
                    <w:rPr>
                      <w:b/>
                      <w:bCs/>
                    </w:rPr>
                    <w:t>Example</w:t>
                  </w:r>
                </w:p>
                <w:p w14:paraId="27C18DB6" w14:textId="521439F5" w:rsidR="00AC40A8" w:rsidRPr="00DA19E3" w:rsidRDefault="00AC40A8" w:rsidP="00DA19E3">
                  <w:pPr>
                    <w:rPr>
                      <w:bCs/>
                    </w:rPr>
                  </w:pPr>
                  <w:r w:rsidRPr="00DA19E3">
                    <w:rPr>
                      <w:bCs/>
                    </w:rPr>
                    <w:t xml:space="preserve">Anita Advisor earned $160,000 in </w:t>
                  </w:r>
                  <w:r w:rsidR="002D2503">
                    <w:rPr>
                      <w:bCs/>
                    </w:rPr>
                    <w:t>2016</w:t>
                  </w:r>
                  <w:r w:rsidRPr="00DA19E3">
                    <w:rPr>
                      <w:bCs/>
                    </w:rPr>
                    <w:t xml:space="preserve"> as an employee of a national financial services firm. Remember that the Social Security taxable wage base is $</w:t>
                  </w:r>
                  <w:r w:rsidR="000B176D">
                    <w:rPr>
                      <w:bCs/>
                    </w:rPr>
                    <w:t>118,500</w:t>
                  </w:r>
                  <w:r w:rsidRPr="00DA19E3">
                    <w:rPr>
                      <w:bCs/>
                    </w:rPr>
                    <w:t xml:space="preserve"> (</w:t>
                  </w:r>
                  <w:r w:rsidR="002D2503">
                    <w:rPr>
                      <w:bCs/>
                    </w:rPr>
                    <w:t>2016</w:t>
                  </w:r>
                  <w:r w:rsidR="00A8161C">
                    <w:rPr>
                      <w:bCs/>
                    </w:rPr>
                    <w:t>,</w:t>
                  </w:r>
                  <w:r w:rsidRPr="00DA19E3">
                    <w:rPr>
                      <w:bCs/>
                    </w:rPr>
                    <w:t xml:space="preserve"> as indexed)</w:t>
                  </w:r>
                  <w:r w:rsidR="00F07299">
                    <w:rPr>
                      <w:bCs/>
                    </w:rPr>
                    <w:t>.</w:t>
                  </w:r>
                  <w:r w:rsidRPr="00DA19E3">
                    <w:rPr>
                      <w:bCs/>
                    </w:rPr>
                    <w:t xml:space="preserve"> Anita will have $9,574 withheld from her pay</w:t>
                  </w:r>
                  <w:r w:rsidR="00F07299">
                    <w:rPr>
                      <w:bCs/>
                    </w:rPr>
                    <w:t xml:space="preserve"> as the following calculation illustrates</w:t>
                  </w:r>
                  <w:r w:rsidR="002639C3">
                    <w:rPr>
                      <w:bCs/>
                    </w:rPr>
                    <w:t>.</w:t>
                  </w:r>
                </w:p>
                <w:p w14:paraId="47663A3C" w14:textId="38B93E11" w:rsidR="00AC40A8" w:rsidRPr="00DA19E3" w:rsidRDefault="00AC40A8" w:rsidP="001F3D42">
                  <w:pPr>
                    <w:pStyle w:val="TextBullet1"/>
                  </w:pPr>
                  <w:r w:rsidRPr="00DA19E3">
                    <w:t>$7,</w:t>
                  </w:r>
                  <w:r w:rsidR="000B176D">
                    <w:t>347</w:t>
                  </w:r>
                  <w:r w:rsidR="000B176D" w:rsidRPr="00DA19E3">
                    <w:t xml:space="preserve"> </w:t>
                  </w:r>
                  <w:r w:rsidRPr="00DA19E3">
                    <w:t>Social Security tax (6.2% of $</w:t>
                  </w:r>
                  <w:r w:rsidR="000B176D">
                    <w:t>118,500</w:t>
                  </w:r>
                  <w:r w:rsidRPr="00DA19E3">
                    <w:t>)</w:t>
                  </w:r>
                </w:p>
                <w:p w14:paraId="37D4F5B3" w14:textId="77777777" w:rsidR="00AC40A8" w:rsidRPr="00DA19E3" w:rsidRDefault="00AC40A8" w:rsidP="001F3D42">
                  <w:pPr>
                    <w:pStyle w:val="TextBullet1"/>
                  </w:pPr>
                  <w:r w:rsidRPr="00DA19E3">
                    <w:t>$2,320 Medicare tax (1.45% of 160,000)</w:t>
                  </w:r>
                </w:p>
                <w:p w14:paraId="7FE2AF10" w14:textId="358EE8A5" w:rsidR="00AC40A8" w:rsidRDefault="00AC40A8" w:rsidP="001F3D42">
                  <w:pPr>
                    <w:pStyle w:val="TextBullet1"/>
                  </w:pPr>
                  <w:r w:rsidRPr="00DA19E3">
                    <w:t>$9,</w:t>
                  </w:r>
                  <w:r w:rsidR="000B176D">
                    <w:t>667</w:t>
                  </w:r>
                  <w:r w:rsidR="000B176D" w:rsidRPr="00DA19E3">
                    <w:t xml:space="preserve"> </w:t>
                  </w:r>
                  <w:r w:rsidRPr="00DA19E3">
                    <w:t>Total Social Security and Medicare Tax Withheld</w:t>
                  </w:r>
                </w:p>
                <w:p w14:paraId="3662ED41" w14:textId="2FE632F0" w:rsidR="00A8161C" w:rsidRPr="00DA19E3" w:rsidRDefault="00A8161C" w:rsidP="00091B1C">
                  <w:pPr>
                    <w:rPr>
                      <w:bCs/>
                    </w:rPr>
                  </w:pPr>
                  <w:r w:rsidRPr="00DA19E3">
                    <w:rPr>
                      <w:bCs/>
                    </w:rPr>
                    <w:t>Anita’s employer must match this $9,</w:t>
                  </w:r>
                  <w:r w:rsidR="00091B1C">
                    <w:rPr>
                      <w:bCs/>
                    </w:rPr>
                    <w:t>667</w:t>
                  </w:r>
                  <w:r w:rsidR="00091B1C" w:rsidRPr="00DA19E3">
                    <w:rPr>
                      <w:bCs/>
                    </w:rPr>
                    <w:t xml:space="preserve"> </w:t>
                  </w:r>
                  <w:r w:rsidRPr="00DA19E3">
                    <w:rPr>
                      <w:bCs/>
                    </w:rPr>
                    <w:t>and will send a check to IRS for $19,</w:t>
                  </w:r>
                  <w:r w:rsidR="00091B1C">
                    <w:rPr>
                      <w:bCs/>
                    </w:rPr>
                    <w:t>334</w:t>
                  </w:r>
                  <w:r w:rsidRPr="00DA19E3">
                    <w:rPr>
                      <w:bCs/>
                    </w:rPr>
                    <w:t>.</w:t>
                  </w:r>
                  <w:r w:rsidR="00101915">
                    <w:rPr>
                      <w:bCs/>
                    </w:rPr>
                    <w:t xml:space="preserve"> Her earned income is such that she is not subject to the 0.9% Medicare Surtax.</w:t>
                  </w:r>
                </w:p>
              </w:tc>
            </w:tr>
          </w:tbl>
          <w:p w14:paraId="5834D3EC" w14:textId="77777777" w:rsidR="00AC40A8" w:rsidRPr="00DD763B" w:rsidRDefault="00AC40A8" w:rsidP="00E223C4">
            <w:pPr>
              <w:rPr>
                <w:kern w:val="32"/>
                <w:sz w:val="24"/>
              </w:rPr>
            </w:pPr>
            <w:r>
              <w:rPr>
                <w:bCs/>
              </w:rPr>
              <w:t xml:space="preserve">Self-employed workers are both employee and employer. Hence, the self-employed have the dubious distinction of paying both the employee and employer portions of Social Security and Medicare taxes. The self-employed receive an income tax deduction for the employer portion of Social Security and Medicare taxes paid.  </w:t>
            </w:r>
          </w:p>
        </w:tc>
      </w:tr>
    </w:tbl>
    <w:p w14:paraId="51C6C270" w14:textId="50B9D52C" w:rsidR="00AC40A8" w:rsidRDefault="00AC40A8" w:rsidP="00391042">
      <w:r>
        <w:t>The Social Security Adminis</w:t>
      </w:r>
      <w:r w:rsidR="00DC03A9">
        <w:t>tration deserves a special call-</w:t>
      </w:r>
      <w:r>
        <w:t xml:space="preserve">out for its operational efficiency.  For every dollar paid out in benefits in 2013, less than one cent was used to pay </w:t>
      </w:r>
      <w:r>
        <w:lastRenderedPageBreak/>
        <w:t>administrative expenses according to Social Security’s official website in a report entitled</w:t>
      </w:r>
      <w:r w:rsidR="00DC03A9">
        <w:t>,</w:t>
      </w:r>
      <w:r>
        <w:t xml:space="preserve"> “</w:t>
      </w:r>
      <w:r w:rsidRPr="008E3F14">
        <w:rPr>
          <w:i/>
        </w:rPr>
        <w:t>Social Security Administrative Expenses</w:t>
      </w:r>
      <w:r>
        <w:t>.”</w:t>
      </w:r>
    </w:p>
    <w:p w14:paraId="511E1422" w14:textId="77777777" w:rsidR="00AC40A8" w:rsidRDefault="00AC40A8" w:rsidP="001F3D42">
      <w:pPr>
        <w:pStyle w:val="directions"/>
      </w:pPr>
      <w:r>
        <w:t>Calculating Retirement Benefits</w:t>
      </w:r>
    </w:p>
    <w:p w14:paraId="09F74734" w14:textId="77777777" w:rsidR="00AC40A8" w:rsidRDefault="00AC40A8" w:rsidP="001F3D42">
      <w:pPr>
        <w:spacing w:before="0" w:after="0"/>
      </w:pPr>
      <w:r>
        <w:t xml:space="preserve">The size of a client’s Social Security retirement check is based on average career earnings and retirement age. The calculation begins with the average, adjusted for inflation, of the highest 35 years of earnings. The average is expressed in monthly terms and is referred to as “average indexed monthly earnings” (AIME). We will refer to AIME as average earnings in this course. A worker’s average earnings are used to calculate their </w:t>
      </w:r>
      <w:r w:rsidRPr="00A03024">
        <w:rPr>
          <w:rStyle w:val="Hyperlink"/>
        </w:rPr>
        <w:t>primary insurance amount (PIA)</w:t>
      </w:r>
      <w:r w:rsidRPr="00A03024">
        <w:rPr>
          <w:rStyle w:val="Hyperlink"/>
          <w:b w:val="0"/>
          <w:color w:val="auto"/>
          <w:u w:val="none"/>
        </w:rPr>
        <w:t>.</w:t>
      </w:r>
      <w:r>
        <w:t xml:space="preserve"> A worker’s monthly retirement payment may be less than PIA, </w:t>
      </w:r>
      <w:r w:rsidR="003225ED">
        <w:t xml:space="preserve">exactly </w:t>
      </w:r>
      <w:r>
        <w:t xml:space="preserve">PIA, or more than PIA based upon the </w:t>
      </w:r>
      <w:r w:rsidRPr="001C5A93">
        <w:rPr>
          <w:rStyle w:val="Hyperlink"/>
        </w:rPr>
        <w:t>claiming</w:t>
      </w:r>
      <w:r w:rsidRPr="001F3D42">
        <w:rPr>
          <w:rStyle w:val="Hyperlink"/>
        </w:rPr>
        <w:t xml:space="preserve"> age</w:t>
      </w:r>
      <w:r>
        <w:t xml:space="preserve"> chosen.</w:t>
      </w:r>
    </w:p>
    <w:p w14:paraId="6E734A1D" w14:textId="77777777" w:rsidR="00AC40A8" w:rsidRDefault="00AC40A8" w:rsidP="001F3D42">
      <w:pPr>
        <w:spacing w:before="0" w:after="0"/>
      </w:pPr>
    </w:p>
    <w:tbl>
      <w:tblPr>
        <w:tblW w:w="0" w:type="auto"/>
        <w:tblInd w:w="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566"/>
      </w:tblGrid>
      <w:tr w:rsidR="00AC40A8" w:rsidRPr="00434E47" w14:paraId="1C007022" w14:textId="77777777" w:rsidTr="001F3D42">
        <w:trPr>
          <w:trHeight w:val="530"/>
        </w:trPr>
        <w:tc>
          <w:tcPr>
            <w:tcW w:w="8566" w:type="dxa"/>
            <w:shd w:val="clear" w:color="auto" w:fill="D9D9D9"/>
          </w:tcPr>
          <w:p w14:paraId="57EF2B87" w14:textId="77777777" w:rsidR="00AC40A8" w:rsidRPr="003B4006" w:rsidRDefault="00AC40A8" w:rsidP="00D1077C">
            <w:pPr>
              <w:rPr>
                <w:rStyle w:val="Hyperlink"/>
                <w:u w:val="none"/>
              </w:rPr>
            </w:pPr>
            <w:r w:rsidRPr="003B4006">
              <w:rPr>
                <w:rStyle w:val="Hyperlink"/>
                <w:u w:val="none"/>
              </w:rPr>
              <w:t>Primary Insurance Amount (PIA)</w:t>
            </w:r>
          </w:p>
          <w:p w14:paraId="0D65B097" w14:textId="77777777" w:rsidR="003225ED" w:rsidRDefault="00AC40A8" w:rsidP="00AD68AC">
            <w:r>
              <w:t xml:space="preserve">A worker is not paid 100% of her average earnings when she retires. </w:t>
            </w:r>
            <w:r w:rsidR="003225ED">
              <w:t xml:space="preserve">Average earnings are reduced through a formula to develop a worker’s PIA. The PIA is biased in favor of those with relatively lower earnings. </w:t>
            </w:r>
          </w:p>
          <w:p w14:paraId="11343C78" w14:textId="0A5D56AA" w:rsidR="00AC40A8" w:rsidRPr="001F3D42" w:rsidRDefault="00AC40A8" w:rsidP="00C34B97">
            <w:r>
              <w:t>A deep dive into the PIA calculation is beyond</w:t>
            </w:r>
            <w:r w:rsidR="00A8161C">
              <w:t xml:space="preserve"> the</w:t>
            </w:r>
            <w:r>
              <w:t xml:space="preserve"> scope </w:t>
            </w:r>
            <w:r w:rsidR="00A8161C">
              <w:t>of</w:t>
            </w:r>
            <w:r>
              <w:t xml:space="preserve"> this course. However, you should know that the largest percentage increases to PIA come from the bottom end of average earnings. For example, 90% of the first $</w:t>
            </w:r>
            <w:r w:rsidR="00C34B97">
              <w:t>856</w:t>
            </w:r>
            <w:r w:rsidR="00BF4238">
              <w:t xml:space="preserve"> </w:t>
            </w:r>
            <w:r>
              <w:t>(</w:t>
            </w:r>
            <w:r w:rsidR="002D2503">
              <w:t>2016</w:t>
            </w:r>
            <w:r>
              <w:t xml:space="preserve">, as indexed) in average earnings </w:t>
            </w:r>
            <w:r w:rsidR="003225ED">
              <w:t xml:space="preserve">per month </w:t>
            </w:r>
            <w:r>
              <w:t>is added to PIA</w:t>
            </w:r>
            <w:r w:rsidR="00A8161C">
              <w:t>,</w:t>
            </w:r>
            <w:r>
              <w:t xml:space="preserve"> but only 15% of average earnings </w:t>
            </w:r>
            <w:r w:rsidR="003225ED">
              <w:t xml:space="preserve">per month </w:t>
            </w:r>
            <w:r>
              <w:t>above $</w:t>
            </w:r>
            <w:r w:rsidR="00C34B97">
              <w:t>5,157</w:t>
            </w:r>
            <w:r w:rsidR="00BF4238">
              <w:t xml:space="preserve"> </w:t>
            </w:r>
            <w:r>
              <w:t>(</w:t>
            </w:r>
            <w:r w:rsidR="002D2503">
              <w:t>2016</w:t>
            </w:r>
            <w:r>
              <w:t xml:space="preserve">, as indexed) is added to PIA. </w:t>
            </w:r>
            <w:r w:rsidR="00913F80">
              <w:t>Average earnings above the taxable wage base ($</w:t>
            </w:r>
            <w:r w:rsidR="000B176D">
              <w:t>118,500</w:t>
            </w:r>
            <w:r w:rsidR="00913F80">
              <w:t xml:space="preserve"> in </w:t>
            </w:r>
            <w:r w:rsidR="002D2503">
              <w:t>2016</w:t>
            </w:r>
            <w:r w:rsidR="00913F80">
              <w:t>) add nothing to PIA.</w:t>
            </w:r>
          </w:p>
        </w:tc>
      </w:tr>
    </w:tbl>
    <w:p w14:paraId="57DA8617" w14:textId="77777777" w:rsidR="00AC40A8" w:rsidRDefault="00AC40A8" w:rsidP="00AB3295">
      <w:pPr>
        <w:spacing w:before="0" w:after="0"/>
      </w:pPr>
    </w:p>
    <w:p w14:paraId="755713F8" w14:textId="77777777" w:rsidR="00AC40A8" w:rsidRDefault="00AC40A8" w:rsidP="00AB3295">
      <w:pPr>
        <w:spacing w:before="0" w:after="0"/>
      </w:pPr>
    </w:p>
    <w:tbl>
      <w:tblPr>
        <w:tblW w:w="8897" w:type="dxa"/>
        <w:tblInd w:w="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897"/>
      </w:tblGrid>
      <w:tr w:rsidR="00AC40A8" w:rsidRPr="00434E47" w14:paraId="13AB02EB" w14:textId="77777777" w:rsidTr="001F3D42">
        <w:trPr>
          <w:trHeight w:val="404"/>
        </w:trPr>
        <w:tc>
          <w:tcPr>
            <w:tcW w:w="8897" w:type="dxa"/>
            <w:shd w:val="clear" w:color="auto" w:fill="D9D9D9"/>
          </w:tcPr>
          <w:p w14:paraId="28A5F559" w14:textId="77777777" w:rsidR="00AC40A8" w:rsidRPr="003B4006" w:rsidRDefault="00AC40A8" w:rsidP="00AF4F84">
            <w:pPr>
              <w:rPr>
                <w:rStyle w:val="Hyperlink"/>
                <w:u w:val="none"/>
              </w:rPr>
            </w:pPr>
            <w:r w:rsidRPr="003B4006">
              <w:rPr>
                <w:rStyle w:val="Hyperlink"/>
                <w:u w:val="none"/>
              </w:rPr>
              <w:t xml:space="preserve">Claiming Age </w:t>
            </w:r>
          </w:p>
          <w:p w14:paraId="01C232AC" w14:textId="77777777" w:rsidR="00AC40A8" w:rsidRDefault="00AC40A8" w:rsidP="001F3D42">
            <w:r>
              <w:t>The age at which a worker applies for retirement benefits is the worker’s claiming age. A worker has three choices</w:t>
            </w:r>
            <w:r w:rsidR="00A8161C">
              <w:t>:</w:t>
            </w:r>
            <w:r>
              <w:t xml:space="preserve"> </w:t>
            </w:r>
            <w:r w:rsidR="00775DEF">
              <w:t>1) claim early and take a permanently reduced benefit</w:t>
            </w:r>
            <w:r w:rsidR="00A8161C">
              <w:t>;</w:t>
            </w:r>
            <w:r>
              <w:t xml:space="preserve"> </w:t>
            </w:r>
            <w:r w:rsidR="00775DEF">
              <w:t>2) claim on time at normal retirement age (age 65 to 67 depending upon year of birth) and receive a benefit of 100% of PIA</w:t>
            </w:r>
            <w:r w:rsidR="00A8161C">
              <w:t>;</w:t>
            </w:r>
            <w:r w:rsidR="00775DEF">
              <w:t xml:space="preserve"> or 3) </w:t>
            </w:r>
            <w:r>
              <w:t xml:space="preserve">delay claiming and receive a </w:t>
            </w:r>
            <w:r w:rsidR="007B1C6E">
              <w:t>permanently increased</w:t>
            </w:r>
            <w:r>
              <w:t xml:space="preserve"> benefit.</w:t>
            </w:r>
          </w:p>
          <w:p w14:paraId="121EB413" w14:textId="77777777" w:rsidR="00AC40A8" w:rsidRPr="001F3D42" w:rsidRDefault="00AC40A8" w:rsidP="00822DE7">
            <w:pPr>
              <w:numPr>
                <w:ilvl w:val="0"/>
                <w:numId w:val="57"/>
              </w:numPr>
            </w:pPr>
            <w:r>
              <w:t xml:space="preserve">Early - A worker may claim </w:t>
            </w:r>
            <w:r w:rsidR="003225ED">
              <w:t xml:space="preserve">no earlier than </w:t>
            </w:r>
            <w:r>
              <w:t xml:space="preserve">age 62. Workers claiming at age 62 incur a permanent reduction from their PIA. Workers claiming after age 62 but before their normal retirement age will have their </w:t>
            </w:r>
            <w:r w:rsidR="003225ED">
              <w:t xml:space="preserve">retirement </w:t>
            </w:r>
            <w:r>
              <w:t xml:space="preserve">benefit reduced for each month they claim early based upon a formula. </w:t>
            </w:r>
            <w:r w:rsidR="00775DEF">
              <w:t xml:space="preserve">A worker retiring at age 62 will incur a </w:t>
            </w:r>
            <w:r>
              <w:t xml:space="preserve">20% </w:t>
            </w:r>
            <w:r w:rsidR="006C66F1">
              <w:t xml:space="preserve">reduction </w:t>
            </w:r>
            <w:r>
              <w:t xml:space="preserve">if their normal retirement age is 65 and </w:t>
            </w:r>
            <w:r w:rsidR="006C66F1">
              <w:t xml:space="preserve">a </w:t>
            </w:r>
            <w:r>
              <w:t xml:space="preserve">30% </w:t>
            </w:r>
            <w:r w:rsidR="006C66F1">
              <w:t xml:space="preserve">reduction </w:t>
            </w:r>
            <w:r>
              <w:t xml:space="preserve">if their normal retirement age is age 67. </w:t>
            </w:r>
          </w:p>
          <w:tbl>
            <w:tblPr>
              <w:tblW w:w="7980" w:type="dxa"/>
              <w:tblInd w:w="691" w:type="dxa"/>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7980"/>
            </w:tblGrid>
            <w:tr w:rsidR="00AC40A8" w:rsidRPr="00DA19E3" w14:paraId="152A734D" w14:textId="77777777" w:rsidTr="001F3D42">
              <w:tc>
                <w:tcPr>
                  <w:tcW w:w="7980" w:type="dxa"/>
                  <w:shd w:val="clear" w:color="auto" w:fill="FFFF99"/>
                </w:tcPr>
                <w:p w14:paraId="3EEEEA3D" w14:textId="77777777" w:rsidR="00AC40A8" w:rsidRPr="00DA19E3" w:rsidRDefault="00AC40A8" w:rsidP="00EA3E8A">
                  <w:pPr>
                    <w:rPr>
                      <w:bCs/>
                    </w:rPr>
                  </w:pPr>
                  <w:r w:rsidRPr="001F3D42">
                    <w:rPr>
                      <w:b/>
                      <w:bCs/>
                    </w:rPr>
                    <w:t>Example</w:t>
                  </w:r>
                </w:p>
                <w:p w14:paraId="6E9CEC84" w14:textId="77777777" w:rsidR="00AC40A8" w:rsidRPr="00245B87" w:rsidRDefault="00AC40A8" w:rsidP="00AD68AC">
                  <w:pPr>
                    <w:rPr>
                      <w:bCs/>
                    </w:rPr>
                  </w:pPr>
                  <w:r>
                    <w:rPr>
                      <w:bCs/>
                    </w:rPr>
                    <w:t xml:space="preserve">Your client Earl’s full retirement age is 67 and his PIA is $2,000. If Earl retires at age 62, his monthly retirement benefit will be reduced by </w:t>
                  </w:r>
                  <w:r w:rsidR="003225ED">
                    <w:rPr>
                      <w:bCs/>
                    </w:rPr>
                    <w:t>$600 (</w:t>
                  </w:r>
                  <w:r>
                    <w:rPr>
                      <w:bCs/>
                    </w:rPr>
                    <w:t>30%</w:t>
                  </w:r>
                  <w:r w:rsidR="003225ED">
                    <w:rPr>
                      <w:bCs/>
                    </w:rPr>
                    <w:t>).</w:t>
                  </w:r>
                  <w:r>
                    <w:rPr>
                      <w:bCs/>
                    </w:rPr>
                    <w:t xml:space="preserve"> Earl will receive a monthly benefit of only $1,400. Earl’s benefit WILL NOT increase to $2,000 when he reaches age 67. The reduction of benefits is permanent.</w:t>
                  </w:r>
                </w:p>
              </w:tc>
            </w:tr>
          </w:tbl>
          <w:p w14:paraId="18960174" w14:textId="77777777" w:rsidR="00AC40A8" w:rsidRPr="00E223C4" w:rsidRDefault="00AC40A8" w:rsidP="00822DE7">
            <w:pPr>
              <w:numPr>
                <w:ilvl w:val="0"/>
                <w:numId w:val="57"/>
              </w:numPr>
            </w:pPr>
            <w:r>
              <w:t xml:space="preserve">On Time - A worker may claim at their normal retirement age and receive 100% of their PIA. </w:t>
            </w:r>
          </w:p>
          <w:p w14:paraId="4DC2869F" w14:textId="77777777" w:rsidR="00AC40A8" w:rsidRDefault="00AC40A8" w:rsidP="00822DE7">
            <w:pPr>
              <w:numPr>
                <w:ilvl w:val="0"/>
                <w:numId w:val="57"/>
              </w:numPr>
              <w:rPr>
                <w:b/>
                <w:color w:val="000000"/>
              </w:rPr>
            </w:pPr>
            <w:r>
              <w:t xml:space="preserve">Delay - A worker may delay claiming beyond their normal retirement age and earn </w:t>
            </w:r>
            <w:r w:rsidR="003225ED" w:rsidRPr="00AD68AC">
              <w:rPr>
                <w:rStyle w:val="Hyperlink"/>
                <w:b w:val="0"/>
                <w:color w:val="auto"/>
                <w:u w:val="none"/>
              </w:rPr>
              <w:t xml:space="preserve">a permanent </w:t>
            </w:r>
            <w:r w:rsidRPr="001F3D42">
              <w:rPr>
                <w:rStyle w:val="Hyperlink"/>
                <w:b w:val="0"/>
                <w:color w:val="auto"/>
                <w:u w:val="none"/>
              </w:rPr>
              <w:t xml:space="preserve">increase to their </w:t>
            </w:r>
            <w:r>
              <w:rPr>
                <w:rStyle w:val="Hyperlink"/>
                <w:b w:val="0"/>
                <w:color w:val="auto"/>
                <w:u w:val="none"/>
              </w:rPr>
              <w:t xml:space="preserve">retirement benefit </w:t>
            </w:r>
            <w:r w:rsidRPr="001F3D42">
              <w:rPr>
                <w:rStyle w:val="Hyperlink"/>
                <w:b w:val="0"/>
                <w:color w:val="auto"/>
                <w:u w:val="none"/>
              </w:rPr>
              <w:t xml:space="preserve">of as much as 8% per </w:t>
            </w:r>
            <w:r w:rsidRPr="001F3D42">
              <w:rPr>
                <w:rStyle w:val="Hyperlink"/>
                <w:b w:val="0"/>
                <w:color w:val="auto"/>
                <w:u w:val="none"/>
              </w:rPr>
              <w:lastRenderedPageBreak/>
              <w:t xml:space="preserve">year </w:t>
            </w:r>
            <w:r>
              <w:rPr>
                <w:rStyle w:val="Hyperlink"/>
                <w:b w:val="0"/>
                <w:color w:val="auto"/>
                <w:u w:val="none"/>
              </w:rPr>
              <w:t xml:space="preserve">(if born in or after 1943) </w:t>
            </w:r>
            <w:r w:rsidRPr="001F3D42">
              <w:rPr>
                <w:rStyle w:val="Hyperlink"/>
                <w:b w:val="0"/>
                <w:color w:val="auto"/>
                <w:u w:val="none"/>
              </w:rPr>
              <w:t>for each year of delay through age 70</w:t>
            </w:r>
            <w:r w:rsidRPr="008B56C3">
              <w:t>.</w:t>
            </w:r>
            <w:r>
              <w:t xml:space="preserve"> No increases are earned if claiming is delayed past age 70.  </w:t>
            </w:r>
          </w:p>
          <w:tbl>
            <w:tblPr>
              <w:tblW w:w="7980" w:type="dxa"/>
              <w:tblInd w:w="691" w:type="dxa"/>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7980"/>
            </w:tblGrid>
            <w:tr w:rsidR="00AC40A8" w:rsidRPr="00DA19E3" w14:paraId="34B21336" w14:textId="77777777" w:rsidTr="001F3D42">
              <w:tc>
                <w:tcPr>
                  <w:tcW w:w="7980" w:type="dxa"/>
                  <w:shd w:val="clear" w:color="auto" w:fill="FFFF99"/>
                </w:tcPr>
                <w:p w14:paraId="3AB3668A" w14:textId="77777777" w:rsidR="00AC40A8" w:rsidRPr="001F3D42" w:rsidRDefault="00AC40A8" w:rsidP="008B56C3">
                  <w:pPr>
                    <w:rPr>
                      <w:b/>
                      <w:bCs/>
                    </w:rPr>
                  </w:pPr>
                  <w:r w:rsidRPr="001F3D42">
                    <w:rPr>
                      <w:b/>
                      <w:bCs/>
                    </w:rPr>
                    <w:t>Example</w:t>
                  </w:r>
                </w:p>
                <w:p w14:paraId="0F71A1BD" w14:textId="74667410" w:rsidR="00AC40A8" w:rsidRDefault="00AC40A8" w:rsidP="008B56C3">
                  <w:pPr>
                    <w:rPr>
                      <w:bCs/>
                    </w:rPr>
                  </w:pPr>
                  <w:r>
                    <w:rPr>
                      <w:bCs/>
                    </w:rPr>
                    <w:t>Belinda was born in 1954 and has a normal retirement age of 66. Belinda’s PIA is $2</w:t>
                  </w:r>
                  <w:r w:rsidR="00051666">
                    <w:rPr>
                      <w:bCs/>
                    </w:rPr>
                    <w:t>,</w:t>
                  </w:r>
                  <w:r>
                    <w:rPr>
                      <w:bCs/>
                    </w:rPr>
                    <w:t>000. If she claims at age 66</w:t>
                  </w:r>
                  <w:r w:rsidR="00051666">
                    <w:rPr>
                      <w:bCs/>
                    </w:rPr>
                    <w:t>,</w:t>
                  </w:r>
                  <w:r>
                    <w:rPr>
                      <w:bCs/>
                    </w:rPr>
                    <w:t xml:space="preserve"> her monthly retirement check will be $2,000 (100% of her PIA).</w:t>
                  </w:r>
                </w:p>
                <w:p w14:paraId="15568ED4" w14:textId="77777777" w:rsidR="00AC40A8" w:rsidRPr="00245B87" w:rsidRDefault="00AC40A8" w:rsidP="00AD68AC">
                  <w:pPr>
                    <w:rPr>
                      <w:bCs/>
                    </w:rPr>
                  </w:pPr>
                  <w:r>
                    <w:rPr>
                      <w:bCs/>
                    </w:rPr>
                    <w:t xml:space="preserve">If she delays retirement until age 70, her monthly retirement check will </w:t>
                  </w:r>
                  <w:r w:rsidR="006C66F1">
                    <w:rPr>
                      <w:bCs/>
                    </w:rPr>
                    <w:t xml:space="preserve">permanently </w:t>
                  </w:r>
                  <w:r w:rsidR="00287372">
                    <w:rPr>
                      <w:bCs/>
                    </w:rPr>
                    <w:t>increase</w:t>
                  </w:r>
                  <w:r>
                    <w:rPr>
                      <w:bCs/>
                    </w:rPr>
                    <w:t xml:space="preserve"> to $2,640, a 32% increase. The 32% increase is calculated as 4 years of delay at 8% per year. </w:t>
                  </w:r>
                </w:p>
              </w:tc>
            </w:tr>
          </w:tbl>
          <w:p w14:paraId="2E97E14D" w14:textId="77777777" w:rsidR="00AC40A8" w:rsidRPr="001F3D42" w:rsidRDefault="00AC40A8" w:rsidP="000641C4">
            <w:pPr>
              <w:rPr>
                <w:color w:val="000000"/>
              </w:rPr>
            </w:pPr>
            <w:r>
              <w:rPr>
                <w:color w:val="000000"/>
              </w:rPr>
              <w:t xml:space="preserve">Social Security designs the early, on time, and delayed claiming amounts so that the present value of all future benefits </w:t>
            </w:r>
            <w:r w:rsidR="008A7B14">
              <w:rPr>
                <w:color w:val="000000"/>
              </w:rPr>
              <w:t xml:space="preserve">for a client living to his expected actuarial age </w:t>
            </w:r>
            <w:r>
              <w:rPr>
                <w:color w:val="000000"/>
              </w:rPr>
              <w:t xml:space="preserve">is approximately equal no matter what claiming age is chosen. </w:t>
            </w:r>
          </w:p>
        </w:tc>
      </w:tr>
    </w:tbl>
    <w:p w14:paraId="229BB0D6" w14:textId="77777777" w:rsidR="00B4733C" w:rsidRDefault="00B4733C" w:rsidP="00B4733C">
      <w:pPr>
        <w:rPr>
          <w:rStyle w:val="Strong"/>
        </w:rPr>
      </w:pPr>
    </w:p>
    <w:p w14:paraId="49DBD5D0" w14:textId="77777777" w:rsidR="00AC40A8" w:rsidRPr="00B4733C" w:rsidRDefault="00B4733C" w:rsidP="001F3D42">
      <w:pPr>
        <w:pStyle w:val="Heading3"/>
      </w:pPr>
      <w:r w:rsidRPr="00B4733C">
        <w:rPr>
          <w:rStyle w:val="Strong"/>
          <w:rFonts w:ascii="Arial" w:hAnsi="Arial"/>
          <w:b/>
          <w:bCs/>
          <w:sz w:val="24"/>
        </w:rPr>
        <w:t>Avoiding Common Social Security Mistakes During the Accumulation Period</w:t>
      </w:r>
    </w:p>
    <w:p w14:paraId="11A65EC3" w14:textId="77777777" w:rsidR="00AC40A8" w:rsidRDefault="00AC40A8" w:rsidP="001F3D3B">
      <w:r>
        <w:t>Maximizing the future Social Security retirement benefit requires avoiding common mistakes during a client’s accumulation period.</w:t>
      </w:r>
      <w:r w:rsidR="00B4733C">
        <w:t xml:space="preserve"> </w:t>
      </w:r>
      <w:r w:rsidR="00B4733C" w:rsidRPr="001F3D42">
        <w:rPr>
          <w:b/>
          <w:color w:val="FF0000"/>
        </w:rPr>
        <w:t>Click each to learn more</w:t>
      </w:r>
      <w:r w:rsidR="00B4733C">
        <w:rPr>
          <w:b/>
          <w:color w:val="FF0000"/>
        </w:rPr>
        <w:t>.</w:t>
      </w:r>
    </w:p>
    <w:tbl>
      <w:tblPr>
        <w:tblW w:w="9637" w:type="dxa"/>
        <w:tblInd w:w="108" w:type="dxa"/>
        <w:tblBorders>
          <w:top w:val="single" w:sz="6" w:space="0" w:color="444444"/>
          <w:left w:val="single" w:sz="6" w:space="0" w:color="444444"/>
          <w:bottom w:val="single" w:sz="6" w:space="0" w:color="444444"/>
          <w:right w:val="single" w:sz="6" w:space="0" w:color="444444"/>
          <w:insideH w:val="single" w:sz="6" w:space="0" w:color="444444"/>
          <w:insideV w:val="single" w:sz="6" w:space="0" w:color="444444"/>
        </w:tblBorders>
        <w:tblLook w:val="01E0" w:firstRow="1" w:lastRow="1" w:firstColumn="1" w:lastColumn="1" w:noHBand="0" w:noVBand="0"/>
      </w:tblPr>
      <w:tblGrid>
        <w:gridCol w:w="9637"/>
      </w:tblGrid>
      <w:tr w:rsidR="00B4733C" w:rsidRPr="00396697" w14:paraId="04DFCDE7" w14:textId="77777777" w:rsidTr="00EF587F">
        <w:tc>
          <w:tcPr>
            <w:tcW w:w="9637" w:type="dxa"/>
            <w:shd w:val="clear" w:color="auto" w:fill="6CA8CD"/>
            <w:tcMar>
              <w:top w:w="72" w:type="dxa"/>
              <w:left w:w="115" w:type="dxa"/>
              <w:bottom w:w="72" w:type="dxa"/>
              <w:right w:w="115" w:type="dxa"/>
            </w:tcMar>
          </w:tcPr>
          <w:p w14:paraId="368E1C48" w14:textId="77777777" w:rsidR="00B4733C" w:rsidRPr="001F3D42" w:rsidRDefault="00B4733C" w:rsidP="00B4733C">
            <w:pPr>
              <w:rPr>
                <w:b/>
                <w:color w:val="FFFFFF"/>
              </w:rPr>
            </w:pPr>
            <w:r w:rsidRPr="001F3D42">
              <w:rPr>
                <w:b/>
                <w:color w:val="FFFFFF"/>
              </w:rPr>
              <w:t>Mistake Number 1 - Failure To Work 35 Years</w:t>
            </w:r>
          </w:p>
        </w:tc>
      </w:tr>
      <w:tr w:rsidR="00B4733C" w:rsidRPr="00396697" w14:paraId="00FE81B2" w14:textId="77777777" w:rsidTr="00EF587F">
        <w:tc>
          <w:tcPr>
            <w:tcW w:w="9637" w:type="dxa"/>
            <w:shd w:val="clear" w:color="auto" w:fill="FFFFFF"/>
            <w:tcMar>
              <w:top w:w="72" w:type="dxa"/>
              <w:left w:w="115" w:type="dxa"/>
              <w:bottom w:w="72" w:type="dxa"/>
              <w:right w:w="115" w:type="dxa"/>
            </w:tcMar>
          </w:tcPr>
          <w:p w14:paraId="18EABEEF" w14:textId="77777777" w:rsidR="00B4733C" w:rsidRDefault="00B4733C" w:rsidP="00B4733C">
            <w:r>
              <w:t xml:space="preserve">If earnings during any year are zero, that zero becomes part of the average and reduces a worker’s retirement benefit. Hence, an able worker should consider working until there are at least 35 years with earnings from covered employment. This is especially true of the primary wage earner in a married couple but may be less impactful for the </w:t>
            </w:r>
            <w:r>
              <w:rPr>
                <w:rStyle w:val="Hyperlink"/>
              </w:rPr>
              <w:t>spouse with lesser earnings</w:t>
            </w:r>
            <w:r w:rsidRPr="006077D3">
              <w:rPr>
                <w:rStyle w:val="Hyperlink"/>
                <w:b w:val="0"/>
                <w:color w:val="auto"/>
                <w:u w:val="none"/>
              </w:rPr>
              <w:t>.</w:t>
            </w:r>
          </w:p>
          <w:tbl>
            <w:tblPr>
              <w:tblW w:w="0" w:type="auto"/>
              <w:tblInd w:w="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563"/>
            </w:tblGrid>
            <w:tr w:rsidR="00B4733C" w:rsidRPr="00434E47" w14:paraId="0FBE7A1E" w14:textId="77777777" w:rsidTr="00B4733C">
              <w:trPr>
                <w:trHeight w:val="3482"/>
              </w:trPr>
              <w:tc>
                <w:tcPr>
                  <w:tcW w:w="8566" w:type="dxa"/>
                  <w:shd w:val="clear" w:color="auto" w:fill="D9D9D9"/>
                </w:tcPr>
                <w:p w14:paraId="00AB8A27" w14:textId="77777777" w:rsidR="00B4733C" w:rsidRPr="003B4006" w:rsidRDefault="00B4733C" w:rsidP="00B4733C">
                  <w:pPr>
                    <w:rPr>
                      <w:rStyle w:val="Hyperlink"/>
                      <w:u w:val="none"/>
                    </w:rPr>
                  </w:pPr>
                  <w:r w:rsidRPr="003B4006">
                    <w:rPr>
                      <w:rStyle w:val="Hyperlink"/>
                      <w:u w:val="none"/>
                    </w:rPr>
                    <w:t>Spouse with Lesser Earnings</w:t>
                  </w:r>
                </w:p>
                <w:p w14:paraId="4FDFBDE7" w14:textId="77777777" w:rsidR="00B4733C" w:rsidRDefault="00B4733C" w:rsidP="00B4733C">
                  <w:pPr>
                    <w:rPr>
                      <w:rStyle w:val="Strong"/>
                      <w:b w:val="0"/>
                    </w:rPr>
                  </w:pPr>
                  <w:r>
                    <w:rPr>
                      <w:rStyle w:val="Strong"/>
                      <w:b w:val="0"/>
                    </w:rPr>
                    <w:t xml:space="preserve">A spouse is usually entitled to the greater of his own retirement benefit or up to 50% of his wife’s benefit. Consequently, an analysis is required to determine if additional earnings years will actually benefit the spouse with lesser earnings.  </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335"/>
                  </w:tblGrid>
                  <w:tr w:rsidR="00B4733C" w:rsidRPr="00F80716" w14:paraId="5A5A4DE6" w14:textId="77777777" w:rsidTr="00B4733C">
                    <w:tc>
                      <w:tcPr>
                        <w:tcW w:w="8335" w:type="dxa"/>
                        <w:shd w:val="clear" w:color="auto" w:fill="FFFF99"/>
                      </w:tcPr>
                      <w:p w14:paraId="5585288D" w14:textId="77777777" w:rsidR="00B4733C" w:rsidRPr="009F00A3" w:rsidRDefault="00B4733C" w:rsidP="00B4733C">
                        <w:pPr>
                          <w:rPr>
                            <w:rStyle w:val="Strong"/>
                          </w:rPr>
                        </w:pPr>
                        <w:r w:rsidRPr="009F00A3">
                          <w:rPr>
                            <w:rStyle w:val="Strong"/>
                          </w:rPr>
                          <w:t>Example</w:t>
                        </w:r>
                      </w:p>
                      <w:p w14:paraId="70718229" w14:textId="647C4899" w:rsidR="00B4733C" w:rsidRDefault="00B4733C" w:rsidP="00B4733C">
                        <w:pPr>
                          <w:rPr>
                            <w:rStyle w:val="Strong"/>
                            <w:b w:val="0"/>
                          </w:rPr>
                        </w:pPr>
                        <w:r w:rsidRPr="00F80716">
                          <w:rPr>
                            <w:rStyle w:val="Strong"/>
                            <w:b w:val="0"/>
                          </w:rPr>
                          <w:t xml:space="preserve">Jane has a PIA of $2,000 and is fully insured. Tarzan has a PIA of $800 and is also fully insured. </w:t>
                        </w:r>
                        <w:r>
                          <w:rPr>
                            <w:rStyle w:val="Strong"/>
                            <w:b w:val="0"/>
                          </w:rPr>
                          <w:t xml:space="preserve">Tarzan has </w:t>
                        </w:r>
                        <w:r w:rsidR="00AA1B9A">
                          <w:rPr>
                            <w:rStyle w:val="Strong"/>
                            <w:b w:val="0"/>
                          </w:rPr>
                          <w:t xml:space="preserve">only </w:t>
                        </w:r>
                        <w:r>
                          <w:rPr>
                            <w:rStyle w:val="Strong"/>
                            <w:b w:val="0"/>
                          </w:rPr>
                          <w:t xml:space="preserve">worked in covered employment for </w:t>
                        </w:r>
                        <w:r w:rsidR="00AA1B9A">
                          <w:rPr>
                            <w:rStyle w:val="Strong"/>
                            <w:b w:val="0"/>
                          </w:rPr>
                          <w:t xml:space="preserve">20 </w:t>
                        </w:r>
                        <w:r>
                          <w:rPr>
                            <w:rStyle w:val="Strong"/>
                            <w:b w:val="0"/>
                          </w:rPr>
                          <w:t>years. When</w:t>
                        </w:r>
                        <w:r w:rsidRPr="00F80716">
                          <w:rPr>
                            <w:rStyle w:val="Strong"/>
                            <w:b w:val="0"/>
                          </w:rPr>
                          <w:t xml:space="preserve"> both Jane and Tarzan </w:t>
                        </w:r>
                        <w:r>
                          <w:rPr>
                            <w:rStyle w:val="Strong"/>
                            <w:b w:val="0"/>
                          </w:rPr>
                          <w:t>reach</w:t>
                        </w:r>
                        <w:r w:rsidRPr="00F80716">
                          <w:rPr>
                            <w:rStyle w:val="Strong"/>
                            <w:b w:val="0"/>
                          </w:rPr>
                          <w:t xml:space="preserve"> full retirement age, Tarzan </w:t>
                        </w:r>
                        <w:r>
                          <w:rPr>
                            <w:rStyle w:val="Strong"/>
                            <w:b w:val="0"/>
                          </w:rPr>
                          <w:t>will be</w:t>
                        </w:r>
                        <w:r w:rsidRPr="00F80716">
                          <w:rPr>
                            <w:rStyle w:val="Strong"/>
                            <w:b w:val="0"/>
                          </w:rPr>
                          <w:t xml:space="preserve"> entitled to a spousal benefit of $1,000 because he is married to Jane. </w:t>
                        </w:r>
                        <w:r>
                          <w:rPr>
                            <w:rStyle w:val="Strong"/>
                            <w:b w:val="0"/>
                          </w:rPr>
                          <w:t>His spousal retirement benefit will be higher than the benefit based upon his individual earnings.</w:t>
                        </w:r>
                      </w:p>
                      <w:p w14:paraId="4D9B5009" w14:textId="77777777" w:rsidR="00B4733C" w:rsidRPr="00F80716" w:rsidRDefault="00B4733C" w:rsidP="00B4733C">
                        <w:pPr>
                          <w:rPr>
                            <w:rStyle w:val="Strong"/>
                            <w:b w:val="0"/>
                          </w:rPr>
                        </w:pPr>
                        <w:r>
                          <w:rPr>
                            <w:rStyle w:val="Strong"/>
                            <w:b w:val="0"/>
                          </w:rPr>
                          <w:t xml:space="preserve">If </w:t>
                        </w:r>
                        <w:r w:rsidRPr="00F80716">
                          <w:rPr>
                            <w:rStyle w:val="Strong"/>
                            <w:b w:val="0"/>
                          </w:rPr>
                          <w:t xml:space="preserve">Tarzan </w:t>
                        </w:r>
                        <w:r>
                          <w:rPr>
                            <w:rStyle w:val="Strong"/>
                            <w:b w:val="0"/>
                          </w:rPr>
                          <w:t xml:space="preserve">chooses to work additional years in covered employment, he </w:t>
                        </w:r>
                        <w:r w:rsidRPr="00F80716">
                          <w:rPr>
                            <w:rStyle w:val="Strong"/>
                            <w:b w:val="0"/>
                          </w:rPr>
                          <w:t>would have to increase his PIA to more than $1,000 to generate a higher retire</w:t>
                        </w:r>
                        <w:r>
                          <w:rPr>
                            <w:rStyle w:val="Strong"/>
                            <w:b w:val="0"/>
                          </w:rPr>
                          <w:t>ment income than his spousal benefit as Jane’s husband.</w:t>
                        </w:r>
                      </w:p>
                    </w:tc>
                  </w:tr>
                </w:tbl>
                <w:p w14:paraId="556B4838" w14:textId="77777777" w:rsidR="00B4733C" w:rsidRPr="003C71F0" w:rsidRDefault="00B4733C" w:rsidP="00B4733C">
                  <w:pPr>
                    <w:rPr>
                      <w:b/>
                      <w:color w:val="000000"/>
                    </w:rPr>
                  </w:pPr>
                </w:p>
              </w:tc>
            </w:tr>
          </w:tbl>
          <w:p w14:paraId="195F8859" w14:textId="77777777" w:rsidR="00B4733C" w:rsidRPr="00396697" w:rsidRDefault="00B4733C" w:rsidP="00B4733C">
            <w:pPr>
              <w:rPr>
                <w:rFonts w:ascii="Arial" w:hAnsi="Arial"/>
              </w:rPr>
            </w:pPr>
          </w:p>
        </w:tc>
      </w:tr>
      <w:tr w:rsidR="00B4733C" w:rsidRPr="00396697" w14:paraId="3E626C39" w14:textId="77777777" w:rsidTr="00EF587F">
        <w:tc>
          <w:tcPr>
            <w:tcW w:w="9637" w:type="dxa"/>
            <w:shd w:val="clear" w:color="auto" w:fill="6CA8CD"/>
            <w:tcMar>
              <w:top w:w="72" w:type="dxa"/>
              <w:left w:w="115" w:type="dxa"/>
              <w:bottom w:w="72" w:type="dxa"/>
              <w:right w:w="115" w:type="dxa"/>
            </w:tcMar>
          </w:tcPr>
          <w:p w14:paraId="3EC24874" w14:textId="77777777" w:rsidR="00B4733C" w:rsidRPr="00396697" w:rsidRDefault="00B4733C" w:rsidP="00B4733C">
            <w:pPr>
              <w:rPr>
                <w:rFonts w:ascii="Arial" w:hAnsi="Arial"/>
                <w:b/>
                <w:color w:val="FFFFFF"/>
              </w:rPr>
            </w:pPr>
            <w:r w:rsidRPr="001F3D42">
              <w:rPr>
                <w:b/>
                <w:color w:val="FFFFFF"/>
              </w:rPr>
              <w:t>Mistake Number 2</w:t>
            </w:r>
            <w:r w:rsidRPr="00B4733C">
              <w:rPr>
                <w:b/>
                <w:color w:val="FFFFFF"/>
              </w:rPr>
              <w:t xml:space="preserve"> - </w:t>
            </w:r>
            <w:r w:rsidRPr="001F3D42">
              <w:rPr>
                <w:b/>
                <w:color w:val="FFFFFF"/>
              </w:rPr>
              <w:t>Failure to Increase Average Earnings</w:t>
            </w:r>
          </w:p>
        </w:tc>
      </w:tr>
      <w:tr w:rsidR="00B4733C" w:rsidRPr="00396697" w14:paraId="5823A822" w14:textId="77777777" w:rsidTr="00EF587F">
        <w:tc>
          <w:tcPr>
            <w:tcW w:w="9637" w:type="dxa"/>
            <w:shd w:val="clear" w:color="auto" w:fill="FFFFFF"/>
            <w:tcMar>
              <w:top w:w="72" w:type="dxa"/>
              <w:left w:w="115" w:type="dxa"/>
              <w:bottom w:w="72" w:type="dxa"/>
              <w:right w:w="115" w:type="dxa"/>
            </w:tcMar>
          </w:tcPr>
          <w:p w14:paraId="60DEA318" w14:textId="77777777" w:rsidR="00B4733C" w:rsidRPr="00396697" w:rsidRDefault="00B4733C" w:rsidP="00B4733C">
            <w:pPr>
              <w:rPr>
                <w:rFonts w:ascii="Arial" w:hAnsi="Arial"/>
              </w:rPr>
            </w:pPr>
            <w:r>
              <w:lastRenderedPageBreak/>
              <w:t xml:space="preserve">Here is an interesting opportunity. Even after all “zero” years have been replaced by earnings years, there may be even more to gain by continued employment. A worker’s average earnings generally increase when a new higher year of earnings replaces an older lower year of inflation-adjusted </w:t>
            </w:r>
            <w:r w:rsidRPr="003C71F0">
              <w:rPr>
                <w:rStyle w:val="Hyperlink"/>
                <w:b w:val="0"/>
                <w:color w:val="auto"/>
                <w:u w:val="none"/>
              </w:rPr>
              <w:t>ea</w:t>
            </w:r>
            <w:r>
              <w:rPr>
                <w:rStyle w:val="Hyperlink"/>
                <w:b w:val="0"/>
                <w:color w:val="auto"/>
                <w:u w:val="none"/>
              </w:rPr>
              <w:t>rnings</w:t>
            </w:r>
            <w:r>
              <w:t>. Frequently, a late career client may be in their top earnings years and, if so, this strategy could well increase the future monthly retirement benefit check.</w:t>
            </w:r>
          </w:p>
        </w:tc>
      </w:tr>
      <w:tr w:rsidR="00B4733C" w:rsidRPr="00396697" w14:paraId="7B7A653A" w14:textId="77777777" w:rsidTr="00EF587F">
        <w:tc>
          <w:tcPr>
            <w:tcW w:w="9637" w:type="dxa"/>
            <w:shd w:val="clear" w:color="auto" w:fill="6CA8CD"/>
            <w:tcMar>
              <w:top w:w="72" w:type="dxa"/>
              <w:left w:w="115" w:type="dxa"/>
              <w:bottom w:w="72" w:type="dxa"/>
              <w:right w:w="115" w:type="dxa"/>
            </w:tcMar>
          </w:tcPr>
          <w:p w14:paraId="6AF60713" w14:textId="77777777" w:rsidR="00B4733C" w:rsidRPr="00396697" w:rsidRDefault="00B4733C" w:rsidP="00B4733C">
            <w:pPr>
              <w:rPr>
                <w:rFonts w:ascii="Arial" w:hAnsi="Arial"/>
                <w:b/>
                <w:color w:val="FFFFFF"/>
              </w:rPr>
            </w:pPr>
            <w:r w:rsidRPr="001F3D42">
              <w:rPr>
                <w:b/>
                <w:color w:val="FFFFFF"/>
              </w:rPr>
              <w:t>Mistake Number 3 - Failure to Check One’s Social Security Earnings Statement</w:t>
            </w:r>
          </w:p>
        </w:tc>
      </w:tr>
      <w:tr w:rsidR="00B4733C" w:rsidRPr="00396697" w14:paraId="52200940" w14:textId="77777777" w:rsidTr="00EF587F">
        <w:tc>
          <w:tcPr>
            <w:tcW w:w="9637" w:type="dxa"/>
            <w:shd w:val="clear" w:color="auto" w:fill="FFFFFF"/>
            <w:tcMar>
              <w:top w:w="72" w:type="dxa"/>
              <w:left w:w="115" w:type="dxa"/>
              <w:bottom w:w="72" w:type="dxa"/>
              <w:right w:w="115" w:type="dxa"/>
            </w:tcMar>
          </w:tcPr>
          <w:p w14:paraId="218A4FB1" w14:textId="77777777" w:rsidR="00B4733C" w:rsidRPr="00396697" w:rsidRDefault="00B4733C" w:rsidP="000641C4">
            <w:pPr>
              <w:rPr>
                <w:rFonts w:ascii="Arial" w:hAnsi="Arial"/>
              </w:rPr>
            </w:pPr>
            <w:r>
              <w:t xml:space="preserve">The impact of errors or omissions in one’s earnings statement is generally minimal if found and corrected early. An annual review of one’s Social Security </w:t>
            </w:r>
            <w:r w:rsidR="00DA4DA4">
              <w:t xml:space="preserve">benefit statement </w:t>
            </w:r>
            <w:r>
              <w:t xml:space="preserve">is advised. This simple step </w:t>
            </w:r>
            <w:r w:rsidR="00DA4DA4">
              <w:t>may</w:t>
            </w:r>
            <w:r>
              <w:t xml:space="preserve"> avoid real problems 20 or 30 years in the future when records, or even the employer, may be difficult to locate. Social Security offers the following link to do just that:  </w:t>
            </w:r>
            <w:r w:rsidRPr="007F4912">
              <w:rPr>
                <w:b/>
                <w:u w:val="single"/>
              </w:rPr>
              <w:t>http://www.ssa.gov/myaccount/</w:t>
            </w:r>
          </w:p>
        </w:tc>
      </w:tr>
    </w:tbl>
    <w:p w14:paraId="320FAED2" w14:textId="0EFA0501" w:rsidR="00AC40A8" w:rsidRDefault="00AC40A8" w:rsidP="00A72855">
      <w:r>
        <w:t>Your understanding of these foundational Social Security concepts</w:t>
      </w:r>
      <w:r w:rsidR="00E51FC0">
        <w:t>,</w:t>
      </w:r>
      <w:r>
        <w:t xml:space="preserve"> such as claiming age and mistakes to avoid</w:t>
      </w:r>
      <w:r w:rsidR="00E51FC0">
        <w:t>,</w:t>
      </w:r>
      <w:r>
        <w:t xml:space="preserve"> can help your clients in less obvious ways as well. The Pew Research Center’s January 13, 2013</w:t>
      </w:r>
      <w:r w:rsidR="00E51FC0">
        <w:t>,</w:t>
      </w:r>
      <w:r>
        <w:t xml:space="preserve"> </w:t>
      </w:r>
      <w:r w:rsidRPr="008E3F14">
        <w:rPr>
          <w:i/>
        </w:rPr>
        <w:t>Sandwich Generation</w:t>
      </w:r>
      <w:r>
        <w:t xml:space="preserve"> report discloses that more than 1 in every 5 middle</w:t>
      </w:r>
      <w:r w:rsidR="00E51FC0">
        <w:t>-</w:t>
      </w:r>
      <w:r>
        <w:t xml:space="preserve">aged workers provide financial support to a parent. Helping your client’s parent make the wisest Social Security choices could </w:t>
      </w:r>
      <w:r w:rsidR="00D50DD7">
        <w:t xml:space="preserve">indirectly </w:t>
      </w:r>
      <w:r>
        <w:t>put dollars back into your client’s retirement accumulation savings!</w:t>
      </w:r>
    </w:p>
    <w:p w14:paraId="1EB28E93" w14:textId="6A9F652E" w:rsidR="00AC40A8" w:rsidRDefault="00AC40A8" w:rsidP="00A72855">
      <w:r>
        <w:t>There is a final benefit to Social Security that is not to be overlooked. All Social Sec</w:t>
      </w:r>
      <w:r w:rsidR="007F4912">
        <w:t>urity payments, including r</w:t>
      </w:r>
      <w:r>
        <w:t xml:space="preserve">etirement benefits, are indexed annually for inflation through the use of cost-of-living adjustments (COLAs). </w:t>
      </w:r>
      <w:r w:rsidR="00D50DD7">
        <w:t>There is comfort in the COLA for c</w:t>
      </w:r>
      <w:r>
        <w:t xml:space="preserve">lients concerned about </w:t>
      </w:r>
      <w:r w:rsidR="00D50DD7">
        <w:t xml:space="preserve">maintaining </w:t>
      </w:r>
      <w:r>
        <w:t>purchasing power</w:t>
      </w:r>
      <w:r w:rsidR="00D50DD7">
        <w:t>.</w:t>
      </w:r>
      <w:r>
        <w:t xml:space="preserve"> </w:t>
      </w:r>
    </w:p>
    <w:p w14:paraId="4314608A" w14:textId="77777777" w:rsidR="00434077" w:rsidRPr="00E57989" w:rsidRDefault="00434077" w:rsidP="001F3D42">
      <w:pPr>
        <w:pStyle w:val="Heading3"/>
      </w:pPr>
      <w:r>
        <w:t xml:space="preserve">Social Security </w:t>
      </w:r>
      <w:r w:rsidR="00E51FC0">
        <w:t>Financial Solvency</w:t>
      </w:r>
    </w:p>
    <w:p w14:paraId="7FC85E61" w14:textId="77777777" w:rsidR="00434077" w:rsidRDefault="00CF2303" w:rsidP="004344CA">
      <w:r>
        <w:t>Will you receive your</w:t>
      </w:r>
      <w:r w:rsidR="00434077">
        <w:t xml:space="preserve"> promised benefits from Social Security</w:t>
      </w:r>
      <w:r>
        <w:t>? This</w:t>
      </w:r>
      <w:r w:rsidR="00434077">
        <w:t xml:space="preserve"> visceral </w:t>
      </w:r>
      <w:r>
        <w:t>worry may be on the heart</w:t>
      </w:r>
      <w:r w:rsidR="007E4A14">
        <w:t>s</w:t>
      </w:r>
      <w:r>
        <w:t xml:space="preserve"> and mind</w:t>
      </w:r>
      <w:r w:rsidR="007E4A14">
        <w:t>s</w:t>
      </w:r>
      <w:r>
        <w:t xml:space="preserve"> of many, if not most, of your clients as they read predictions of doom and gloom in the headlines. Join us as we</w:t>
      </w:r>
      <w:r w:rsidR="00434077">
        <w:t xml:space="preserve"> </w:t>
      </w:r>
      <w:r w:rsidR="00705693">
        <w:t xml:space="preserve">separate </w:t>
      </w:r>
      <w:r w:rsidR="00347857">
        <w:t>fear from fact.</w:t>
      </w:r>
    </w:p>
    <w:p w14:paraId="44D99DAF" w14:textId="77777777" w:rsidR="00347857" w:rsidRDefault="00347857" w:rsidP="00347857">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347857" w:rsidRPr="002E15EB" w14:paraId="748784AE" w14:textId="77777777" w:rsidTr="00C47E18">
        <w:tc>
          <w:tcPr>
            <w:tcW w:w="9576" w:type="dxa"/>
            <w:shd w:val="clear" w:color="auto" w:fill="DBD9B9"/>
          </w:tcPr>
          <w:p w14:paraId="6B831285" w14:textId="77777777" w:rsidR="00347857" w:rsidRDefault="00347857" w:rsidP="001F3D42">
            <w:pPr>
              <w:rPr>
                <w:b/>
                <w:bCs/>
              </w:rPr>
            </w:pPr>
            <w:r>
              <w:rPr>
                <w:b/>
                <w:bCs/>
              </w:rPr>
              <w:t>Client Fear</w:t>
            </w:r>
          </w:p>
          <w:p w14:paraId="1E6A7141" w14:textId="77777777" w:rsidR="00347857" w:rsidRPr="00380776" w:rsidRDefault="00347857" w:rsidP="00C2622C">
            <w:pPr>
              <w:rPr>
                <w:bCs/>
              </w:rPr>
            </w:pPr>
            <w:r>
              <w:t>Social Security will become insolvent</w:t>
            </w:r>
            <w:r w:rsidR="00C2622C">
              <w:t>.</w:t>
            </w:r>
          </w:p>
        </w:tc>
      </w:tr>
    </w:tbl>
    <w:p w14:paraId="0DF9FEA6" w14:textId="77777777" w:rsidR="00347857" w:rsidRDefault="00347857" w:rsidP="00347857">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347857" w:rsidRPr="002E15EB" w14:paraId="55D7C4D2" w14:textId="77777777" w:rsidTr="00C47E18">
        <w:tc>
          <w:tcPr>
            <w:tcW w:w="9576" w:type="dxa"/>
            <w:shd w:val="clear" w:color="auto" w:fill="DBD9B9"/>
          </w:tcPr>
          <w:p w14:paraId="4AAAEE76" w14:textId="77777777" w:rsidR="00347857" w:rsidRDefault="00347857" w:rsidP="001F3D42">
            <w:pPr>
              <w:rPr>
                <w:b/>
                <w:bCs/>
              </w:rPr>
            </w:pPr>
            <w:r>
              <w:rPr>
                <w:b/>
                <w:bCs/>
              </w:rPr>
              <w:t>Facts</w:t>
            </w:r>
          </w:p>
          <w:p w14:paraId="1A8AFBA3" w14:textId="77777777" w:rsidR="00347857" w:rsidRPr="00636720" w:rsidRDefault="00347857" w:rsidP="001F3D42">
            <w:pPr>
              <w:rPr>
                <w:b/>
                <w:bCs/>
              </w:rPr>
            </w:pPr>
            <w:r>
              <w:t xml:space="preserve">Complete insolvency is unlikely because of the very nature of Social Security. At its core, Social Security is a system of inter-generational wealth transfer through taxation. Every generation pays for the previous generation’s benefits through payroll taxes. As long as this nation has </w:t>
            </w:r>
            <w:r w:rsidR="00B40007">
              <w:t>individual</w:t>
            </w:r>
            <w:r w:rsidR="00E51FC0">
              <w:t>s</w:t>
            </w:r>
            <w:r w:rsidR="00B40007">
              <w:t xml:space="preserve"> working </w:t>
            </w:r>
            <w:r>
              <w:t>in covered employment</w:t>
            </w:r>
            <w:r w:rsidR="00E51FC0">
              <w:t>,</w:t>
            </w:r>
            <w:r>
              <w:t xml:space="preserve"> there will be a source of funding for Social Security benefit payments. </w:t>
            </w:r>
          </w:p>
          <w:p w14:paraId="60E45CBA" w14:textId="6105311E" w:rsidR="00347857" w:rsidRDefault="00347857" w:rsidP="001F3D42">
            <w:r>
              <w:t xml:space="preserve">The Social Security Administration reports in its </w:t>
            </w:r>
            <w:r w:rsidRPr="008E3F14">
              <w:rPr>
                <w:i/>
              </w:rPr>
              <w:t>Summary of the 2013 Annual Reports</w:t>
            </w:r>
            <w:r>
              <w:t xml:space="preserve">, </w:t>
            </w:r>
            <w:r w:rsidR="00EA24C9">
              <w:t xml:space="preserve">that </w:t>
            </w:r>
            <w:r>
              <w:t>until 2010</w:t>
            </w:r>
            <w:r w:rsidR="0019623E">
              <w:t>,</w:t>
            </w:r>
            <w:r>
              <w:t xml:space="preserve"> annual payroll taxes collected were more than annual benefits paid. </w:t>
            </w:r>
            <w:r w:rsidR="003E2F97">
              <w:t>The difference was invested in specialized Treasury bonds owned by the Social Security Old Age and Survivors Trust Fund.</w:t>
            </w:r>
          </w:p>
          <w:p w14:paraId="33C63479" w14:textId="77777777" w:rsidR="00347857" w:rsidRPr="00380776" w:rsidRDefault="00347857" w:rsidP="000641C4">
            <w:pPr>
              <w:rPr>
                <w:bCs/>
              </w:rPr>
            </w:pPr>
            <w:r>
              <w:t>The report further asserts that since 2010</w:t>
            </w:r>
            <w:r w:rsidR="00E51FC0">
              <w:t>,</w:t>
            </w:r>
            <w:r>
              <w:t xml:space="preserve"> more benefits were paid annually than taxes </w:t>
            </w:r>
            <w:r>
              <w:lastRenderedPageBreak/>
              <w:t xml:space="preserve">collected. The funding for the difference comes from the </w:t>
            </w:r>
            <w:r w:rsidR="003E2F97">
              <w:t xml:space="preserve">Trust Fund. </w:t>
            </w:r>
            <w:r>
              <w:t>The report also notes that, even if the current structure is not reformed, 100% of promised benefits will be paid through 2033 and approximately 75% of promised benefits will be paid from 2034 through 2087.</w:t>
            </w:r>
          </w:p>
        </w:tc>
      </w:tr>
    </w:tbl>
    <w:p w14:paraId="51A69556" w14:textId="1F3A3626" w:rsidR="00481790" w:rsidRDefault="00481790" w:rsidP="001F3D42">
      <w:r>
        <w:lastRenderedPageBreak/>
        <w:t xml:space="preserve">What, then, </w:t>
      </w:r>
      <w:r w:rsidR="00786F52">
        <w:t xml:space="preserve">are the planning implications for </w:t>
      </w:r>
      <w:r>
        <w:t xml:space="preserve">your </w:t>
      </w:r>
      <w:r w:rsidR="00786F52">
        <w:t xml:space="preserve">clients? There are </w:t>
      </w:r>
      <w:r w:rsidR="00B40007">
        <w:t xml:space="preserve">at least </w:t>
      </w:r>
      <w:r w:rsidR="00786F52">
        <w:t>three potenti</w:t>
      </w:r>
      <w:r>
        <w:t>al responses</w:t>
      </w:r>
      <w:r w:rsidR="00E51FC0">
        <w:t>:</w:t>
      </w:r>
      <w:r>
        <w:t xml:space="preserve"> 1) assume everything will be fixed by Congress </w:t>
      </w:r>
      <w:r w:rsidR="00786F52">
        <w:t xml:space="preserve">and that 100% of </w:t>
      </w:r>
      <w:r>
        <w:t xml:space="preserve">expected </w:t>
      </w:r>
      <w:r w:rsidR="00786F52">
        <w:t>benefits will be paid</w:t>
      </w:r>
      <w:r w:rsidR="00E51FC0">
        <w:t>;</w:t>
      </w:r>
      <w:r w:rsidR="00786F52">
        <w:t xml:space="preserve"> 2) assume the </w:t>
      </w:r>
      <w:r w:rsidR="00B40007">
        <w:t xml:space="preserve">worst case </w:t>
      </w:r>
      <w:r w:rsidR="00786F52">
        <w:t>and no benefits will be paid</w:t>
      </w:r>
      <w:r w:rsidR="00E51FC0">
        <w:t>;</w:t>
      </w:r>
      <w:r w:rsidR="00786F52">
        <w:t xml:space="preserve"> or 3) strike a middle ground by assuming most, but not all, promised benefits will be paid. </w:t>
      </w:r>
      <w:r w:rsidR="006871FA">
        <w:t xml:space="preserve">While an argument could be made for choice 3, ultimately your client’s wishes will drive which of these choices is most appropriate. </w:t>
      </w:r>
    </w:p>
    <w:p w14:paraId="7EBBF767" w14:textId="33834BC4" w:rsidR="00B22769" w:rsidRDefault="00B22769" w:rsidP="00B22769">
      <w:r>
        <w:t xml:space="preserve">Our purpose in this </w:t>
      </w:r>
      <w:r w:rsidR="003E2F97">
        <w:t xml:space="preserve">Social Security </w:t>
      </w:r>
      <w:r>
        <w:t xml:space="preserve">discussion is to help raise awareness of these issues rather than </w:t>
      </w:r>
      <w:r w:rsidR="00903DE7">
        <w:t xml:space="preserve">to </w:t>
      </w:r>
      <w:r>
        <w:t>suggest specific client recommendations. Clients may present differing goals, life expectancies, income tax rates, and earnings histor</w:t>
      </w:r>
      <w:r w:rsidR="00590AD6">
        <w:t>ies</w:t>
      </w:r>
      <w:r>
        <w:t>. Social Security regulations and tax laws are subject to change. Hence, specific client questions should be directed to the Social Security Administration, an attorney, CPA, or CFP</w:t>
      </w:r>
      <w:r w:rsidRPr="003C71F0">
        <w:rPr>
          <w:vertAlign w:val="superscript"/>
        </w:rPr>
        <w:t xml:space="preserve">® </w:t>
      </w:r>
      <w:r>
        <w:t>professional.</w:t>
      </w:r>
    </w:p>
    <w:p w14:paraId="0C0F3198" w14:textId="77777777" w:rsidR="00560162" w:rsidRPr="001F3D42" w:rsidRDefault="00560162" w:rsidP="001F3D42">
      <w:pPr>
        <w:rPr>
          <w:i/>
          <w:sz w:val="16"/>
          <w:szCs w:val="16"/>
        </w:rPr>
      </w:pPr>
    </w:p>
    <w:p w14:paraId="3DEE3B68" w14:textId="77777777" w:rsidR="00AC40A8" w:rsidRDefault="00560162" w:rsidP="004344CA">
      <w:pPr>
        <w:pStyle w:val="Heading2"/>
      </w:pPr>
      <w:r>
        <w:br w:type="page"/>
      </w:r>
      <w:r w:rsidR="00AC40A8">
        <w:lastRenderedPageBreak/>
        <w:t>Deferred Annuities</w:t>
      </w:r>
    </w:p>
    <w:p w14:paraId="7769DE8B" w14:textId="77984D52" w:rsidR="00AC40A8" w:rsidRDefault="00AC40A8" w:rsidP="00742B00">
      <w:r>
        <w:t>How would your client react to a strategy that provided a guaranteed lifetime income in retirement, tax-deferred growth, and unlimited contributions during the accumulation period? An annuity can give your client all of those benefits and more. This course is centered upon accumulation planning</w:t>
      </w:r>
      <w:r w:rsidR="00ED3E31">
        <w:t>,</w:t>
      </w:r>
      <w:r>
        <w:t xml:space="preserve"> so an annuity that defers distributions to retirement</w:t>
      </w:r>
      <w:r w:rsidR="006871FA">
        <w:t>, a</w:t>
      </w:r>
      <w:r>
        <w:t xml:space="preserve"> deferred annuity</w:t>
      </w:r>
      <w:r w:rsidR="00903DE7">
        <w:t xml:space="preserve">, </w:t>
      </w:r>
      <w:r>
        <w:t>is our focus in the discussion that follows.</w:t>
      </w:r>
    </w:p>
    <w:p w14:paraId="338B6B90" w14:textId="42E238B5" w:rsidR="000413AC" w:rsidRDefault="00AC40A8" w:rsidP="000D336F">
      <w:r w:rsidRPr="0012743C">
        <w:t xml:space="preserve">An </w:t>
      </w:r>
      <w:r w:rsidRPr="00A63C3E">
        <w:rPr>
          <w:bCs/>
          <w:iCs/>
        </w:rPr>
        <w:t>annuity</w:t>
      </w:r>
      <w:r w:rsidRPr="0012743C">
        <w:t xml:space="preserve"> is </w:t>
      </w:r>
      <w:r>
        <w:t xml:space="preserve">simply </w:t>
      </w:r>
      <w:r w:rsidRPr="0012743C">
        <w:t>a contract that provides a series of periodic payment</w:t>
      </w:r>
      <w:r>
        <w:t>s to an individual</w:t>
      </w:r>
      <w:r w:rsidR="00903DE7">
        <w:t xml:space="preserve"> referred to as the annuitant</w:t>
      </w:r>
      <w:r>
        <w:t xml:space="preserve">. </w:t>
      </w:r>
      <w:r w:rsidR="000413AC">
        <w:t xml:space="preserve">While a detailed analysis of annuities is beyond </w:t>
      </w:r>
      <w:r w:rsidR="00ED3E31">
        <w:t xml:space="preserve">the </w:t>
      </w:r>
      <w:r w:rsidR="000413AC">
        <w:t xml:space="preserve">scope for this course, we will summarize select characteristics of this </w:t>
      </w:r>
      <w:r w:rsidR="001C2A69">
        <w:t xml:space="preserve">powerful </w:t>
      </w:r>
      <w:r w:rsidR="000413AC">
        <w:t>retirement accumulation tool.</w:t>
      </w:r>
    </w:p>
    <w:p w14:paraId="06AA50E7" w14:textId="28DB3CB3" w:rsidR="00AC40A8" w:rsidRPr="001F3D42" w:rsidRDefault="000413AC" w:rsidP="000D336F">
      <w:pPr>
        <w:rPr>
          <w:b/>
          <w:color w:val="FF0000"/>
        </w:rPr>
      </w:pPr>
      <w:r>
        <w:t>A</w:t>
      </w:r>
      <w:r w:rsidR="00AC40A8">
        <w:t xml:space="preserve">nnuities can be </w:t>
      </w:r>
      <w:r w:rsidR="00603279">
        <w:t xml:space="preserve">described </w:t>
      </w:r>
      <w:r w:rsidR="00AC40A8">
        <w:t xml:space="preserve">in a number of different ways, as the following chart will demonstrate.  </w:t>
      </w:r>
      <w:r w:rsidR="00B4733C" w:rsidRPr="001F3D42">
        <w:rPr>
          <w:b/>
          <w:color w:val="FF0000"/>
        </w:rPr>
        <w:t>Click each to learn more.</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AC40A8" w:rsidRPr="005A7851" w14:paraId="295A9A08" w14:textId="77777777" w:rsidTr="001F3D42">
        <w:tc>
          <w:tcPr>
            <w:tcW w:w="9590" w:type="dxa"/>
            <w:tcBorders>
              <w:bottom w:val="single" w:sz="4" w:space="0" w:color="6CA8CD"/>
            </w:tcBorders>
            <w:shd w:val="clear" w:color="auto" w:fill="6CA8CD"/>
            <w:tcMar>
              <w:top w:w="72" w:type="dxa"/>
              <w:left w:w="115" w:type="dxa"/>
              <w:bottom w:w="72" w:type="dxa"/>
              <w:right w:w="115" w:type="dxa"/>
            </w:tcMar>
          </w:tcPr>
          <w:p w14:paraId="4EEE5C5F" w14:textId="77777777" w:rsidR="00AC40A8" w:rsidRPr="00E97569" w:rsidRDefault="00AC40A8" w:rsidP="00536DAC">
            <w:pPr>
              <w:rPr>
                <w:b/>
                <w:color w:val="FFFFFF"/>
              </w:rPr>
            </w:pPr>
            <w:r>
              <w:rPr>
                <w:b/>
                <w:color w:val="FFFFFF"/>
              </w:rPr>
              <w:t>When Will Annuity Payments Begin?</w:t>
            </w:r>
          </w:p>
        </w:tc>
      </w:tr>
      <w:tr w:rsidR="00AC40A8" w:rsidRPr="005A7851" w14:paraId="42320CFD" w14:textId="77777777" w:rsidTr="001F3D42">
        <w:tc>
          <w:tcPr>
            <w:tcW w:w="9590" w:type="dxa"/>
            <w:shd w:val="clear" w:color="auto" w:fill="FFFFFF"/>
            <w:tcMar>
              <w:top w:w="72" w:type="dxa"/>
              <w:left w:w="115" w:type="dxa"/>
              <w:bottom w:w="72" w:type="dxa"/>
              <w:right w:w="115" w:type="dxa"/>
            </w:tcMar>
          </w:tcPr>
          <w:p w14:paraId="217E84B2" w14:textId="71D0C963" w:rsidR="00AC40A8" w:rsidRDefault="00AC40A8" w:rsidP="005B5DE9">
            <w:r>
              <w:t xml:space="preserve">An immediate annuity begins distributing annuity payments </w:t>
            </w:r>
            <w:r w:rsidR="00903DE7">
              <w:t xml:space="preserve">to the annuitant </w:t>
            </w:r>
            <w:r>
              <w:t xml:space="preserve">immediately after the annuity is purchased. In contrast, a deferred annuity begins distributions of annuity payments </w:t>
            </w:r>
            <w:r w:rsidR="00903DE7">
              <w:t xml:space="preserve">to the annuitant </w:t>
            </w:r>
            <w:r>
              <w:t xml:space="preserve">in the future. Generally, a client who has already contributed the maximum to any </w:t>
            </w:r>
            <w:r w:rsidR="00AD26B4" w:rsidRPr="008E3F14">
              <w:rPr>
                <w:rStyle w:val="Hyperlink"/>
              </w:rPr>
              <w:t>tax</w:t>
            </w:r>
            <w:r w:rsidR="0019623E">
              <w:rPr>
                <w:rStyle w:val="Hyperlink"/>
              </w:rPr>
              <w:t>-</w:t>
            </w:r>
            <w:r w:rsidR="00AD26B4" w:rsidRPr="008E3F14">
              <w:rPr>
                <w:rStyle w:val="Hyperlink"/>
              </w:rPr>
              <w:t>deferred accounts</w:t>
            </w:r>
            <w:r w:rsidR="00AD26B4">
              <w:t xml:space="preserve"> </w:t>
            </w:r>
            <w:r>
              <w:t xml:space="preserve">may be a candidate for a deferred annuity. </w:t>
            </w:r>
            <w:r w:rsidR="00D7170C">
              <w:t xml:space="preserve">Deferred annuities can provide a guaranteed income stream at retirement </w:t>
            </w:r>
            <w:r w:rsidR="006871FA">
              <w:t xml:space="preserve">and </w:t>
            </w:r>
            <w:r w:rsidR="00B44DEE">
              <w:t xml:space="preserve">may </w:t>
            </w:r>
            <w:r w:rsidR="006871FA">
              <w:t>resonate</w:t>
            </w:r>
            <w:r w:rsidR="00D7170C">
              <w:t xml:space="preserve"> with clients concerned about running out of money before they run out of life.</w:t>
            </w:r>
          </w:p>
          <w:tbl>
            <w:tblPr>
              <w:tblStyle w:val="TableGrid"/>
              <w:tblW w:w="0" w:type="auto"/>
              <w:tblBorders>
                <w:insideH w:val="none" w:sz="0" w:space="0" w:color="auto"/>
                <w:insideV w:val="none" w:sz="0" w:space="0" w:color="auto"/>
              </w:tblBorders>
              <w:shd w:val="clear" w:color="auto" w:fill="E0E0E0"/>
              <w:tblLook w:val="04A0" w:firstRow="1" w:lastRow="0" w:firstColumn="1" w:lastColumn="0" w:noHBand="0" w:noVBand="1"/>
            </w:tblPr>
            <w:tblGrid>
              <w:gridCol w:w="9345"/>
            </w:tblGrid>
            <w:tr w:rsidR="00D7170C" w14:paraId="0ADD6334" w14:textId="77777777" w:rsidTr="008E3F14">
              <w:tc>
                <w:tcPr>
                  <w:tcW w:w="9345" w:type="dxa"/>
                  <w:shd w:val="clear" w:color="auto" w:fill="E0E0E0"/>
                </w:tcPr>
                <w:p w14:paraId="0F6B83C1" w14:textId="7292B6C4" w:rsidR="00D7170C" w:rsidRPr="003B4006" w:rsidRDefault="00D7170C" w:rsidP="00D7170C">
                  <w:r w:rsidRPr="003B4006">
                    <w:rPr>
                      <w:rStyle w:val="Hyperlink"/>
                      <w:u w:val="none"/>
                    </w:rPr>
                    <w:t>Tax</w:t>
                  </w:r>
                  <w:r w:rsidR="0019623E" w:rsidRPr="003B4006">
                    <w:rPr>
                      <w:rStyle w:val="Hyperlink"/>
                      <w:u w:val="none"/>
                    </w:rPr>
                    <w:t>-</w:t>
                  </w:r>
                  <w:r w:rsidRPr="003B4006">
                    <w:rPr>
                      <w:rStyle w:val="Hyperlink"/>
                      <w:u w:val="none"/>
                    </w:rPr>
                    <w:t>Deferred Accounts</w:t>
                  </w:r>
                  <w:r w:rsidRPr="003B4006">
                    <w:t xml:space="preserve"> </w:t>
                  </w:r>
                </w:p>
                <w:p w14:paraId="0337B312" w14:textId="526F70B2" w:rsidR="00D7170C" w:rsidRDefault="00D7170C" w:rsidP="00F969C2">
                  <w:r>
                    <w:t>Tax</w:t>
                  </w:r>
                  <w:r w:rsidR="0019623E">
                    <w:t>-</w:t>
                  </w:r>
                  <w:r>
                    <w:t>deferred accounts include employer</w:t>
                  </w:r>
                  <w:r w:rsidR="0019623E">
                    <w:t>-</w:t>
                  </w:r>
                  <w:r>
                    <w:t>sponsored retirement plans, IRAs, and other plans/accounts.</w:t>
                  </w:r>
                </w:p>
              </w:tc>
            </w:tr>
          </w:tbl>
          <w:p w14:paraId="13D3DF81" w14:textId="77777777" w:rsidR="00AD26B4" w:rsidRPr="00E97569" w:rsidRDefault="00AD26B4" w:rsidP="005B5DE9"/>
        </w:tc>
      </w:tr>
      <w:tr w:rsidR="00AC40A8" w:rsidRPr="005A7851" w14:paraId="6474C8C6" w14:textId="77777777" w:rsidTr="001F3D42">
        <w:tc>
          <w:tcPr>
            <w:tcW w:w="9590" w:type="dxa"/>
            <w:tcBorders>
              <w:bottom w:val="single" w:sz="4" w:space="0" w:color="6CA8CD"/>
            </w:tcBorders>
            <w:shd w:val="clear" w:color="auto" w:fill="6CA8CD"/>
            <w:tcMar>
              <w:top w:w="72" w:type="dxa"/>
              <w:left w:w="115" w:type="dxa"/>
              <w:bottom w:w="72" w:type="dxa"/>
              <w:right w:w="115" w:type="dxa"/>
            </w:tcMar>
          </w:tcPr>
          <w:p w14:paraId="1529176F" w14:textId="77777777" w:rsidR="00AC40A8" w:rsidRPr="00E97569" w:rsidRDefault="00AC40A8" w:rsidP="00536DAC">
            <w:pPr>
              <w:rPr>
                <w:b/>
                <w:color w:val="FFFFFF"/>
              </w:rPr>
            </w:pPr>
            <w:r>
              <w:rPr>
                <w:b/>
                <w:color w:val="FFFFFF"/>
              </w:rPr>
              <w:t>How Long Will Payments Continue?</w:t>
            </w:r>
          </w:p>
        </w:tc>
      </w:tr>
      <w:tr w:rsidR="00AC40A8" w:rsidRPr="005A7851" w14:paraId="5E9C5DE5" w14:textId="77777777" w:rsidTr="001F3D42">
        <w:tc>
          <w:tcPr>
            <w:tcW w:w="9590" w:type="dxa"/>
            <w:shd w:val="clear" w:color="auto" w:fill="FFFFFF"/>
            <w:tcMar>
              <w:top w:w="72" w:type="dxa"/>
              <w:left w:w="115" w:type="dxa"/>
              <w:bottom w:w="72" w:type="dxa"/>
              <w:right w:w="115" w:type="dxa"/>
            </w:tcMar>
          </w:tcPr>
          <w:p w14:paraId="6F4750C2" w14:textId="77777777" w:rsidR="00AC40A8" w:rsidRDefault="00AC40A8" w:rsidP="005B5DE9">
            <w:r>
              <w:t>An annuity may be structured as a lifetime annuity, an annuity for a fixed period of years, or a combination method</w:t>
            </w:r>
            <w:r w:rsidR="00ED3E31">
              <w:t>,</w:t>
            </w:r>
            <w:r>
              <w:t xml:space="preserve"> such as life with period certain.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AC40A8" w14:paraId="17EB3703" w14:textId="77777777" w:rsidTr="003E04D5">
              <w:tc>
                <w:tcPr>
                  <w:tcW w:w="9345" w:type="dxa"/>
                  <w:shd w:val="clear" w:color="auto" w:fill="FFFF99"/>
                </w:tcPr>
                <w:p w14:paraId="1DF213D8" w14:textId="77777777" w:rsidR="00AC40A8" w:rsidRPr="005B5DE9" w:rsidRDefault="00AC40A8" w:rsidP="002F72D1">
                  <w:pPr>
                    <w:rPr>
                      <w:b/>
                    </w:rPr>
                  </w:pPr>
                  <w:r w:rsidRPr="005B5DE9">
                    <w:rPr>
                      <w:b/>
                    </w:rPr>
                    <w:t>Example of Life with Period Certain Annuity</w:t>
                  </w:r>
                </w:p>
                <w:p w14:paraId="6AF01890" w14:textId="77777777" w:rsidR="00AC40A8" w:rsidRDefault="00AC40A8" w:rsidP="00AD68AC">
                  <w:r>
                    <w:t xml:space="preserve">Mrs. Stokes purchased a lifetime annuity with a 10-year period certain. Her annuity payments will continue for the longer of her lifetime or 10 years. If she dies within 10 years, annuity payments to her beneficiary will continue for the remainder of the 10-year period. </w:t>
                  </w:r>
                </w:p>
              </w:tc>
            </w:tr>
          </w:tbl>
          <w:p w14:paraId="35AA3ABE" w14:textId="77777777" w:rsidR="00AC40A8" w:rsidRPr="00E97569" w:rsidRDefault="00AC40A8" w:rsidP="005B5DE9"/>
        </w:tc>
      </w:tr>
      <w:tr w:rsidR="00AC40A8" w:rsidRPr="005A7851" w14:paraId="17656F91" w14:textId="77777777" w:rsidTr="001F3D42">
        <w:tc>
          <w:tcPr>
            <w:tcW w:w="9590" w:type="dxa"/>
            <w:tcBorders>
              <w:bottom w:val="single" w:sz="4" w:space="0" w:color="6CA8CD"/>
            </w:tcBorders>
            <w:shd w:val="clear" w:color="auto" w:fill="6CA8CD"/>
            <w:tcMar>
              <w:top w:w="72" w:type="dxa"/>
              <w:left w:w="115" w:type="dxa"/>
              <w:bottom w:w="72" w:type="dxa"/>
              <w:right w:w="115" w:type="dxa"/>
            </w:tcMar>
          </w:tcPr>
          <w:p w14:paraId="2FCAEFFC" w14:textId="77777777" w:rsidR="00AC40A8" w:rsidRPr="00E97569" w:rsidRDefault="00AC40A8" w:rsidP="00536DAC">
            <w:pPr>
              <w:rPr>
                <w:b/>
                <w:color w:val="FFFFFF"/>
              </w:rPr>
            </w:pPr>
            <w:r>
              <w:rPr>
                <w:b/>
                <w:color w:val="FFFFFF"/>
              </w:rPr>
              <w:t>How Much Will I Receive Monthly?</w:t>
            </w:r>
          </w:p>
        </w:tc>
      </w:tr>
      <w:tr w:rsidR="00AC40A8" w:rsidRPr="005A7851" w14:paraId="244954CF" w14:textId="77777777" w:rsidTr="001F3D42">
        <w:tc>
          <w:tcPr>
            <w:tcW w:w="9590" w:type="dxa"/>
            <w:tcBorders>
              <w:bottom w:val="single" w:sz="4" w:space="0" w:color="6CA8CD"/>
            </w:tcBorders>
            <w:shd w:val="clear" w:color="auto" w:fill="FFFFFF"/>
            <w:tcMar>
              <w:top w:w="72" w:type="dxa"/>
              <w:left w:w="115" w:type="dxa"/>
              <w:bottom w:w="72" w:type="dxa"/>
              <w:right w:w="115" w:type="dxa"/>
            </w:tcMar>
          </w:tcPr>
          <w:p w14:paraId="2975B910" w14:textId="71CABF97" w:rsidR="00AC40A8" w:rsidRPr="00E97569" w:rsidRDefault="00AC40A8">
            <w:pPr>
              <w:rPr>
                <w:b/>
                <w:sz w:val="17"/>
              </w:rPr>
            </w:pPr>
            <w:r>
              <w:t xml:space="preserve">A fixed annuity pays a fixed amount over the distribution period and a variable annuity pays a varying amount over the distribution period. </w:t>
            </w:r>
            <w:r w:rsidR="000413AC">
              <w:t xml:space="preserve">A fixed annuity </w:t>
            </w:r>
            <w:r w:rsidR="003A38E6">
              <w:t xml:space="preserve">may not always </w:t>
            </w:r>
            <w:r w:rsidR="00903DE7">
              <w:t xml:space="preserve">provide inflation protection </w:t>
            </w:r>
            <w:r w:rsidR="003A38E6">
              <w:t xml:space="preserve">(such protection may be available at additional cost) </w:t>
            </w:r>
            <w:r w:rsidR="00903DE7">
              <w:t xml:space="preserve">or </w:t>
            </w:r>
            <w:r w:rsidR="000413AC">
              <w:t>give the annuity owner a voice in selecting investments. A variable annuity provides the annuity owner with a choice over annuity investments</w:t>
            </w:r>
            <w:r w:rsidR="00903DE7">
              <w:t xml:space="preserve"> and may provide an opportunity to maintain an inflation-adjusted annuity payout</w:t>
            </w:r>
            <w:r w:rsidR="000413AC">
              <w:t xml:space="preserve">. </w:t>
            </w:r>
            <w:r>
              <w:t xml:space="preserve">In a variable annuity, the payment fluctuates up or down based </w:t>
            </w:r>
            <w:r>
              <w:lastRenderedPageBreak/>
              <w:t>upon investment performance of the annuity’s investments.</w:t>
            </w:r>
          </w:p>
        </w:tc>
      </w:tr>
    </w:tbl>
    <w:p w14:paraId="2C47534E" w14:textId="77777777" w:rsidR="00AC40A8" w:rsidRDefault="00AC40A8" w:rsidP="004E543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C40A8" w14:paraId="5D963037" w14:textId="77777777" w:rsidTr="001F3D42">
        <w:tc>
          <w:tcPr>
            <w:tcW w:w="9576" w:type="dxa"/>
            <w:shd w:val="clear" w:color="auto" w:fill="FBD4B4"/>
          </w:tcPr>
          <w:p w14:paraId="4753A377" w14:textId="77777777" w:rsidR="00AC40A8" w:rsidRPr="001F3D42" w:rsidRDefault="00AC40A8" w:rsidP="000D336F">
            <w:pPr>
              <w:rPr>
                <w:b/>
                <w:i/>
                <w:color w:val="FF0000"/>
              </w:rPr>
            </w:pPr>
            <w:r w:rsidRPr="001F3D42">
              <w:rPr>
                <w:b/>
                <w:i/>
                <w:color w:val="FF0000"/>
              </w:rPr>
              <w:t>Compliance Alert</w:t>
            </w:r>
          </w:p>
          <w:p w14:paraId="6EB2D4AF" w14:textId="1EA8DC4B" w:rsidR="00AC40A8" w:rsidRPr="009A0693" w:rsidRDefault="00AC40A8">
            <w:pPr>
              <w:rPr>
                <w:b/>
                <w:i/>
              </w:rPr>
            </w:pPr>
            <w:r w:rsidRPr="009B34F1">
              <w:rPr>
                <w:b/>
                <w:i/>
              </w:rPr>
              <w:t xml:space="preserve">Only licensed professionals may sell </w:t>
            </w:r>
            <w:r w:rsidR="00E8572F">
              <w:rPr>
                <w:b/>
                <w:i/>
              </w:rPr>
              <w:t xml:space="preserve">an </w:t>
            </w:r>
            <w:r w:rsidRPr="009B34F1">
              <w:rPr>
                <w:b/>
                <w:i/>
              </w:rPr>
              <w:t>annuity product. Check with your compliance department before discussing annuity planning with clients to avoid compliance issues!</w:t>
            </w:r>
          </w:p>
        </w:tc>
      </w:tr>
    </w:tbl>
    <w:p w14:paraId="65C48485" w14:textId="77777777" w:rsidR="00AC40A8" w:rsidRDefault="00AC40A8" w:rsidP="000D336F">
      <w:r>
        <w:t xml:space="preserve">Deferred annuities provide the following noteworthy advantages </w:t>
      </w:r>
      <w:r w:rsidR="000413AC">
        <w:t>coupled with equally noteworthy disadvantages.</w:t>
      </w:r>
    </w:p>
    <w:tbl>
      <w:tblPr>
        <w:tblW w:w="9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642"/>
      </w:tblGrid>
      <w:tr w:rsidR="00AC40A8" w:rsidRPr="00F34122" w14:paraId="2D0AE992" w14:textId="77777777" w:rsidTr="001F3D42">
        <w:trPr>
          <w:trHeight w:val="3068"/>
        </w:trPr>
        <w:tc>
          <w:tcPr>
            <w:tcW w:w="9642" w:type="dxa"/>
            <w:shd w:val="clear" w:color="auto" w:fill="DBD9B9"/>
            <w:tcMar>
              <w:top w:w="72" w:type="dxa"/>
              <w:left w:w="115" w:type="dxa"/>
              <w:bottom w:w="72" w:type="dxa"/>
              <w:right w:w="115" w:type="dxa"/>
            </w:tcMar>
          </w:tcPr>
          <w:p w14:paraId="3F1CDAA7" w14:textId="77777777" w:rsidR="00AC40A8" w:rsidRDefault="00AC40A8" w:rsidP="000D336F">
            <w:pPr>
              <w:pStyle w:val="Heading3"/>
            </w:pPr>
            <w:r>
              <w:t>Advantages</w:t>
            </w:r>
          </w:p>
          <w:p w14:paraId="50FD0791" w14:textId="77777777" w:rsidR="00AC40A8" w:rsidRDefault="00AC40A8" w:rsidP="004367E9">
            <w:pPr>
              <w:pStyle w:val="TextBullet1"/>
            </w:pPr>
            <w:r>
              <w:t>Guaranteed lifetime income benefit is available that the annuitant cannot outlive</w:t>
            </w:r>
          </w:p>
          <w:p w14:paraId="161829C8" w14:textId="42CF6226" w:rsidR="00AC40A8" w:rsidRDefault="004367E9" w:rsidP="004367E9">
            <w:pPr>
              <w:pStyle w:val="TextBullet1"/>
            </w:pPr>
            <w:r>
              <w:t xml:space="preserve">Income tax </w:t>
            </w:r>
            <w:r w:rsidR="00AC40A8">
              <w:t>deferral</w:t>
            </w:r>
            <w:r>
              <w:t xml:space="preserve"> - </w:t>
            </w:r>
            <w:r w:rsidR="004551FE">
              <w:t>earnings are only taxed when distributed to the annuitant</w:t>
            </w:r>
          </w:p>
          <w:p w14:paraId="3807AAE8" w14:textId="77777777" w:rsidR="00AC40A8" w:rsidRDefault="004551FE" w:rsidP="004367E9">
            <w:pPr>
              <w:pStyle w:val="TextBullet1"/>
            </w:pPr>
            <w:r>
              <w:t>Opportunity, but not guarantee, to keep pace with inflation through a</w:t>
            </w:r>
            <w:r w:rsidR="00AC40A8">
              <w:t xml:space="preserve"> wide range of variable investment options</w:t>
            </w:r>
            <w:r w:rsidR="000413AC">
              <w:t xml:space="preserve"> </w:t>
            </w:r>
            <w:r>
              <w:t>(</w:t>
            </w:r>
            <w:r w:rsidR="000413AC">
              <w:t>if investing in a variable annuity</w:t>
            </w:r>
            <w:r>
              <w:t>)</w:t>
            </w:r>
          </w:p>
          <w:p w14:paraId="19346A8A" w14:textId="77777777" w:rsidR="00AC40A8" w:rsidRDefault="00AC40A8" w:rsidP="001F751E">
            <w:pPr>
              <w:pStyle w:val="Heading3"/>
            </w:pPr>
            <w:r>
              <w:t>Disadvantages</w:t>
            </w:r>
          </w:p>
          <w:p w14:paraId="0AE7E4F6" w14:textId="77777777" w:rsidR="004551FE" w:rsidRDefault="004551FE" w:rsidP="004367E9">
            <w:pPr>
              <w:pStyle w:val="TextBullet1"/>
            </w:pPr>
            <w:r>
              <w:t>No income tax deduction as with contributions to a deductible Traditional IRA</w:t>
            </w:r>
          </w:p>
          <w:p w14:paraId="3747E064" w14:textId="415F35E9" w:rsidR="00AC40A8" w:rsidRPr="005B5DE9" w:rsidRDefault="00AC028F" w:rsidP="004367E9">
            <w:pPr>
              <w:pStyle w:val="TextBullet1"/>
              <w:rPr>
                <w:bCs/>
              </w:rPr>
            </w:pPr>
            <w:r>
              <w:t>As with IRAs and certain employer-sponsored retirement plans, w</w:t>
            </w:r>
            <w:r w:rsidR="00AC40A8">
              <w:t xml:space="preserve">ithdrawals prior to age 59½ may incur a 10% </w:t>
            </w:r>
            <w:r w:rsidR="000413AC">
              <w:t xml:space="preserve">premature distribution </w:t>
            </w:r>
            <w:r w:rsidR="00AC40A8">
              <w:t>penalty</w:t>
            </w:r>
          </w:p>
          <w:p w14:paraId="44333995" w14:textId="77777777" w:rsidR="00AC40A8" w:rsidRPr="00C05E7D" w:rsidRDefault="00AC40A8" w:rsidP="004367E9">
            <w:pPr>
              <w:pStyle w:val="TextBullet1"/>
              <w:rPr>
                <w:bCs/>
              </w:rPr>
            </w:pPr>
            <w:r>
              <w:t>Annual fees and expenses tend to be higher than IRAs or brokerage accounts</w:t>
            </w:r>
          </w:p>
          <w:p w14:paraId="5B78315F" w14:textId="70464A8C" w:rsidR="00AC6F33" w:rsidRPr="004C08A0" w:rsidRDefault="00AC6F33" w:rsidP="004367E9">
            <w:pPr>
              <w:pStyle w:val="TextBullet1"/>
              <w:rPr>
                <w:bCs/>
              </w:rPr>
            </w:pPr>
            <w:r>
              <w:t>Restrictions on access to principal</w:t>
            </w:r>
            <w:r w:rsidR="003D705D">
              <w:t xml:space="preserve"> such as surrender charges for termination</w:t>
            </w:r>
          </w:p>
        </w:tc>
      </w:tr>
    </w:tbl>
    <w:p w14:paraId="16AF5AA3" w14:textId="77777777" w:rsidR="00AC40A8" w:rsidRDefault="00AC40A8" w:rsidP="00DF0BEC">
      <w:pPr>
        <w:pStyle w:val="Bullet3"/>
      </w:pPr>
    </w:p>
    <w:p w14:paraId="6034D576" w14:textId="77777777" w:rsidR="00AC40A8" w:rsidRDefault="00AC40A8" w:rsidP="004344CA">
      <w:pPr>
        <w:pStyle w:val="Heading2"/>
      </w:pPr>
      <w:r>
        <w:br w:type="page"/>
      </w:r>
      <w:r>
        <w:lastRenderedPageBreak/>
        <w:t>Key Issue 3 – Effective Investment Strategy</w:t>
      </w:r>
    </w:p>
    <w:p w14:paraId="65EDFD30" w14:textId="77777777" w:rsidR="00D62F3C" w:rsidRDefault="00D62F3C" w:rsidP="00D62F3C">
      <w:pPr>
        <w:rPr>
          <w:b/>
          <w:color w:val="FF0000"/>
        </w:rPr>
      </w:pPr>
    </w:p>
    <w:p w14:paraId="7616F4CC" w14:textId="77777777" w:rsidR="00D62F3C" w:rsidRDefault="00D62F3C" w:rsidP="00D62F3C">
      <w:pPr>
        <w:jc w:val="center"/>
        <w:rPr>
          <w:b/>
          <w:color w:val="FF0000"/>
        </w:rPr>
      </w:pPr>
      <w:r>
        <w:rPr>
          <w:b/>
          <w:noProof/>
          <w:color w:val="FF0000"/>
          <w:lang w:eastAsia="zh-CN"/>
        </w:rPr>
        <w:drawing>
          <wp:inline distT="0" distB="0" distL="0" distR="0" wp14:anchorId="45EBEDD5" wp14:editId="592A92F8">
            <wp:extent cx="5308600" cy="2946400"/>
            <wp:effectExtent l="0" t="0" r="0" b="0"/>
            <wp:docPr id="29" name="Picture 13" descr="Description: Macintosh HD:Users:ricktyler:Desktop:Launch_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Macintosh HD:Users:ricktyler:Desktop:Launch_Vide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600" cy="2946400"/>
                    </a:xfrm>
                    <a:prstGeom prst="rect">
                      <a:avLst/>
                    </a:prstGeom>
                    <a:noFill/>
                    <a:ln>
                      <a:noFill/>
                    </a:ln>
                  </pic:spPr>
                </pic:pic>
              </a:graphicData>
            </a:graphic>
          </wp:inline>
        </w:drawing>
      </w:r>
    </w:p>
    <w:p w14:paraId="69BA388F" w14:textId="77777777" w:rsidR="00D62F3C" w:rsidRDefault="00D62F3C" w:rsidP="00D62F3C">
      <w:pPr>
        <w:jc w:val="center"/>
        <w:rPr>
          <w:b/>
          <w:color w:val="FF0000"/>
        </w:rPr>
      </w:pPr>
    </w:p>
    <w:p w14:paraId="2818A8EE" w14:textId="77777777" w:rsidR="00D62F3C" w:rsidRDefault="00D62F3C" w:rsidP="00D62F3C">
      <w:pPr>
        <w:jc w:val="center"/>
        <w:rPr>
          <w:b/>
          <w:color w:val="FF0000"/>
        </w:rPr>
      </w:pPr>
    </w:p>
    <w:tbl>
      <w:tblPr>
        <w:tblW w:w="9450" w:type="dxa"/>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1E0" w:firstRow="1" w:lastRow="1" w:firstColumn="1" w:lastColumn="1" w:noHBand="0" w:noVBand="0"/>
      </w:tblPr>
      <w:tblGrid>
        <w:gridCol w:w="5130"/>
        <w:gridCol w:w="4320"/>
      </w:tblGrid>
      <w:tr w:rsidR="00D62F3C" w:rsidRPr="00396697" w14:paraId="36669B23" w14:textId="77777777" w:rsidTr="00D62F3C">
        <w:tc>
          <w:tcPr>
            <w:tcW w:w="9450" w:type="dxa"/>
            <w:gridSpan w:val="2"/>
            <w:tcBorders>
              <w:bottom w:val="nil"/>
            </w:tcBorders>
            <w:shd w:val="clear" w:color="auto" w:fill="C4BD97"/>
            <w:vAlign w:val="center"/>
          </w:tcPr>
          <w:p w14:paraId="55158A47" w14:textId="77777777" w:rsidR="00D62F3C" w:rsidRPr="009B4E97" w:rsidRDefault="00D62F3C" w:rsidP="00D62F3C">
            <w:pPr>
              <w:rPr>
                <w:b/>
                <w:bCs/>
                <w:color w:val="000000"/>
              </w:rPr>
            </w:pPr>
            <w:r w:rsidRPr="009B4E97">
              <w:rPr>
                <w:b/>
                <w:bCs/>
                <w:color w:val="000000"/>
              </w:rPr>
              <w:t>Video Script</w:t>
            </w:r>
          </w:p>
        </w:tc>
      </w:tr>
      <w:tr w:rsidR="00D62F3C" w:rsidRPr="00F2482F" w14:paraId="77881D98" w14:textId="77777777" w:rsidTr="00D62F3C">
        <w:tc>
          <w:tcPr>
            <w:tcW w:w="5130" w:type="dxa"/>
            <w:tcBorders>
              <w:top w:val="nil"/>
              <w:right w:val="nil"/>
            </w:tcBorders>
            <w:shd w:val="clear" w:color="auto" w:fill="C4BD97"/>
            <w:vAlign w:val="center"/>
          </w:tcPr>
          <w:p w14:paraId="195A6349" w14:textId="77777777" w:rsidR="00D62F3C" w:rsidRPr="009B4E97" w:rsidRDefault="00D62F3C" w:rsidP="00D62F3C">
            <w:pPr>
              <w:jc w:val="center"/>
              <w:rPr>
                <w:rFonts w:eastAsia="MS Mincho"/>
                <w:b/>
                <w:color w:val="FFFFFF"/>
                <w:lang w:eastAsia="ja-JP"/>
              </w:rPr>
            </w:pPr>
            <w:r w:rsidRPr="009B4E97">
              <w:rPr>
                <w:rFonts w:eastAsia="MS Mincho"/>
                <w:b/>
                <w:color w:val="FFFFFF"/>
                <w:lang w:eastAsia="ja-JP"/>
              </w:rPr>
              <w:t>Script</w:t>
            </w:r>
          </w:p>
        </w:tc>
        <w:tc>
          <w:tcPr>
            <w:tcW w:w="4320" w:type="dxa"/>
            <w:tcBorders>
              <w:top w:val="nil"/>
              <w:left w:val="nil"/>
            </w:tcBorders>
            <w:shd w:val="clear" w:color="auto" w:fill="C4BD97"/>
            <w:vAlign w:val="center"/>
          </w:tcPr>
          <w:p w14:paraId="3B9FABA1" w14:textId="77777777" w:rsidR="00D62F3C" w:rsidRPr="009B4E97" w:rsidRDefault="00D62F3C" w:rsidP="00D62F3C">
            <w:pPr>
              <w:jc w:val="center"/>
              <w:rPr>
                <w:rFonts w:eastAsia="Arial Unicode MS"/>
                <w:b/>
                <w:color w:val="FFFFFF"/>
              </w:rPr>
            </w:pPr>
            <w:r w:rsidRPr="009B4E97">
              <w:rPr>
                <w:rFonts w:eastAsia="Arial Unicode MS"/>
                <w:b/>
                <w:color w:val="FFFFFF"/>
              </w:rPr>
              <w:t>On Screen Text</w:t>
            </w:r>
          </w:p>
        </w:tc>
      </w:tr>
      <w:tr w:rsidR="00D62F3C" w:rsidRPr="00396697" w14:paraId="7395619E" w14:textId="77777777" w:rsidTr="000576D6">
        <w:trPr>
          <w:trHeight w:val="2618"/>
        </w:trPr>
        <w:tc>
          <w:tcPr>
            <w:tcW w:w="5130" w:type="dxa"/>
            <w:shd w:val="clear" w:color="auto" w:fill="EEECE1"/>
          </w:tcPr>
          <w:p w14:paraId="1A0606F7" w14:textId="77777777" w:rsidR="00570654" w:rsidRPr="00027D52" w:rsidRDefault="00D62F3C" w:rsidP="00D62F3C">
            <w:pPr>
              <w:rPr>
                <w:color w:val="0000FF"/>
              </w:rPr>
            </w:pPr>
            <w:r w:rsidRPr="00027D52">
              <w:rPr>
                <w:color w:val="0000FF"/>
              </w:rPr>
              <w:t xml:space="preserve">You now have a clear retirement plan from the very first key issue discussed. </w:t>
            </w:r>
          </w:p>
          <w:p w14:paraId="3C79BBE4" w14:textId="43450ED3" w:rsidR="00570654" w:rsidRPr="00027D52" w:rsidRDefault="00D62F3C" w:rsidP="00D62F3C">
            <w:pPr>
              <w:rPr>
                <w:color w:val="0000FF"/>
              </w:rPr>
            </w:pPr>
            <w:r w:rsidRPr="00027D52">
              <w:rPr>
                <w:color w:val="0000FF"/>
              </w:rPr>
              <w:t>You have also developed a sufficient savings str</w:t>
            </w:r>
            <w:r w:rsidR="003E74B2">
              <w:rPr>
                <w:color w:val="0000FF"/>
              </w:rPr>
              <w:t>ategy from the second key issue</w:t>
            </w:r>
            <w:r w:rsidRPr="00027D52">
              <w:rPr>
                <w:color w:val="0000FF"/>
              </w:rPr>
              <w:t xml:space="preserve"> we analyzed. </w:t>
            </w:r>
          </w:p>
          <w:p w14:paraId="7A314306" w14:textId="24CABBB9" w:rsidR="00027D52" w:rsidRPr="00027D52" w:rsidRDefault="00027D52" w:rsidP="00D62F3C">
            <w:pPr>
              <w:rPr>
                <w:color w:val="0000FF"/>
              </w:rPr>
            </w:pPr>
            <w:r w:rsidRPr="00027D52">
              <w:rPr>
                <w:color w:val="0000FF"/>
              </w:rPr>
              <w:t>Now we examine the issue of having an effective investment strategy</w:t>
            </w:r>
            <w:r w:rsidR="004350E7">
              <w:rPr>
                <w:color w:val="0000FF"/>
              </w:rPr>
              <w:t xml:space="preserve">, which is </w:t>
            </w:r>
            <w:r w:rsidR="00D62F3C" w:rsidRPr="00027D52">
              <w:rPr>
                <w:color w:val="0000FF"/>
              </w:rPr>
              <w:t xml:space="preserve">as closely linked </w:t>
            </w:r>
            <w:r w:rsidR="004350E7">
              <w:rPr>
                <w:color w:val="0000FF"/>
              </w:rPr>
              <w:t xml:space="preserve">to sufficient savings </w:t>
            </w:r>
            <w:r w:rsidR="00D62F3C" w:rsidRPr="00027D52">
              <w:rPr>
                <w:color w:val="0000FF"/>
              </w:rPr>
              <w:t xml:space="preserve">as </w:t>
            </w:r>
            <w:r w:rsidR="00DD2762">
              <w:rPr>
                <w:color w:val="0000FF"/>
              </w:rPr>
              <w:t xml:space="preserve">are </w:t>
            </w:r>
            <w:r w:rsidR="00D62F3C" w:rsidRPr="00027D52">
              <w:rPr>
                <w:color w:val="0000FF"/>
              </w:rPr>
              <w:t xml:space="preserve">identical twins. </w:t>
            </w:r>
          </w:p>
          <w:p w14:paraId="41BD07AB" w14:textId="6A12E6B5" w:rsidR="00D62F3C" w:rsidRPr="00D62F3C" w:rsidRDefault="00D62F3C" w:rsidP="00D62F3C">
            <w:pPr>
              <w:rPr>
                <w:color w:val="0000FF"/>
              </w:rPr>
            </w:pPr>
            <w:r w:rsidRPr="00027D52">
              <w:rPr>
                <w:color w:val="0000FF"/>
              </w:rPr>
              <w:t>An effective investment strategy</w:t>
            </w:r>
            <w:r w:rsidR="00027D52" w:rsidRPr="00027D52">
              <w:rPr>
                <w:color w:val="0000FF"/>
              </w:rPr>
              <w:t xml:space="preserve"> </w:t>
            </w:r>
            <w:r w:rsidRPr="00027D52">
              <w:rPr>
                <w:color w:val="0000FF"/>
              </w:rPr>
              <w:t>evolves over time.</w:t>
            </w:r>
            <w:r w:rsidRPr="00D62F3C">
              <w:rPr>
                <w:color w:val="0000FF"/>
              </w:rPr>
              <w:t xml:space="preserve">  During your working lifetime, will your investment strategy be different in your 60’s versus your 20’s?  If you’re like most, the desire for gain dominates the investment strategy in the early years of one’s career and fear of loss becomes the dominant factor as we near retirement age. </w:t>
            </w:r>
          </w:p>
          <w:p w14:paraId="0BDC15AC" w14:textId="77777777" w:rsidR="00D62F3C" w:rsidRPr="00D62F3C" w:rsidRDefault="00D62F3C" w:rsidP="00D62F3C">
            <w:pPr>
              <w:rPr>
                <w:color w:val="0000FF"/>
              </w:rPr>
            </w:pPr>
            <w:r w:rsidRPr="00D62F3C">
              <w:rPr>
                <w:color w:val="0000FF"/>
              </w:rPr>
              <w:t xml:space="preserve">For example, a portfolio heavily weighted </w:t>
            </w:r>
            <w:r w:rsidRPr="00D62F3C">
              <w:rPr>
                <w:color w:val="0000FF"/>
              </w:rPr>
              <w:lastRenderedPageBreak/>
              <w:t xml:space="preserve">toward high credit quality, fixed income securities is generally not appropriate for an early career client. Yet that same strategy may resonate for a 65-year-old client. </w:t>
            </w:r>
          </w:p>
          <w:p w14:paraId="15382634" w14:textId="77777777" w:rsidR="00D62F3C" w:rsidRPr="00196F5D" w:rsidRDefault="00D62F3C" w:rsidP="00D62F3C">
            <w:pPr>
              <w:rPr>
                <w:color w:val="0000FF"/>
              </w:rPr>
            </w:pPr>
            <w:r w:rsidRPr="00D62F3C">
              <w:rPr>
                <w:color w:val="0000FF"/>
              </w:rPr>
              <w:t>One’s investment strategy simply must evolve to balance risk tolerance and return expectations as your client’s focus changes from early career growth to later career preservation. A vital tool in balancing risk and return during that evolution is asset allocation.</w:t>
            </w:r>
          </w:p>
        </w:tc>
        <w:tc>
          <w:tcPr>
            <w:tcW w:w="4320" w:type="dxa"/>
            <w:shd w:val="clear" w:color="auto" w:fill="EEECE1"/>
          </w:tcPr>
          <w:p w14:paraId="3930F97E" w14:textId="0E47318D" w:rsidR="00881CC2" w:rsidRDefault="00570654" w:rsidP="00570654">
            <w:pPr>
              <w:pStyle w:val="ListParagraph"/>
              <w:ind w:left="0"/>
              <w:contextualSpacing w:val="0"/>
              <w:rPr>
                <w:rFonts w:eastAsia="Arial Unicode MS"/>
                <w:b/>
                <w:color w:val="0000FF"/>
              </w:rPr>
            </w:pPr>
            <w:r w:rsidRPr="00881CC2">
              <w:rPr>
                <w:rFonts w:eastAsia="Arial Unicode MS"/>
                <w:b/>
                <w:color w:val="0000FF"/>
              </w:rPr>
              <w:lastRenderedPageBreak/>
              <w:t>Effective Investment Strategy</w:t>
            </w:r>
          </w:p>
          <w:p w14:paraId="7229965A" w14:textId="77777777" w:rsidR="00027D52" w:rsidRDefault="00027D52" w:rsidP="00570654">
            <w:pPr>
              <w:pStyle w:val="ListParagraph"/>
              <w:ind w:left="0"/>
              <w:contextualSpacing w:val="0"/>
              <w:rPr>
                <w:rFonts w:eastAsia="Arial Unicode MS"/>
                <w:b/>
                <w:color w:val="0000FF"/>
              </w:rPr>
            </w:pPr>
          </w:p>
          <w:p w14:paraId="69339473" w14:textId="77777777" w:rsidR="004350E7" w:rsidRDefault="004350E7" w:rsidP="00570654">
            <w:pPr>
              <w:pStyle w:val="ListParagraph"/>
              <w:ind w:left="0"/>
              <w:contextualSpacing w:val="0"/>
              <w:rPr>
                <w:rFonts w:eastAsia="Arial Unicode MS"/>
                <w:b/>
                <w:color w:val="0000FF"/>
              </w:rPr>
            </w:pPr>
          </w:p>
          <w:p w14:paraId="7AD2ECB8" w14:textId="77777777" w:rsidR="004350E7" w:rsidRDefault="004350E7" w:rsidP="00570654">
            <w:pPr>
              <w:pStyle w:val="ListParagraph"/>
              <w:ind w:left="0"/>
              <w:contextualSpacing w:val="0"/>
              <w:rPr>
                <w:rFonts w:eastAsia="Arial Unicode MS"/>
                <w:b/>
                <w:color w:val="0000FF"/>
              </w:rPr>
            </w:pPr>
          </w:p>
          <w:p w14:paraId="08D05319" w14:textId="77777777" w:rsidR="004350E7" w:rsidRDefault="004350E7" w:rsidP="00570654">
            <w:pPr>
              <w:pStyle w:val="ListParagraph"/>
              <w:ind w:left="0"/>
              <w:contextualSpacing w:val="0"/>
              <w:rPr>
                <w:rFonts w:eastAsia="Arial Unicode MS"/>
                <w:b/>
                <w:color w:val="0000FF"/>
              </w:rPr>
            </w:pPr>
          </w:p>
          <w:p w14:paraId="4079EA6A" w14:textId="77777777" w:rsidR="00027D52" w:rsidRDefault="00027D52" w:rsidP="00570654">
            <w:pPr>
              <w:pStyle w:val="ListParagraph"/>
              <w:ind w:left="0"/>
              <w:contextualSpacing w:val="0"/>
              <w:rPr>
                <w:rFonts w:eastAsia="Arial Unicode MS"/>
                <w:b/>
                <w:color w:val="0000FF"/>
              </w:rPr>
            </w:pPr>
          </w:p>
          <w:p w14:paraId="28674BAB" w14:textId="77777777" w:rsidR="004350E7" w:rsidRPr="00881CC2" w:rsidRDefault="004350E7" w:rsidP="00570654">
            <w:pPr>
              <w:pStyle w:val="ListParagraph"/>
              <w:ind w:left="0"/>
              <w:contextualSpacing w:val="0"/>
              <w:rPr>
                <w:rFonts w:eastAsia="Arial Unicode MS"/>
                <w:b/>
                <w:color w:val="0000FF"/>
              </w:rPr>
            </w:pPr>
          </w:p>
          <w:p w14:paraId="7A76B081" w14:textId="77777777" w:rsidR="00881CC2" w:rsidRDefault="00570654" w:rsidP="006873C4">
            <w:pPr>
              <w:pStyle w:val="ListParagraph"/>
              <w:numPr>
                <w:ilvl w:val="0"/>
                <w:numId w:val="73"/>
              </w:numPr>
              <w:contextualSpacing w:val="0"/>
              <w:rPr>
                <w:rFonts w:eastAsia="Arial Unicode MS"/>
                <w:color w:val="0000FF"/>
              </w:rPr>
            </w:pPr>
            <w:r>
              <w:rPr>
                <w:rFonts w:eastAsia="Arial Unicode MS"/>
                <w:color w:val="0000FF"/>
              </w:rPr>
              <w:t>Evolves over time</w:t>
            </w:r>
          </w:p>
          <w:p w14:paraId="00D592CC" w14:textId="77777777" w:rsidR="00881CC2" w:rsidRDefault="00881CC2" w:rsidP="00881CC2">
            <w:pPr>
              <w:pStyle w:val="ListParagraph"/>
              <w:contextualSpacing w:val="0"/>
              <w:rPr>
                <w:rFonts w:eastAsia="Arial Unicode MS"/>
                <w:color w:val="0000FF"/>
              </w:rPr>
            </w:pPr>
          </w:p>
          <w:p w14:paraId="37D95926" w14:textId="77777777" w:rsidR="00881CC2" w:rsidRDefault="00570654" w:rsidP="006873C4">
            <w:pPr>
              <w:pStyle w:val="ListParagraph"/>
              <w:numPr>
                <w:ilvl w:val="1"/>
                <w:numId w:val="73"/>
              </w:numPr>
              <w:contextualSpacing w:val="0"/>
              <w:rPr>
                <w:rFonts w:eastAsia="Arial Unicode MS"/>
                <w:color w:val="0000FF"/>
              </w:rPr>
            </w:pPr>
            <w:r w:rsidRPr="00881CC2">
              <w:rPr>
                <w:rFonts w:eastAsia="Arial Unicode MS"/>
                <w:color w:val="0000FF"/>
              </w:rPr>
              <w:t xml:space="preserve">Early years </w:t>
            </w:r>
            <w:r w:rsidRPr="00881CC2">
              <w:rPr>
                <w:rFonts w:ascii="Wingdings" w:eastAsia="Arial Unicode MS" w:hAnsi="Wingdings"/>
                <w:color w:val="0000FF"/>
              </w:rPr>
              <w:t></w:t>
            </w:r>
            <w:r w:rsidRPr="00881CC2">
              <w:rPr>
                <w:rFonts w:eastAsia="Arial Unicode MS"/>
                <w:color w:val="0000FF"/>
              </w:rPr>
              <w:t xml:space="preserve"> desire for gain</w:t>
            </w:r>
          </w:p>
          <w:p w14:paraId="060F4255" w14:textId="283DD781" w:rsidR="00570654" w:rsidRDefault="00570654" w:rsidP="006873C4">
            <w:pPr>
              <w:pStyle w:val="ListParagraph"/>
              <w:numPr>
                <w:ilvl w:val="1"/>
                <w:numId w:val="73"/>
              </w:numPr>
              <w:contextualSpacing w:val="0"/>
              <w:rPr>
                <w:rFonts w:eastAsia="Arial Unicode MS"/>
                <w:color w:val="0000FF"/>
              </w:rPr>
            </w:pPr>
            <w:r w:rsidRPr="00881CC2">
              <w:rPr>
                <w:rFonts w:eastAsia="Arial Unicode MS"/>
                <w:color w:val="0000FF"/>
              </w:rPr>
              <w:t xml:space="preserve">Later years </w:t>
            </w:r>
            <w:r w:rsidRPr="00881CC2">
              <w:rPr>
                <w:rFonts w:ascii="Wingdings" w:eastAsia="Arial Unicode MS" w:hAnsi="Wingdings"/>
                <w:color w:val="0000FF"/>
              </w:rPr>
              <w:t></w:t>
            </w:r>
            <w:r w:rsidRPr="00881CC2">
              <w:rPr>
                <w:rFonts w:eastAsia="Arial Unicode MS"/>
                <w:color w:val="0000FF"/>
              </w:rPr>
              <w:t xml:space="preserve"> fear of loss</w:t>
            </w:r>
          </w:p>
          <w:p w14:paraId="1C6D5DAD" w14:textId="77777777" w:rsidR="00881CC2" w:rsidRDefault="00881CC2" w:rsidP="00881CC2">
            <w:pPr>
              <w:ind w:left="1080"/>
              <w:rPr>
                <w:rFonts w:eastAsia="Arial Unicode MS"/>
                <w:color w:val="0000FF"/>
              </w:rPr>
            </w:pPr>
          </w:p>
          <w:p w14:paraId="51E68390" w14:textId="77777777" w:rsidR="00881CC2" w:rsidRDefault="00881CC2" w:rsidP="00881CC2">
            <w:pPr>
              <w:ind w:left="1080"/>
              <w:rPr>
                <w:rFonts w:eastAsia="Arial Unicode MS"/>
                <w:color w:val="0000FF"/>
              </w:rPr>
            </w:pPr>
          </w:p>
          <w:p w14:paraId="72B065C8" w14:textId="77777777" w:rsidR="00881CC2" w:rsidRDefault="00881CC2" w:rsidP="00881CC2">
            <w:pPr>
              <w:ind w:left="1080"/>
              <w:rPr>
                <w:rFonts w:eastAsia="Arial Unicode MS"/>
                <w:color w:val="0000FF"/>
              </w:rPr>
            </w:pPr>
          </w:p>
          <w:p w14:paraId="78857E76" w14:textId="77777777" w:rsidR="00881CC2" w:rsidRDefault="00881CC2" w:rsidP="00881CC2">
            <w:pPr>
              <w:rPr>
                <w:rFonts w:eastAsia="Arial Unicode MS"/>
                <w:color w:val="0000FF"/>
              </w:rPr>
            </w:pPr>
          </w:p>
          <w:p w14:paraId="345174C5" w14:textId="77777777" w:rsidR="00881CC2" w:rsidRPr="00881CC2" w:rsidRDefault="00881CC2" w:rsidP="00881CC2">
            <w:pPr>
              <w:rPr>
                <w:rFonts w:eastAsia="Arial Unicode MS"/>
                <w:color w:val="0000FF"/>
              </w:rPr>
            </w:pPr>
          </w:p>
          <w:p w14:paraId="67813B64" w14:textId="548833B8" w:rsidR="00881CC2" w:rsidRDefault="003E74B2" w:rsidP="006873C4">
            <w:pPr>
              <w:pStyle w:val="ListParagraph"/>
              <w:numPr>
                <w:ilvl w:val="0"/>
                <w:numId w:val="73"/>
              </w:numPr>
              <w:contextualSpacing w:val="0"/>
              <w:rPr>
                <w:rFonts w:eastAsia="Arial Unicode MS"/>
                <w:color w:val="0000FF"/>
              </w:rPr>
            </w:pPr>
            <w:r>
              <w:rPr>
                <w:rFonts w:eastAsia="Arial Unicode MS"/>
                <w:color w:val="0000FF"/>
              </w:rPr>
              <w:t>Balances</w:t>
            </w:r>
            <w:r w:rsidR="00881CC2">
              <w:rPr>
                <w:rFonts w:eastAsia="Arial Unicode MS"/>
                <w:color w:val="0000FF"/>
              </w:rPr>
              <w:t xml:space="preserve"> risk tolerance and return expectations as </w:t>
            </w:r>
            <w:r w:rsidR="000576D6">
              <w:rPr>
                <w:rFonts w:eastAsia="Arial Unicode MS"/>
                <w:color w:val="0000FF"/>
              </w:rPr>
              <w:t xml:space="preserve">your </w:t>
            </w:r>
            <w:r w:rsidR="00881CC2">
              <w:rPr>
                <w:rFonts w:eastAsia="Arial Unicode MS"/>
                <w:color w:val="0000FF"/>
              </w:rPr>
              <w:t>client’s focus shifts over time</w:t>
            </w:r>
          </w:p>
          <w:p w14:paraId="261E4DA4" w14:textId="0BA17577" w:rsidR="00570654" w:rsidRPr="000576D6" w:rsidRDefault="00881CC2" w:rsidP="00570654">
            <w:pPr>
              <w:pStyle w:val="ListParagraph"/>
              <w:numPr>
                <w:ilvl w:val="1"/>
                <w:numId w:val="73"/>
              </w:numPr>
              <w:contextualSpacing w:val="0"/>
              <w:rPr>
                <w:rFonts w:eastAsia="Arial Unicode MS"/>
                <w:color w:val="0000FF"/>
              </w:rPr>
            </w:pPr>
            <w:r>
              <w:rPr>
                <w:rFonts w:eastAsia="Arial Unicode MS"/>
                <w:color w:val="0000FF"/>
              </w:rPr>
              <w:t>Asset allocation is a vital tool</w:t>
            </w:r>
          </w:p>
        </w:tc>
      </w:tr>
    </w:tbl>
    <w:p w14:paraId="58B8F538" w14:textId="77777777" w:rsidR="00D62F3C" w:rsidRDefault="00D62F3C" w:rsidP="00D62F3C">
      <w:pPr>
        <w:rPr>
          <w:rFonts w:ascii="Arial" w:hAnsi="Arial"/>
        </w:rPr>
      </w:pPr>
    </w:p>
    <w:p w14:paraId="4AA44088" w14:textId="5FBADB61" w:rsidR="001D052C" w:rsidRDefault="00AC40A8" w:rsidP="00AF4889">
      <w:r w:rsidRPr="00DD6B07">
        <w:t>In the late Twentieth Century, the majority of investors described themselves as “Aggressive” or “Growth</w:t>
      </w:r>
      <w:r w:rsidR="009361D6">
        <w:t>-</w:t>
      </w:r>
      <w:r w:rsidRPr="00DD6B07">
        <w:t xml:space="preserve">Oriented.”  Growth at any cost was their mantra and their portfolios responded as you might expect in the late nineties.  Fewer investors today would describe themselves the same way, but many </w:t>
      </w:r>
      <w:r w:rsidR="001D052C">
        <w:t xml:space="preserve">early to mid-career clients should consider </w:t>
      </w:r>
      <w:r w:rsidRPr="00DD6B07">
        <w:t xml:space="preserve">an Aggressive Growth model because of the long-term nature of their goal.  </w:t>
      </w:r>
    </w:p>
    <w:p w14:paraId="1A4C7D6C" w14:textId="77777777" w:rsidR="00AC40A8" w:rsidRPr="00DD6B07" w:rsidRDefault="00AC40A8" w:rsidP="00AF4889">
      <w:r w:rsidRPr="00DD6B07">
        <w:t>The best thing an advisor can do is to help clients analyze their previous behavior, current risk tolerances, and their investment needs relative to their goals, and then construct an asset allocation designed to meet those needs.</w:t>
      </w:r>
    </w:p>
    <w:p w14:paraId="03744DD0" w14:textId="77777777" w:rsidR="00AC40A8" w:rsidRDefault="00D072FA" w:rsidP="001F3D42">
      <w:pPr>
        <w:pStyle w:val="Heading2"/>
      </w:pPr>
      <w:r w:rsidRPr="00DD6B07" w:rsidDel="00D072FA">
        <w:t xml:space="preserve"> </w:t>
      </w:r>
      <w:r w:rsidR="00AD68AC">
        <w:br w:type="page"/>
      </w:r>
      <w:r w:rsidR="00AC40A8">
        <w:lastRenderedPageBreak/>
        <w:t>Key Issue 4</w:t>
      </w:r>
      <w:r w:rsidR="009361D6">
        <w:t xml:space="preserve"> - </w:t>
      </w:r>
      <w:r w:rsidR="00AC40A8">
        <w:t>Tax-Efficient Savings Strategy</w:t>
      </w:r>
    </w:p>
    <w:p w14:paraId="1FD9D32C" w14:textId="77777777" w:rsidR="00D62F3C" w:rsidRDefault="00D62F3C" w:rsidP="00D62F3C">
      <w:pPr>
        <w:rPr>
          <w:b/>
          <w:color w:val="FF0000"/>
        </w:rPr>
      </w:pPr>
    </w:p>
    <w:p w14:paraId="0286F1B7" w14:textId="77777777" w:rsidR="00D62F3C" w:rsidRDefault="00D62F3C" w:rsidP="00D62F3C">
      <w:pPr>
        <w:jc w:val="center"/>
        <w:rPr>
          <w:b/>
          <w:color w:val="FF0000"/>
        </w:rPr>
      </w:pPr>
      <w:r>
        <w:rPr>
          <w:b/>
          <w:noProof/>
          <w:color w:val="FF0000"/>
          <w:lang w:eastAsia="zh-CN"/>
        </w:rPr>
        <w:drawing>
          <wp:inline distT="0" distB="0" distL="0" distR="0" wp14:anchorId="074B5654" wp14:editId="515507DD">
            <wp:extent cx="5308600" cy="2946400"/>
            <wp:effectExtent l="0" t="0" r="0" b="0"/>
            <wp:docPr id="30" name="Picture 15" descr="Description: Macintosh HD:Users:ricktyler:Desktop:Launch_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Macintosh HD:Users:ricktyler:Desktop:Launch_Vide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600" cy="2946400"/>
                    </a:xfrm>
                    <a:prstGeom prst="rect">
                      <a:avLst/>
                    </a:prstGeom>
                    <a:noFill/>
                    <a:ln>
                      <a:noFill/>
                    </a:ln>
                  </pic:spPr>
                </pic:pic>
              </a:graphicData>
            </a:graphic>
          </wp:inline>
        </w:drawing>
      </w:r>
    </w:p>
    <w:p w14:paraId="0DF3ABD6" w14:textId="77777777" w:rsidR="00D62F3C" w:rsidRDefault="00D62F3C" w:rsidP="00D62F3C">
      <w:pPr>
        <w:jc w:val="center"/>
        <w:rPr>
          <w:b/>
          <w:color w:val="FF0000"/>
        </w:rPr>
      </w:pPr>
    </w:p>
    <w:p w14:paraId="5813E69E" w14:textId="77777777" w:rsidR="00D62F3C" w:rsidRDefault="00D62F3C" w:rsidP="00D62F3C">
      <w:pPr>
        <w:jc w:val="center"/>
        <w:rPr>
          <w:b/>
          <w:color w:val="FF0000"/>
        </w:rPr>
      </w:pPr>
    </w:p>
    <w:tbl>
      <w:tblPr>
        <w:tblW w:w="9450" w:type="dxa"/>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1E0" w:firstRow="1" w:lastRow="1" w:firstColumn="1" w:lastColumn="1" w:noHBand="0" w:noVBand="0"/>
      </w:tblPr>
      <w:tblGrid>
        <w:gridCol w:w="5130"/>
        <w:gridCol w:w="4320"/>
      </w:tblGrid>
      <w:tr w:rsidR="00D62F3C" w:rsidRPr="00396697" w14:paraId="56F7C9A4" w14:textId="77777777" w:rsidTr="00D62F3C">
        <w:tc>
          <w:tcPr>
            <w:tcW w:w="9450" w:type="dxa"/>
            <w:gridSpan w:val="2"/>
            <w:tcBorders>
              <w:bottom w:val="nil"/>
            </w:tcBorders>
            <w:shd w:val="clear" w:color="auto" w:fill="C4BD97"/>
            <w:vAlign w:val="center"/>
          </w:tcPr>
          <w:p w14:paraId="0E831CE2" w14:textId="77777777" w:rsidR="00D62F3C" w:rsidRPr="009B4E97" w:rsidRDefault="00D62F3C" w:rsidP="00D62F3C">
            <w:pPr>
              <w:rPr>
                <w:b/>
                <w:bCs/>
                <w:color w:val="000000"/>
              </w:rPr>
            </w:pPr>
            <w:r w:rsidRPr="009B4E97">
              <w:rPr>
                <w:b/>
                <w:bCs/>
                <w:color w:val="000000"/>
              </w:rPr>
              <w:t>Video Script</w:t>
            </w:r>
          </w:p>
        </w:tc>
      </w:tr>
      <w:tr w:rsidR="00D62F3C" w:rsidRPr="00F2482F" w14:paraId="591A0049" w14:textId="77777777" w:rsidTr="00D62F3C">
        <w:tc>
          <w:tcPr>
            <w:tcW w:w="5130" w:type="dxa"/>
            <w:tcBorders>
              <w:top w:val="nil"/>
              <w:right w:val="nil"/>
            </w:tcBorders>
            <w:shd w:val="clear" w:color="auto" w:fill="C4BD97"/>
            <w:vAlign w:val="center"/>
          </w:tcPr>
          <w:p w14:paraId="7AFF739D" w14:textId="77777777" w:rsidR="00D62F3C" w:rsidRPr="009B4E97" w:rsidRDefault="00D62F3C" w:rsidP="00D62F3C">
            <w:pPr>
              <w:jc w:val="center"/>
              <w:rPr>
                <w:rFonts w:eastAsia="MS Mincho"/>
                <w:b/>
                <w:color w:val="FFFFFF"/>
                <w:lang w:eastAsia="ja-JP"/>
              </w:rPr>
            </w:pPr>
            <w:r w:rsidRPr="009B4E97">
              <w:rPr>
                <w:rFonts w:eastAsia="MS Mincho"/>
                <w:b/>
                <w:color w:val="FFFFFF"/>
                <w:lang w:eastAsia="ja-JP"/>
              </w:rPr>
              <w:t>Script</w:t>
            </w:r>
          </w:p>
        </w:tc>
        <w:tc>
          <w:tcPr>
            <w:tcW w:w="4320" w:type="dxa"/>
            <w:tcBorders>
              <w:top w:val="nil"/>
              <w:left w:val="nil"/>
            </w:tcBorders>
            <w:shd w:val="clear" w:color="auto" w:fill="C4BD97"/>
            <w:vAlign w:val="center"/>
          </w:tcPr>
          <w:p w14:paraId="3503427A" w14:textId="77777777" w:rsidR="00D62F3C" w:rsidRPr="009B4E97" w:rsidRDefault="00D62F3C" w:rsidP="00D62F3C">
            <w:pPr>
              <w:jc w:val="center"/>
              <w:rPr>
                <w:rFonts w:eastAsia="Arial Unicode MS"/>
                <w:b/>
                <w:color w:val="FFFFFF"/>
              </w:rPr>
            </w:pPr>
            <w:r w:rsidRPr="009B4E97">
              <w:rPr>
                <w:rFonts w:eastAsia="Arial Unicode MS"/>
                <w:b/>
                <w:color w:val="FFFFFF"/>
              </w:rPr>
              <w:t>On Screen Text</w:t>
            </w:r>
          </w:p>
        </w:tc>
      </w:tr>
      <w:tr w:rsidR="00D62F3C" w:rsidRPr="00396697" w14:paraId="5F7AE9C4" w14:textId="77777777" w:rsidTr="00D62F3C">
        <w:tc>
          <w:tcPr>
            <w:tcW w:w="5130" w:type="dxa"/>
            <w:shd w:val="clear" w:color="auto" w:fill="EEECE1"/>
          </w:tcPr>
          <w:p w14:paraId="5589D2AD" w14:textId="77777777" w:rsidR="00D62F3C" w:rsidRPr="00D62F3C" w:rsidRDefault="00D62F3C" w:rsidP="00D62F3C">
            <w:pPr>
              <w:rPr>
                <w:color w:val="0000FF"/>
              </w:rPr>
            </w:pPr>
            <w:r w:rsidRPr="00D62F3C">
              <w:rPr>
                <w:color w:val="0000FF"/>
              </w:rPr>
              <w:t xml:space="preserve">Would you stop to pick up $100 on the sidewalk? What if $5,000 were on the sidewalk, not only this year but also every year in your retirement? The right income tax strategy can leverage retirement income in ways few advisors completely appreciate. </w:t>
            </w:r>
          </w:p>
          <w:p w14:paraId="6C029103" w14:textId="4F17F9F1" w:rsidR="007B3177" w:rsidRDefault="00D62F3C" w:rsidP="00D62F3C">
            <w:pPr>
              <w:rPr>
                <w:color w:val="0000FF"/>
              </w:rPr>
            </w:pPr>
            <w:r w:rsidRPr="00D62F3C">
              <w:rPr>
                <w:color w:val="0000FF"/>
              </w:rPr>
              <w:t xml:space="preserve">For example, a Health Savings Account is not an IRA or employer-sponsored </w:t>
            </w:r>
            <w:r w:rsidR="00AA1479">
              <w:rPr>
                <w:color w:val="0000FF"/>
              </w:rPr>
              <w:t>retirement</w:t>
            </w:r>
            <w:r w:rsidRPr="00D62F3C">
              <w:rPr>
                <w:color w:val="0000FF"/>
              </w:rPr>
              <w:t xml:space="preserve"> plan, yet it provides a current year income tax deduction, earnings grow on an income tax-deferred basis, and the earnings are income tax-free when used to pay qualifying medical expenses. </w:t>
            </w:r>
          </w:p>
          <w:p w14:paraId="509644F9" w14:textId="3982077E" w:rsidR="00D62F3C" w:rsidRPr="00196F5D" w:rsidRDefault="00D62F3C" w:rsidP="00D62F3C">
            <w:pPr>
              <w:rPr>
                <w:color w:val="0000FF"/>
              </w:rPr>
            </w:pPr>
            <w:r w:rsidRPr="00D62F3C">
              <w:rPr>
                <w:color w:val="0000FF"/>
              </w:rPr>
              <w:t xml:space="preserve">That’s unheard of!  Where else can you receive a current year income tax deduction, tax-deferred growth, and tax-free distributions? This is but one example of how the sophisticated use of the right tax strategy can save money in unexpected ways. </w:t>
            </w:r>
          </w:p>
        </w:tc>
        <w:tc>
          <w:tcPr>
            <w:tcW w:w="4320" w:type="dxa"/>
            <w:shd w:val="clear" w:color="auto" w:fill="EEECE1"/>
          </w:tcPr>
          <w:p w14:paraId="1992C0FB" w14:textId="721F1620" w:rsidR="00D62F3C" w:rsidRDefault="003E74B2" w:rsidP="00D62F3C">
            <w:pPr>
              <w:pStyle w:val="ListParagraph"/>
              <w:ind w:left="0"/>
              <w:rPr>
                <w:rFonts w:eastAsia="Arial Unicode MS"/>
                <w:color w:val="0000FF"/>
              </w:rPr>
            </w:pPr>
            <w:r>
              <w:rPr>
                <w:rFonts w:eastAsia="Arial Unicode MS"/>
                <w:color w:val="0000FF"/>
              </w:rPr>
              <w:t>Tax-</w:t>
            </w:r>
            <w:r w:rsidR="004350E7">
              <w:rPr>
                <w:rFonts w:eastAsia="Arial Unicode MS"/>
                <w:color w:val="0000FF"/>
              </w:rPr>
              <w:t>Efficient Savings Strategy</w:t>
            </w:r>
          </w:p>
          <w:p w14:paraId="20ECAD91" w14:textId="77777777" w:rsidR="004350E7" w:rsidRDefault="004350E7" w:rsidP="00D62F3C">
            <w:pPr>
              <w:pStyle w:val="ListParagraph"/>
              <w:ind w:left="0"/>
              <w:rPr>
                <w:rFonts w:eastAsia="Arial Unicode MS"/>
                <w:color w:val="0000FF"/>
              </w:rPr>
            </w:pPr>
          </w:p>
          <w:p w14:paraId="46C8B312" w14:textId="77777777" w:rsidR="004350E7" w:rsidRDefault="004350E7" w:rsidP="00D62F3C">
            <w:pPr>
              <w:pStyle w:val="ListParagraph"/>
              <w:ind w:left="0"/>
              <w:rPr>
                <w:rFonts w:eastAsia="Arial Unicode MS"/>
                <w:color w:val="0000FF"/>
              </w:rPr>
            </w:pPr>
          </w:p>
          <w:p w14:paraId="30886538" w14:textId="77777777" w:rsidR="00CA3FD0" w:rsidRDefault="00CA3FD0" w:rsidP="006873C4">
            <w:pPr>
              <w:pStyle w:val="ListParagraph"/>
              <w:numPr>
                <w:ilvl w:val="0"/>
                <w:numId w:val="74"/>
              </w:numPr>
              <w:contextualSpacing w:val="0"/>
              <w:rPr>
                <w:rFonts w:eastAsia="Arial Unicode MS"/>
                <w:color w:val="0000FF"/>
              </w:rPr>
            </w:pPr>
            <w:r>
              <w:rPr>
                <w:rFonts w:eastAsia="Arial Unicode MS"/>
                <w:color w:val="0000FF"/>
              </w:rPr>
              <w:t>A way to leverage retirement income</w:t>
            </w:r>
          </w:p>
          <w:p w14:paraId="7734C148" w14:textId="77777777" w:rsidR="00C52555" w:rsidRDefault="00C52555" w:rsidP="00C52555">
            <w:pPr>
              <w:pStyle w:val="ListParagraph"/>
              <w:contextualSpacing w:val="0"/>
              <w:rPr>
                <w:rFonts w:eastAsia="Arial Unicode MS"/>
                <w:color w:val="0000FF"/>
              </w:rPr>
            </w:pPr>
          </w:p>
          <w:p w14:paraId="7AFA16CD" w14:textId="730F9598" w:rsidR="00CA3FD0" w:rsidRPr="00C52555" w:rsidRDefault="00CA3FD0" w:rsidP="006873C4">
            <w:pPr>
              <w:pStyle w:val="ListParagraph"/>
              <w:numPr>
                <w:ilvl w:val="0"/>
                <w:numId w:val="74"/>
              </w:numPr>
              <w:contextualSpacing w:val="0"/>
              <w:rPr>
                <w:rFonts w:eastAsia="Arial Unicode MS"/>
                <w:color w:val="0000FF"/>
              </w:rPr>
            </w:pPr>
            <w:r>
              <w:rPr>
                <w:rFonts w:eastAsia="Arial Unicode MS"/>
                <w:color w:val="0000FF"/>
              </w:rPr>
              <w:t>Example:</w:t>
            </w:r>
            <w:r w:rsidR="00C52555">
              <w:rPr>
                <w:rFonts w:eastAsia="Arial Unicode MS"/>
                <w:color w:val="0000FF"/>
              </w:rPr>
              <w:t xml:space="preserve"> </w:t>
            </w:r>
            <w:r w:rsidRPr="00C52555">
              <w:rPr>
                <w:rFonts w:eastAsia="Arial Unicode MS"/>
                <w:color w:val="0000FF"/>
              </w:rPr>
              <w:t>Health Savings Account</w:t>
            </w:r>
          </w:p>
          <w:p w14:paraId="2BF17BCE" w14:textId="77777777" w:rsidR="00CA3FD0" w:rsidRDefault="00CA3FD0" w:rsidP="006873C4">
            <w:pPr>
              <w:pStyle w:val="ListParagraph"/>
              <w:numPr>
                <w:ilvl w:val="1"/>
                <w:numId w:val="74"/>
              </w:numPr>
              <w:contextualSpacing w:val="0"/>
              <w:rPr>
                <w:rFonts w:eastAsia="Arial Unicode MS"/>
                <w:color w:val="0000FF"/>
              </w:rPr>
            </w:pPr>
            <w:r>
              <w:rPr>
                <w:rFonts w:eastAsia="Arial Unicode MS"/>
                <w:color w:val="0000FF"/>
              </w:rPr>
              <w:t>Current year income tax deduction</w:t>
            </w:r>
          </w:p>
          <w:p w14:paraId="00999960" w14:textId="77777777" w:rsidR="00CA3FD0" w:rsidRDefault="00CA3FD0" w:rsidP="006873C4">
            <w:pPr>
              <w:pStyle w:val="ListParagraph"/>
              <w:numPr>
                <w:ilvl w:val="1"/>
                <w:numId w:val="74"/>
              </w:numPr>
              <w:contextualSpacing w:val="0"/>
              <w:rPr>
                <w:rFonts w:eastAsia="Arial Unicode MS"/>
                <w:color w:val="0000FF"/>
              </w:rPr>
            </w:pPr>
            <w:r>
              <w:rPr>
                <w:rFonts w:eastAsia="Arial Unicode MS"/>
                <w:color w:val="0000FF"/>
              </w:rPr>
              <w:t>Earnings are tax-deferred</w:t>
            </w:r>
          </w:p>
          <w:p w14:paraId="2FE0D5E8" w14:textId="7D3C7EF4" w:rsidR="00CA3FD0" w:rsidRPr="00CA3FD0" w:rsidRDefault="00CA3FD0" w:rsidP="006873C4">
            <w:pPr>
              <w:pStyle w:val="ListParagraph"/>
              <w:numPr>
                <w:ilvl w:val="1"/>
                <w:numId w:val="74"/>
              </w:numPr>
              <w:contextualSpacing w:val="0"/>
              <w:rPr>
                <w:rFonts w:eastAsia="Arial Unicode MS"/>
                <w:color w:val="0000FF"/>
              </w:rPr>
            </w:pPr>
            <w:r>
              <w:rPr>
                <w:rFonts w:eastAsia="Arial Unicode MS"/>
                <w:color w:val="0000FF"/>
              </w:rPr>
              <w:t>Earnings are income tax-free when used to pay qualifying medical expenses</w:t>
            </w:r>
          </w:p>
        </w:tc>
      </w:tr>
      <w:tr w:rsidR="00D62F3C" w:rsidRPr="00396697" w14:paraId="597C256A" w14:textId="77777777" w:rsidTr="00D62F3C">
        <w:tc>
          <w:tcPr>
            <w:tcW w:w="5130" w:type="dxa"/>
            <w:shd w:val="clear" w:color="auto" w:fill="EEECE1"/>
          </w:tcPr>
          <w:p w14:paraId="0966DECC" w14:textId="0448ABD6" w:rsidR="00D62F3C" w:rsidRPr="00196F5D" w:rsidRDefault="00C52555" w:rsidP="00D62F3C">
            <w:pPr>
              <w:rPr>
                <w:color w:val="0000FF"/>
              </w:rPr>
            </w:pPr>
            <w:r w:rsidRPr="00D62F3C">
              <w:rPr>
                <w:color w:val="0000FF"/>
              </w:rPr>
              <w:lastRenderedPageBreak/>
              <w:t xml:space="preserve">Keep the focus on your own retirement plan as you analyze the tax-efficiency of your current course of action. Consider asking questions such as “How have I structured my own retirement plan to maximize my after-tax retirement income?” and “What </w:t>
            </w:r>
            <w:r w:rsidRPr="00D62F3C">
              <w:rPr>
                <w:i/>
                <w:color w:val="0000FF"/>
              </w:rPr>
              <w:t>specifically</w:t>
            </w:r>
            <w:r w:rsidRPr="00D62F3C">
              <w:rPr>
                <w:color w:val="0000FF"/>
              </w:rPr>
              <w:t xml:space="preserve"> am I doing now to generate more after-tax income when I</w:t>
            </w:r>
            <w:r>
              <w:rPr>
                <w:color w:val="0000FF"/>
              </w:rPr>
              <w:t xml:space="preserve"> retire?”</w:t>
            </w:r>
          </w:p>
        </w:tc>
        <w:tc>
          <w:tcPr>
            <w:tcW w:w="4320" w:type="dxa"/>
            <w:shd w:val="clear" w:color="auto" w:fill="EEECE1"/>
          </w:tcPr>
          <w:p w14:paraId="4E39CCD0" w14:textId="20569A00" w:rsidR="00C52555" w:rsidRPr="00C52555" w:rsidRDefault="00C52555" w:rsidP="00C52555">
            <w:pPr>
              <w:pStyle w:val="ListParagraph"/>
              <w:ind w:left="0"/>
              <w:contextualSpacing w:val="0"/>
              <w:rPr>
                <w:rFonts w:eastAsia="Arial Unicode MS"/>
                <w:b/>
                <w:color w:val="0000FF"/>
              </w:rPr>
            </w:pPr>
            <w:r w:rsidRPr="00C52555">
              <w:rPr>
                <w:rFonts w:eastAsia="Arial Unicode MS"/>
                <w:b/>
                <w:color w:val="0000FF"/>
              </w:rPr>
              <w:t>Questions to Ask Yourself</w:t>
            </w:r>
          </w:p>
          <w:p w14:paraId="355EAB65" w14:textId="77777777" w:rsidR="00C52555" w:rsidRDefault="00C52555" w:rsidP="006873C4">
            <w:pPr>
              <w:pStyle w:val="ListParagraph"/>
              <w:numPr>
                <w:ilvl w:val="0"/>
                <w:numId w:val="75"/>
              </w:numPr>
              <w:contextualSpacing w:val="0"/>
              <w:rPr>
                <w:rFonts w:eastAsia="Arial Unicode MS"/>
                <w:color w:val="0000FF"/>
              </w:rPr>
            </w:pPr>
            <w:r>
              <w:rPr>
                <w:rFonts w:eastAsia="Arial Unicode MS"/>
                <w:color w:val="0000FF"/>
              </w:rPr>
              <w:t>How have I structured my own retirement plan to maximize my after-tax retirement income?</w:t>
            </w:r>
          </w:p>
          <w:p w14:paraId="4A7DDC60" w14:textId="7D103906" w:rsidR="00C52555" w:rsidRPr="00196F5D" w:rsidRDefault="00C52555" w:rsidP="006873C4">
            <w:pPr>
              <w:pStyle w:val="ListParagraph"/>
              <w:numPr>
                <w:ilvl w:val="0"/>
                <w:numId w:val="75"/>
              </w:numPr>
              <w:contextualSpacing w:val="0"/>
              <w:rPr>
                <w:rFonts w:eastAsia="Arial Unicode MS"/>
                <w:color w:val="0000FF"/>
              </w:rPr>
            </w:pPr>
            <w:r>
              <w:rPr>
                <w:rFonts w:eastAsia="Arial Unicode MS"/>
                <w:color w:val="0000FF"/>
              </w:rPr>
              <w:t>What specifically am I doing now to generate more after-tax income when I retire?</w:t>
            </w:r>
          </w:p>
        </w:tc>
      </w:tr>
    </w:tbl>
    <w:p w14:paraId="0AB44BD9" w14:textId="0BE220C7" w:rsidR="00D072FA" w:rsidRDefault="00D072FA" w:rsidP="00D072FA">
      <w:pPr>
        <w:spacing w:before="0" w:after="0"/>
      </w:pPr>
    </w:p>
    <w:p w14:paraId="15FD9B19" w14:textId="57D1C07C" w:rsidR="00EF3FA2" w:rsidRDefault="001A1D74" w:rsidP="004344CA">
      <w:r>
        <w:rPr>
          <w:noProof/>
          <w:lang w:eastAsia="zh-CN"/>
        </w:rPr>
        <mc:AlternateContent>
          <mc:Choice Requires="wps">
            <w:drawing>
              <wp:anchor distT="0" distB="0" distL="114300" distR="114300" simplePos="0" relativeHeight="251655168" behindDoc="0" locked="0" layoutInCell="1" allowOverlap="1" wp14:anchorId="385E1B9E" wp14:editId="461B85F9">
                <wp:simplePos x="0" y="0"/>
                <wp:positionH relativeFrom="column">
                  <wp:posOffset>3314700</wp:posOffset>
                </wp:positionH>
                <wp:positionV relativeFrom="paragraph">
                  <wp:posOffset>765175</wp:posOffset>
                </wp:positionV>
                <wp:extent cx="2590800" cy="1246505"/>
                <wp:effectExtent l="0" t="0" r="25400" b="23495"/>
                <wp:wrapSquare wrapText="bothSides"/>
                <wp:docPr id="31" name="Text Box 31"/>
                <wp:cNvGraphicFramePr/>
                <a:graphic xmlns:a="http://schemas.openxmlformats.org/drawingml/2006/main">
                  <a:graphicData uri="http://schemas.microsoft.com/office/word/2010/wordprocessingShape">
                    <wps:wsp>
                      <wps:cNvSpPr txBox="1"/>
                      <wps:spPr>
                        <a:xfrm>
                          <a:off x="0" y="0"/>
                          <a:ext cx="2590800" cy="1246505"/>
                        </a:xfrm>
                        <a:prstGeom prst="rect">
                          <a:avLst/>
                        </a:prstGeom>
                        <a:solidFill>
                          <a:srgbClr val="DBD9B9"/>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CFEDD5" w14:textId="77777777" w:rsidR="004507AE" w:rsidRPr="00B37439" w:rsidRDefault="004507AE" w:rsidP="001A1D74">
                            <w:pPr>
                              <w:rPr>
                                <w:rStyle w:val="Strong"/>
                                <w:i/>
                              </w:rPr>
                            </w:pPr>
                            <w:r w:rsidRPr="00B37439">
                              <w:rPr>
                                <w:rStyle w:val="Strong"/>
                                <w:i/>
                              </w:rPr>
                              <w:t xml:space="preserve">“You don’t pay taxes – they take taxes.”  </w:t>
                            </w:r>
                          </w:p>
                          <w:p w14:paraId="28E3D1DB" w14:textId="77777777" w:rsidR="004507AE" w:rsidRDefault="004507AE" w:rsidP="001A1D74">
                            <w:pPr>
                              <w:ind w:left="720"/>
                            </w:pPr>
                            <w:r>
                              <w:t xml:space="preserve">Chris Rock – American </w:t>
                            </w:r>
                            <w:r w:rsidRPr="0018657B">
                              <w:t xml:space="preserve">Comedian, Actor, and </w:t>
                            </w:r>
                            <w:r w:rsidRPr="00834CAF">
                              <w:t>Playwright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E1B9E" id="Text_x0020_Box_x0020_31" o:spid="_x0000_s1027" type="#_x0000_t202" style="position:absolute;margin-left:261pt;margin-top:60.25pt;width:204pt;height:98.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" fillcolor="#dbd9b9" strokecolor="black [3213]">
                <v:textbox>
                  <w:txbxContent>
                    <w:p w14:paraId="29CFEDD5" w14:textId="77777777" w:rsidR="004507AE" w:rsidRPr="00B37439" w:rsidRDefault="004507AE" w:rsidP="001A1D74">
                      <w:pPr>
                        <w:rPr>
                          <w:rStyle w:val="Strong"/>
                          <w:i/>
                        </w:rPr>
                      </w:pPr>
                      <w:r w:rsidRPr="00B37439">
                        <w:rPr>
                          <w:rStyle w:val="Strong"/>
                          <w:i/>
                        </w:rPr>
                        <w:t xml:space="preserve">“You don’t pay taxes – they take taxes.”  </w:t>
                      </w:r>
                    </w:p>
                    <w:p w14:paraId="28E3D1DB" w14:textId="77777777" w:rsidR="004507AE" w:rsidRDefault="004507AE" w:rsidP="001A1D74">
                      <w:pPr>
                        <w:ind w:left="720"/>
                      </w:pPr>
                      <w:r>
                        <w:t xml:space="preserve">Chris Rock – American </w:t>
                      </w:r>
                      <w:r w:rsidRPr="0018657B">
                        <w:t xml:space="preserve">Comedian, Actor, and </w:t>
                      </w:r>
                      <w:r w:rsidRPr="00834CAF">
                        <w:t>Playwright</w:t>
                      </w:r>
                    </w:p>
                  </w:txbxContent>
                </v:textbox>
                <w10:wrap type="square"/>
              </v:shape>
            </w:pict>
          </mc:Fallback>
        </mc:AlternateContent>
      </w:r>
      <w:r w:rsidR="007D6AEB">
        <w:t xml:space="preserve">The government will take </w:t>
      </w:r>
      <w:r w:rsidR="006871FA">
        <w:t>fewer taxes</w:t>
      </w:r>
      <w:r w:rsidR="007D6AEB">
        <w:t xml:space="preserve"> in retirement when wise tax choices are made during t</w:t>
      </w:r>
      <w:r w:rsidR="00AC40A8">
        <w:t>he accumulation period</w:t>
      </w:r>
      <w:r w:rsidR="007D6AEB">
        <w:t>. The ideas we will share</w:t>
      </w:r>
      <w:r w:rsidR="00AC40A8">
        <w:t xml:space="preserve"> </w:t>
      </w:r>
      <w:r w:rsidR="007D6AEB">
        <w:t>may give</w:t>
      </w:r>
      <w:r w:rsidR="00AC40A8">
        <w:t xml:space="preserve"> the </w:t>
      </w:r>
      <w:r w:rsidR="00757E1D">
        <w:t xml:space="preserve">shrewd </w:t>
      </w:r>
      <w:r w:rsidR="00AC40A8">
        <w:t>advisor an opportunity to reduce not only a client’s regular income taxes i</w:t>
      </w:r>
      <w:r w:rsidR="00D072FA">
        <w:t xml:space="preserve">n retirement, but </w:t>
      </w:r>
      <w:r w:rsidR="00AC40A8">
        <w:t>potentially reduce</w:t>
      </w:r>
      <w:r w:rsidR="00F72094">
        <w:t xml:space="preserve"> </w:t>
      </w:r>
      <w:proofErr w:type="gramStart"/>
      <w:r w:rsidR="00F72094">
        <w:t>more subtle</w:t>
      </w:r>
      <w:proofErr w:type="gramEnd"/>
      <w:r w:rsidR="00AC40A8">
        <w:t xml:space="preserve"> erosion of retirement income</w:t>
      </w:r>
      <w:r w:rsidR="00F72094">
        <w:t xml:space="preserve"> as well</w:t>
      </w:r>
      <w:r w:rsidR="00AC40A8">
        <w:t xml:space="preserve">. </w:t>
      </w:r>
    </w:p>
    <w:p w14:paraId="41CE6C5E" w14:textId="0B63CF98" w:rsidR="000F5BC6" w:rsidRDefault="00AC40A8" w:rsidP="004344CA">
      <w:r>
        <w:t>In the pages that follow, we will address the “must know” dynamics of</w:t>
      </w:r>
      <w:r w:rsidR="00385395">
        <w:t xml:space="preserve"> IRAs and </w:t>
      </w:r>
      <w:r w:rsidR="007B3177">
        <w:t>employer</w:t>
      </w:r>
      <w:r w:rsidR="00B37439">
        <w:t>-</w:t>
      </w:r>
      <w:r w:rsidR="007B3177">
        <w:t xml:space="preserve">sponsored retirement </w:t>
      </w:r>
      <w:r w:rsidR="00385395">
        <w:t>plans. W</w:t>
      </w:r>
      <w:r>
        <w:t xml:space="preserve">e will </w:t>
      </w:r>
      <w:r w:rsidR="00EF3FA2">
        <w:t xml:space="preserve">also </w:t>
      </w:r>
      <w:r w:rsidR="00385395">
        <w:t>dive beneath the surfac</w:t>
      </w:r>
      <w:r w:rsidR="00CA34C6">
        <w:t>e of</w:t>
      </w:r>
      <w:r w:rsidR="00385395">
        <w:t xml:space="preserve"> income tax efficiency and </w:t>
      </w:r>
      <w:r>
        <w:t xml:space="preserve">share specific strategies to </w:t>
      </w:r>
      <w:r w:rsidR="007B3177">
        <w:t>dramatically reduce or</w:t>
      </w:r>
      <w:r>
        <w:t xml:space="preserve"> avoid </w:t>
      </w:r>
      <w:r w:rsidR="00F72094">
        <w:t>other retirement expenses</w:t>
      </w:r>
      <w:r w:rsidR="00B37439">
        <w:t>,</w:t>
      </w:r>
      <w:r w:rsidR="00F72094">
        <w:t xml:space="preserve"> such as </w:t>
      </w:r>
      <w:r w:rsidR="007B3177">
        <w:t xml:space="preserve">excess </w:t>
      </w:r>
      <w:r>
        <w:t xml:space="preserve">Medicare insurance premiums, </w:t>
      </w:r>
      <w:r w:rsidR="00F72094">
        <w:t xml:space="preserve">after-tax </w:t>
      </w:r>
      <w:r>
        <w:t xml:space="preserve">medical </w:t>
      </w:r>
      <w:r w:rsidR="00F72094">
        <w:t>costs</w:t>
      </w:r>
      <w:r>
        <w:t xml:space="preserve">, and the Net Investment Income tax. </w:t>
      </w:r>
    </w:p>
    <w:p w14:paraId="43B5EFDD" w14:textId="68FF2976" w:rsidR="002C3631" w:rsidRDefault="002C3631">
      <w:pPr>
        <w:spacing w:before="0" w:after="0"/>
      </w:pPr>
      <w:r>
        <w:br w:type="page"/>
      </w:r>
    </w:p>
    <w:p w14:paraId="1FE67880" w14:textId="359EE08F" w:rsidR="002C3631" w:rsidRDefault="00EF3FA2" w:rsidP="00EF3FA2">
      <w:pPr>
        <w:pStyle w:val="Heading2"/>
      </w:pPr>
      <w:r>
        <w:lastRenderedPageBreak/>
        <w:t>Retirement Savings Vehicles</w:t>
      </w:r>
    </w:p>
    <w:p w14:paraId="0844758D" w14:textId="4C256E83" w:rsidR="00EF3FA2" w:rsidRPr="00EF3FA2" w:rsidRDefault="00C43813" w:rsidP="00C43813">
      <w:r>
        <w:t>Let’s begin with an overview of retirement savings vehicles.</w:t>
      </w:r>
    </w:p>
    <w:p w14:paraId="19CE28DE" w14:textId="12DF91C3" w:rsidR="009F00A3" w:rsidRDefault="009F00A3" w:rsidP="009F00A3">
      <w:pPr>
        <w:pStyle w:val="CommentText"/>
        <w:rPr>
          <w:b/>
          <w:color w:val="FF0000"/>
        </w:rPr>
      </w:pPr>
    </w:p>
    <w:tbl>
      <w:tblPr>
        <w:tblW w:w="9540" w:type="dxa"/>
        <w:tblInd w:w="115" w:type="dxa"/>
        <w:tblBorders>
          <w:top w:val="single" w:sz="6" w:space="0" w:color="444444"/>
          <w:left w:val="single" w:sz="6" w:space="0" w:color="444444"/>
          <w:bottom w:val="single" w:sz="6" w:space="0" w:color="444444"/>
          <w:right w:val="single" w:sz="6" w:space="0" w:color="444444"/>
          <w:insideH w:val="single" w:sz="6" w:space="0" w:color="444444"/>
          <w:insideV w:val="single" w:sz="6" w:space="0" w:color="444444"/>
        </w:tblBorders>
        <w:tblCellMar>
          <w:top w:w="72" w:type="dxa"/>
          <w:left w:w="115" w:type="dxa"/>
          <w:bottom w:w="72" w:type="dxa"/>
          <w:right w:w="115" w:type="dxa"/>
        </w:tblCellMar>
        <w:tblLook w:val="01E0" w:firstRow="1" w:lastRow="1" w:firstColumn="1" w:lastColumn="1" w:noHBand="0" w:noVBand="0"/>
      </w:tblPr>
      <w:tblGrid>
        <w:gridCol w:w="2695"/>
        <w:gridCol w:w="6845"/>
      </w:tblGrid>
      <w:tr w:rsidR="00A54F77" w:rsidRPr="00396697" w14:paraId="7640B91C" w14:textId="77777777" w:rsidTr="00EF587F">
        <w:tc>
          <w:tcPr>
            <w:tcW w:w="2695" w:type="dxa"/>
            <w:tcMar>
              <w:top w:w="72" w:type="dxa"/>
              <w:bottom w:w="72" w:type="dxa"/>
            </w:tcMar>
          </w:tcPr>
          <w:p w14:paraId="15028A8B" w14:textId="77777777" w:rsidR="00A54F77" w:rsidRPr="006F657F" w:rsidRDefault="00A54F77" w:rsidP="00EC1C4C">
            <w:pPr>
              <w:rPr>
                <w:b/>
              </w:rPr>
            </w:pPr>
            <w:r w:rsidRPr="006F657F">
              <w:rPr>
                <w:b/>
              </w:rPr>
              <w:t>Overview</w:t>
            </w:r>
          </w:p>
          <w:p w14:paraId="1D89AB53" w14:textId="77777777" w:rsidR="00A54F77" w:rsidRPr="006F657F" w:rsidRDefault="00A54F77" w:rsidP="00EC1C4C">
            <w:pPr>
              <w:rPr>
                <w:b/>
              </w:rPr>
            </w:pPr>
          </w:p>
        </w:tc>
        <w:tc>
          <w:tcPr>
            <w:tcW w:w="6845" w:type="dxa"/>
            <w:tcMar>
              <w:top w:w="72" w:type="dxa"/>
              <w:bottom w:w="72" w:type="dxa"/>
            </w:tcMar>
          </w:tcPr>
          <w:p w14:paraId="457E44CD" w14:textId="77777777" w:rsidR="00A54F77" w:rsidRPr="006718B1" w:rsidRDefault="00A54F77" w:rsidP="00EC1C4C">
            <w:pPr>
              <w:rPr>
                <w:rFonts w:ascii="Arial" w:hAnsi="Arial"/>
              </w:rPr>
            </w:pPr>
            <w:r w:rsidRPr="00B21A3E">
              <w:t xml:space="preserve">Generally, </w:t>
            </w:r>
            <w:r>
              <w:t xml:space="preserve">vehicles used for retirement accumulation </w:t>
            </w:r>
            <w:r w:rsidRPr="00B21A3E">
              <w:t xml:space="preserve">can be classified into three categories.  </w:t>
            </w:r>
          </w:p>
          <w:p w14:paraId="1822486A" w14:textId="77777777" w:rsidR="00A54F77" w:rsidRPr="00B37439" w:rsidRDefault="00A54F77" w:rsidP="00B37439">
            <w:pPr>
              <w:pStyle w:val="BodyTextBoldRed"/>
            </w:pPr>
            <w:r w:rsidRPr="00B37439">
              <w:t>Click on each category to view more information.</w:t>
            </w:r>
          </w:p>
        </w:tc>
      </w:tr>
      <w:tr w:rsidR="00A54F77" w:rsidRPr="00396697" w14:paraId="1A0C3837" w14:textId="77777777" w:rsidTr="00EF587F">
        <w:tc>
          <w:tcPr>
            <w:tcW w:w="2695" w:type="dxa"/>
            <w:shd w:val="clear" w:color="auto" w:fill="6CA8CD"/>
            <w:tcMar>
              <w:top w:w="72" w:type="dxa"/>
              <w:bottom w:w="72" w:type="dxa"/>
            </w:tcMar>
          </w:tcPr>
          <w:p w14:paraId="2C0A66A0" w14:textId="77777777" w:rsidR="00A54F77" w:rsidRPr="006F657F" w:rsidRDefault="00A54F77" w:rsidP="00EC1C4C">
            <w:pPr>
              <w:rPr>
                <w:b/>
              </w:rPr>
            </w:pPr>
            <w:r w:rsidRPr="006F657F">
              <w:rPr>
                <w:b/>
              </w:rPr>
              <w:t>Personal Savings</w:t>
            </w:r>
          </w:p>
        </w:tc>
        <w:tc>
          <w:tcPr>
            <w:tcW w:w="6845" w:type="dxa"/>
            <w:tcMar>
              <w:top w:w="72" w:type="dxa"/>
              <w:bottom w:w="72" w:type="dxa"/>
            </w:tcMar>
          </w:tcPr>
          <w:p w14:paraId="260FE0EB" w14:textId="77777777" w:rsidR="00A54F77" w:rsidRDefault="00A54F77" w:rsidP="00A54F77">
            <w:r>
              <w:t>Personal</w:t>
            </w:r>
            <w:r w:rsidRPr="00B21A3E">
              <w:t xml:space="preserve"> Savings include all taxable savings vehicles, such as individual brokerage accounts and bank savings accounts. These accounts are not uniquely designed for retirement saving and</w:t>
            </w:r>
            <w:r>
              <w:t xml:space="preserve"> typically </w:t>
            </w:r>
            <w:r w:rsidRPr="00B21A3E">
              <w:t>offer no tax-</w:t>
            </w:r>
            <w:r>
              <w:t>deferral</w:t>
            </w:r>
            <w:r w:rsidRPr="00B21A3E">
              <w:t xml:space="preserve"> benefits. Therefore, they should </w:t>
            </w:r>
            <w:r>
              <w:t xml:space="preserve">generally </w:t>
            </w:r>
            <w:r w:rsidRPr="00B21A3E">
              <w:t xml:space="preserve">be used as a secondary retirement savings vehicle, after the use of other more “tax-advantaged” vehicles </w:t>
            </w:r>
            <w:proofErr w:type="gramStart"/>
            <w:r w:rsidRPr="00B21A3E">
              <w:t>ha</w:t>
            </w:r>
            <w:r>
              <w:t>s</w:t>
            </w:r>
            <w:proofErr w:type="gramEnd"/>
            <w:r w:rsidRPr="00B21A3E">
              <w:t xml:space="preserve"> been exhausted.</w:t>
            </w:r>
            <w:r>
              <w:t xml:space="preserve">  </w:t>
            </w:r>
          </w:p>
          <w:p w14:paraId="4A345436" w14:textId="77777777" w:rsidR="00E50968" w:rsidRDefault="00A54F77" w:rsidP="00A54F77">
            <w:r>
              <w:t>However, there is at least one circumstance in which personal savings may be appropriate. A client wish</w:t>
            </w:r>
            <w:r w:rsidR="00E50968">
              <w:t>ing</w:t>
            </w:r>
            <w:r>
              <w:t xml:space="preserve"> to invest in growth securities to achieve long-term capital gains income tax rates may find it beneficial to use personal savings as an investment vehicle. </w:t>
            </w:r>
          </w:p>
          <w:p w14:paraId="548F8856" w14:textId="339FA04B" w:rsidR="00A54F77" w:rsidRDefault="006F657F" w:rsidP="00A54F77">
            <w:r>
              <w:t>Why? Earnings from tax-</w:t>
            </w:r>
            <w:r w:rsidR="00A54F77">
              <w:t>deferred accounts</w:t>
            </w:r>
            <w:r>
              <w:t>,</w:t>
            </w:r>
            <w:r w:rsidR="00A54F77">
              <w:t xml:space="preserve"> such as </w:t>
            </w:r>
            <w:r w:rsidR="006C6B55">
              <w:t>employer</w:t>
            </w:r>
            <w:r>
              <w:t>-</w:t>
            </w:r>
            <w:r w:rsidR="006C6B55">
              <w:t xml:space="preserve">sponsored retirement </w:t>
            </w:r>
            <w:r>
              <w:t>plans and T</w:t>
            </w:r>
            <w:r w:rsidR="00A54F77">
              <w:t>raditional IRAs are generally taxed as ordinary income when distributed</w:t>
            </w:r>
            <w:r w:rsidR="00E50968">
              <w:t>. L</w:t>
            </w:r>
            <w:r>
              <w:t xml:space="preserve">ong-term gain from </w:t>
            </w:r>
            <w:r w:rsidR="00095E0E">
              <w:t>personally owned</w:t>
            </w:r>
            <w:r w:rsidR="00A54F77">
              <w:t xml:space="preserve"> accounts </w:t>
            </w:r>
            <w:r w:rsidR="008D0FD6">
              <w:t>would</w:t>
            </w:r>
            <w:r w:rsidR="00E50968">
              <w:t xml:space="preserve"> be</w:t>
            </w:r>
            <w:r w:rsidR="00C43813">
              <w:t xml:space="preserve"> taxed at preferential long-</w:t>
            </w:r>
            <w:r w:rsidR="00A54F77">
              <w:t xml:space="preserve">term capital gain rates </w:t>
            </w:r>
            <w:r w:rsidR="00E50968">
              <w:t>if holding period requirements are met.</w:t>
            </w:r>
          </w:p>
          <w:p w14:paraId="216E3A96" w14:textId="5B7C4B08" w:rsidR="00A54F77" w:rsidRDefault="00C266FC" w:rsidP="00A54F77">
            <w:r>
              <w:t>T</w:t>
            </w:r>
            <w:r w:rsidR="00A54F77">
              <w:t>he top ordinary income tax rate is 39.6% (</w:t>
            </w:r>
            <w:r w:rsidR="002D2503">
              <w:t>2016</w:t>
            </w:r>
            <w:r w:rsidR="00A54F77">
              <w:t>) while the top capital gains rate is 20% (</w:t>
            </w:r>
            <w:r w:rsidR="002D2503">
              <w:t>2016</w:t>
            </w:r>
            <w:r w:rsidR="00A54F77">
              <w:t xml:space="preserve">). If your client can shift gain from ordinary income to capital gains, an income tax savings of </w:t>
            </w:r>
            <w:r w:rsidR="003157A1">
              <w:t>approximately 20%</w:t>
            </w:r>
            <w:r>
              <w:rPr>
                <w:rStyle w:val="FootnoteReference"/>
              </w:rPr>
              <w:footnoteReference w:id="2"/>
            </w:r>
            <w:r w:rsidR="003157A1">
              <w:t xml:space="preserve"> (</w:t>
            </w:r>
            <w:r w:rsidR="00A54F77">
              <w:t>19.6%</w:t>
            </w:r>
            <w:r w:rsidR="003157A1">
              <w:t>)</w:t>
            </w:r>
            <w:r w:rsidR="00A54F77">
              <w:t xml:space="preserve"> </w:t>
            </w:r>
            <w:r>
              <w:t xml:space="preserve">may be </w:t>
            </w:r>
            <w:r w:rsidR="00A54F77">
              <w:t>achieved.</w:t>
            </w:r>
            <w:r w:rsidR="00F97742">
              <w:t xml:space="preserve"> </w:t>
            </w:r>
          </w:p>
          <w:p w14:paraId="2EFC2460" w14:textId="4564FE3D" w:rsidR="00A54F77" w:rsidRPr="00396697" w:rsidRDefault="00A54F77">
            <w:pPr>
              <w:rPr>
                <w:rFonts w:ascii="Arial" w:hAnsi="Arial"/>
                <w:b/>
                <w:color w:val="943634"/>
              </w:rPr>
            </w:pPr>
            <w:r>
              <w:t xml:space="preserve">Hence, investments that produce ordinary income should generally be owned in </w:t>
            </w:r>
            <w:r w:rsidR="00541DBF">
              <w:t xml:space="preserve">IRA or </w:t>
            </w:r>
            <w:r w:rsidR="00F97742">
              <w:t>employer</w:t>
            </w:r>
            <w:r w:rsidR="006F657F">
              <w:t>-</w:t>
            </w:r>
            <w:r w:rsidR="00F97742">
              <w:t xml:space="preserve">sponsored </w:t>
            </w:r>
            <w:proofErr w:type="gramStart"/>
            <w:r w:rsidR="00F97742">
              <w:t xml:space="preserve">retirement </w:t>
            </w:r>
            <w:r w:rsidR="00541DBF">
              <w:t xml:space="preserve"> </w:t>
            </w:r>
            <w:r w:rsidR="003157A1">
              <w:t>plan</w:t>
            </w:r>
            <w:proofErr w:type="gramEnd"/>
            <w:r w:rsidR="003157A1">
              <w:t xml:space="preserve"> </w:t>
            </w:r>
            <w:r w:rsidR="00541DBF">
              <w:t xml:space="preserve">form </w:t>
            </w:r>
            <w:r>
              <w:t>while it may be appropriate to earmark a</w:t>
            </w:r>
            <w:r w:rsidR="003157A1">
              <w:t>t least a</w:t>
            </w:r>
            <w:r>
              <w:t xml:space="preserve"> portion of your client’s </w:t>
            </w:r>
            <w:r w:rsidR="003157A1">
              <w:t xml:space="preserve">growth securities </w:t>
            </w:r>
            <w:r>
              <w:t xml:space="preserve">into </w:t>
            </w:r>
            <w:r w:rsidR="003F43B7">
              <w:t>an ind</w:t>
            </w:r>
            <w:r w:rsidR="006A6FE2">
              <w:t xml:space="preserve">ividual </w:t>
            </w:r>
            <w:r w:rsidR="003157A1">
              <w:t>brokerage a</w:t>
            </w:r>
            <w:r w:rsidR="006A6FE2">
              <w:t>ccount</w:t>
            </w:r>
            <w:r w:rsidR="004715FA">
              <w:t>.</w:t>
            </w:r>
            <w:r w:rsidR="006A6FE2">
              <w:t xml:space="preserve"> </w:t>
            </w:r>
          </w:p>
        </w:tc>
      </w:tr>
      <w:tr w:rsidR="00A54F77" w:rsidRPr="00396697" w14:paraId="2BB586C7" w14:textId="77777777" w:rsidTr="00EF587F">
        <w:tc>
          <w:tcPr>
            <w:tcW w:w="2695" w:type="dxa"/>
            <w:shd w:val="clear" w:color="auto" w:fill="6CA8CD"/>
            <w:tcMar>
              <w:top w:w="72" w:type="dxa"/>
              <w:bottom w:w="72" w:type="dxa"/>
            </w:tcMar>
          </w:tcPr>
          <w:p w14:paraId="61D55871" w14:textId="77777777" w:rsidR="00A54F77" w:rsidRPr="006F657F" w:rsidRDefault="00A54F77" w:rsidP="00EC1C4C">
            <w:pPr>
              <w:rPr>
                <w:b/>
              </w:rPr>
            </w:pPr>
            <w:r w:rsidRPr="006F657F">
              <w:rPr>
                <w:b/>
              </w:rPr>
              <w:t>Individual Retirement Arrangements</w:t>
            </w:r>
          </w:p>
        </w:tc>
        <w:tc>
          <w:tcPr>
            <w:tcW w:w="6845" w:type="dxa"/>
            <w:tcMar>
              <w:top w:w="72" w:type="dxa"/>
              <w:bottom w:w="72" w:type="dxa"/>
            </w:tcMar>
          </w:tcPr>
          <w:p w14:paraId="50AEC54F" w14:textId="77777777" w:rsidR="00A54F77" w:rsidRPr="00B21A3E" w:rsidRDefault="00A54F77" w:rsidP="00A54F77">
            <w:r w:rsidRPr="00B21A3E">
              <w:rPr>
                <w:rStyle w:val="Strong"/>
                <w:i/>
                <w:iCs/>
              </w:rPr>
              <w:t>Individual Retirement Arrangements (IRAs)</w:t>
            </w:r>
            <w:r w:rsidRPr="00B21A3E">
              <w:t xml:space="preserve"> are retirement arrangements that include the following list:</w:t>
            </w:r>
          </w:p>
          <w:p w14:paraId="5BD454DE" w14:textId="77777777" w:rsidR="00A54F77" w:rsidRPr="00B21A3E" w:rsidRDefault="00A54F77" w:rsidP="00822DE7">
            <w:pPr>
              <w:numPr>
                <w:ilvl w:val="0"/>
                <w:numId w:val="10"/>
              </w:numPr>
            </w:pPr>
            <w:r w:rsidRPr="00442163">
              <w:rPr>
                <w:b/>
                <w:bCs/>
              </w:rPr>
              <w:t xml:space="preserve">IRA Plans </w:t>
            </w:r>
            <w:r>
              <w:rPr>
                <w:b/>
                <w:bCs/>
              </w:rPr>
              <w:t>Established</w:t>
            </w:r>
            <w:r w:rsidRPr="00442163">
              <w:rPr>
                <w:b/>
                <w:bCs/>
              </w:rPr>
              <w:t xml:space="preserve"> by Individuals</w:t>
            </w:r>
          </w:p>
          <w:p w14:paraId="7BC8BB6F" w14:textId="77777777" w:rsidR="00A54F77" w:rsidRPr="00C9421D" w:rsidRDefault="00A54F77" w:rsidP="00822DE7">
            <w:pPr>
              <w:numPr>
                <w:ilvl w:val="1"/>
                <w:numId w:val="10"/>
              </w:numPr>
            </w:pPr>
            <w:r w:rsidRPr="00C9421D">
              <w:t>Traditional IRA</w:t>
            </w:r>
          </w:p>
          <w:p w14:paraId="5ECB9C04" w14:textId="77777777" w:rsidR="00A54F77" w:rsidRPr="00C9421D" w:rsidRDefault="00A54F77" w:rsidP="00822DE7">
            <w:pPr>
              <w:numPr>
                <w:ilvl w:val="1"/>
                <w:numId w:val="10"/>
              </w:numPr>
            </w:pPr>
            <w:r w:rsidRPr="00C9421D">
              <w:t xml:space="preserve">Roth IRA </w:t>
            </w:r>
          </w:p>
          <w:p w14:paraId="442D27AF" w14:textId="77777777" w:rsidR="00A54F77" w:rsidRPr="002A453A" w:rsidRDefault="00A54F77" w:rsidP="00822DE7">
            <w:pPr>
              <w:numPr>
                <w:ilvl w:val="0"/>
                <w:numId w:val="10"/>
              </w:numPr>
              <w:rPr>
                <w:b/>
                <w:bCs/>
              </w:rPr>
            </w:pPr>
            <w:r w:rsidRPr="00FD3E53">
              <w:rPr>
                <w:b/>
              </w:rPr>
              <w:lastRenderedPageBreak/>
              <w:t xml:space="preserve">IRA Plans </w:t>
            </w:r>
            <w:r>
              <w:rPr>
                <w:b/>
              </w:rPr>
              <w:t>Established</w:t>
            </w:r>
            <w:r w:rsidRPr="00FD3E53">
              <w:rPr>
                <w:b/>
              </w:rPr>
              <w:t xml:space="preserve"> by Employers</w:t>
            </w:r>
          </w:p>
          <w:p w14:paraId="13584370" w14:textId="77777777" w:rsidR="00A54F77" w:rsidRPr="00C9421D" w:rsidRDefault="00A54F77" w:rsidP="00822DE7">
            <w:pPr>
              <w:numPr>
                <w:ilvl w:val="1"/>
                <w:numId w:val="10"/>
              </w:numPr>
            </w:pPr>
            <w:r w:rsidRPr="00C9421D">
              <w:t>Simplified Employee Pension (SEP</w:t>
            </w:r>
            <w:r>
              <w:t xml:space="preserve"> IRA</w:t>
            </w:r>
            <w:r w:rsidRPr="00C9421D">
              <w:t xml:space="preserve">) </w:t>
            </w:r>
          </w:p>
          <w:p w14:paraId="3C1FD184" w14:textId="54BFE41A" w:rsidR="00A54F77" w:rsidRPr="00396697" w:rsidRDefault="002B2EB8">
            <w:pPr>
              <w:numPr>
                <w:ilvl w:val="1"/>
                <w:numId w:val="10"/>
              </w:numPr>
              <w:rPr>
                <w:rFonts w:ascii="Arial" w:hAnsi="Arial"/>
              </w:rPr>
            </w:pPr>
            <w:r w:rsidRPr="00C9421D">
              <w:t xml:space="preserve">Savings Incentive Match Plan for Employees </w:t>
            </w:r>
            <w:r w:rsidR="00A54F77" w:rsidRPr="00C9421D">
              <w:t>(</w:t>
            </w:r>
            <w:r w:rsidRPr="00C9421D">
              <w:t xml:space="preserve">SIMPLE </w:t>
            </w:r>
            <w:r>
              <w:t xml:space="preserve">IRA </w:t>
            </w:r>
            <w:r w:rsidR="00A54F77">
              <w:t>)</w:t>
            </w:r>
          </w:p>
        </w:tc>
      </w:tr>
      <w:tr w:rsidR="00A54F77" w:rsidRPr="00396697" w14:paraId="21B624E0" w14:textId="77777777" w:rsidTr="00EF587F">
        <w:tc>
          <w:tcPr>
            <w:tcW w:w="2695" w:type="dxa"/>
            <w:shd w:val="clear" w:color="auto" w:fill="6CA8CD"/>
            <w:tcMar>
              <w:top w:w="72" w:type="dxa"/>
              <w:bottom w:w="72" w:type="dxa"/>
            </w:tcMar>
          </w:tcPr>
          <w:p w14:paraId="6E004141" w14:textId="77777777" w:rsidR="00A54F77" w:rsidRPr="006F657F" w:rsidRDefault="00A54F77" w:rsidP="00EC1C4C">
            <w:pPr>
              <w:rPr>
                <w:b/>
              </w:rPr>
            </w:pPr>
            <w:r w:rsidRPr="006F657F">
              <w:rPr>
                <w:b/>
              </w:rPr>
              <w:lastRenderedPageBreak/>
              <w:t>Qualified and Other Employer-Sponsored Plans</w:t>
            </w:r>
          </w:p>
        </w:tc>
        <w:tc>
          <w:tcPr>
            <w:tcW w:w="6845" w:type="dxa"/>
            <w:tcMar>
              <w:top w:w="72" w:type="dxa"/>
              <w:bottom w:w="72" w:type="dxa"/>
            </w:tcMar>
          </w:tcPr>
          <w:p w14:paraId="1AD446F6" w14:textId="77777777" w:rsidR="00A54F77" w:rsidRPr="00FD3E53" w:rsidRDefault="00A54F77" w:rsidP="00A54F77">
            <w:pPr>
              <w:rPr>
                <w:color w:val="000000"/>
              </w:rPr>
            </w:pPr>
            <w:r w:rsidRPr="00FD3E53">
              <w:rPr>
                <w:rStyle w:val="Emphasis"/>
                <w:b/>
                <w:bCs/>
                <w:color w:val="000000"/>
              </w:rPr>
              <w:t>“Qualified”</w:t>
            </w:r>
            <w:r w:rsidRPr="00FD3E53">
              <w:rPr>
                <w:color w:val="000000"/>
              </w:rPr>
              <w:t xml:space="preserve"> Plans must be established by employers and are subject to ERISA (Employee Retirement Income Security Act) requirements regarding eligibility, vesting, funding, etc. In general, contributions into these plans are not taxed until the funds are withdrawn and employers can claim a deduction for their contributions to these plans in the year the contribution was made. </w:t>
            </w:r>
          </w:p>
          <w:p w14:paraId="5CB31804" w14:textId="77777777" w:rsidR="00A54F77" w:rsidRPr="00FD3E53" w:rsidRDefault="00A54F77" w:rsidP="00A54F77">
            <w:pPr>
              <w:rPr>
                <w:color w:val="000000"/>
              </w:rPr>
            </w:pPr>
            <w:r w:rsidRPr="00FD3E53">
              <w:rPr>
                <w:color w:val="000000"/>
              </w:rPr>
              <w:t>The most common types of “Qualified Plans” are:</w:t>
            </w:r>
          </w:p>
          <w:p w14:paraId="5DAD4AB0" w14:textId="12B86C2E" w:rsidR="00A54F77" w:rsidRPr="00FD3E53" w:rsidRDefault="00A54F77" w:rsidP="00822DE7">
            <w:pPr>
              <w:numPr>
                <w:ilvl w:val="0"/>
                <w:numId w:val="10"/>
              </w:numPr>
              <w:rPr>
                <w:color w:val="000000"/>
              </w:rPr>
            </w:pPr>
            <w:r w:rsidRPr="00FD3E53">
              <w:rPr>
                <w:color w:val="000000"/>
              </w:rPr>
              <w:t>Defined Benefit</w:t>
            </w:r>
            <w:r w:rsidR="006F657F">
              <w:rPr>
                <w:color w:val="000000"/>
              </w:rPr>
              <w:t xml:space="preserve"> Plans, including the following:</w:t>
            </w:r>
            <w:r w:rsidRPr="00FD3E53">
              <w:rPr>
                <w:color w:val="000000"/>
              </w:rPr>
              <w:t xml:space="preserve"> </w:t>
            </w:r>
          </w:p>
          <w:p w14:paraId="5C1717BB" w14:textId="77777777" w:rsidR="00A54F77" w:rsidRPr="00FD3E53" w:rsidRDefault="00A54F77" w:rsidP="00822DE7">
            <w:pPr>
              <w:numPr>
                <w:ilvl w:val="1"/>
                <w:numId w:val="10"/>
              </w:numPr>
              <w:rPr>
                <w:color w:val="000000"/>
              </w:rPr>
            </w:pPr>
            <w:r w:rsidRPr="00FD3E53">
              <w:rPr>
                <w:color w:val="000000"/>
              </w:rPr>
              <w:t xml:space="preserve">Traditional Defined Benefit Plans </w:t>
            </w:r>
          </w:p>
          <w:p w14:paraId="7CF639F2" w14:textId="77777777" w:rsidR="00A54F77" w:rsidRPr="00FD3E53" w:rsidRDefault="00A54F77" w:rsidP="00822DE7">
            <w:pPr>
              <w:numPr>
                <w:ilvl w:val="1"/>
                <w:numId w:val="10"/>
              </w:numPr>
              <w:rPr>
                <w:color w:val="000000"/>
              </w:rPr>
            </w:pPr>
            <w:r w:rsidRPr="00FD3E53">
              <w:rPr>
                <w:color w:val="000000"/>
              </w:rPr>
              <w:t>Cash Balance Plans</w:t>
            </w:r>
          </w:p>
          <w:p w14:paraId="0D19F107" w14:textId="77777777" w:rsidR="00A54F77" w:rsidRPr="00FD3E53" w:rsidRDefault="00A54F77" w:rsidP="00822DE7">
            <w:pPr>
              <w:numPr>
                <w:ilvl w:val="1"/>
                <w:numId w:val="10"/>
              </w:numPr>
              <w:rPr>
                <w:color w:val="000000"/>
              </w:rPr>
            </w:pPr>
            <w:r w:rsidRPr="00FD3E53">
              <w:rPr>
                <w:color w:val="000000"/>
              </w:rPr>
              <w:t>Fully Insured Defined Benefit Plans</w:t>
            </w:r>
          </w:p>
          <w:p w14:paraId="3740539D" w14:textId="4ACC0A45" w:rsidR="00A54F77" w:rsidRPr="00FD3E53" w:rsidRDefault="00A54F77" w:rsidP="00822DE7">
            <w:pPr>
              <w:numPr>
                <w:ilvl w:val="0"/>
                <w:numId w:val="10"/>
              </w:numPr>
              <w:rPr>
                <w:color w:val="000000"/>
              </w:rPr>
            </w:pPr>
            <w:r w:rsidRPr="00FD3E53">
              <w:rPr>
                <w:color w:val="000000"/>
              </w:rPr>
              <w:t>Defined Contribution</w:t>
            </w:r>
            <w:r w:rsidR="006F657F">
              <w:rPr>
                <w:color w:val="000000"/>
              </w:rPr>
              <w:t xml:space="preserve"> Plans, including the following:</w:t>
            </w:r>
            <w:r w:rsidRPr="00FD3E53">
              <w:rPr>
                <w:color w:val="000000"/>
              </w:rPr>
              <w:t xml:space="preserve">  </w:t>
            </w:r>
          </w:p>
          <w:p w14:paraId="39D47F1C" w14:textId="77777777" w:rsidR="00A54F77" w:rsidRPr="00FD3E53" w:rsidRDefault="00A54F77" w:rsidP="00822DE7">
            <w:pPr>
              <w:numPr>
                <w:ilvl w:val="1"/>
                <w:numId w:val="10"/>
              </w:numPr>
              <w:rPr>
                <w:color w:val="000000"/>
              </w:rPr>
            </w:pPr>
            <w:r w:rsidRPr="00FD3E53">
              <w:rPr>
                <w:color w:val="000000"/>
              </w:rPr>
              <w:t xml:space="preserve">Money Purchase Plans </w:t>
            </w:r>
          </w:p>
          <w:p w14:paraId="281D1D2E" w14:textId="77777777" w:rsidR="00A54F77" w:rsidRPr="00FD3E53" w:rsidRDefault="00A54F77" w:rsidP="00822DE7">
            <w:pPr>
              <w:numPr>
                <w:ilvl w:val="1"/>
                <w:numId w:val="10"/>
              </w:numPr>
              <w:rPr>
                <w:color w:val="000000"/>
              </w:rPr>
            </w:pPr>
            <w:r w:rsidRPr="00FD3E53">
              <w:rPr>
                <w:color w:val="000000"/>
              </w:rPr>
              <w:t xml:space="preserve">Profit Sharing Plans </w:t>
            </w:r>
          </w:p>
          <w:p w14:paraId="7FF5368A" w14:textId="77777777" w:rsidR="00A54F77" w:rsidRPr="00FD3E53" w:rsidRDefault="00A54F77" w:rsidP="00822DE7">
            <w:pPr>
              <w:numPr>
                <w:ilvl w:val="1"/>
                <w:numId w:val="10"/>
              </w:numPr>
              <w:rPr>
                <w:color w:val="000000"/>
              </w:rPr>
            </w:pPr>
            <w:r w:rsidRPr="00FD3E53">
              <w:rPr>
                <w:color w:val="000000"/>
              </w:rPr>
              <w:t>401(k) Plans</w:t>
            </w:r>
          </w:p>
          <w:p w14:paraId="7D3A3B40" w14:textId="0210C616" w:rsidR="00A54F77" w:rsidRPr="00FD3E53" w:rsidRDefault="00A54F77" w:rsidP="00822DE7">
            <w:pPr>
              <w:numPr>
                <w:ilvl w:val="1"/>
                <w:numId w:val="10"/>
              </w:numPr>
              <w:rPr>
                <w:color w:val="000000"/>
              </w:rPr>
            </w:pPr>
            <w:r w:rsidRPr="00FD3E53">
              <w:rPr>
                <w:color w:val="000000"/>
              </w:rPr>
              <w:t>Stock Bonus Plans</w:t>
            </w:r>
            <w:r w:rsidR="00C07F7F">
              <w:rPr>
                <w:color w:val="000000"/>
              </w:rPr>
              <w:t>/ESOPs</w:t>
            </w:r>
          </w:p>
          <w:p w14:paraId="3DFFEE7A" w14:textId="36460732" w:rsidR="00A54F77" w:rsidRPr="00FD3E53" w:rsidRDefault="006F657F" w:rsidP="00A54F77">
            <w:pPr>
              <w:rPr>
                <w:color w:val="000000"/>
              </w:rPr>
            </w:pPr>
            <w:r>
              <w:rPr>
                <w:color w:val="000000"/>
              </w:rPr>
              <w:t>Although not classified as “Qualified P</w:t>
            </w:r>
            <w:r w:rsidR="00A54F77" w:rsidRPr="00FD3E53">
              <w:rPr>
                <w:color w:val="000000"/>
              </w:rPr>
              <w:t>lans,” similar plans are available to tax-exempt organizations and government employees. These include the following:</w:t>
            </w:r>
          </w:p>
          <w:p w14:paraId="1E6C8B46" w14:textId="7FBB8E20" w:rsidR="00A54F77" w:rsidRPr="00FD3E53" w:rsidRDefault="00A54F77" w:rsidP="00822DE7">
            <w:pPr>
              <w:numPr>
                <w:ilvl w:val="0"/>
                <w:numId w:val="10"/>
              </w:numPr>
              <w:rPr>
                <w:color w:val="000000"/>
              </w:rPr>
            </w:pPr>
            <w:r w:rsidRPr="00FD3E53">
              <w:rPr>
                <w:b/>
                <w:color w:val="000000"/>
              </w:rPr>
              <w:t>403(b) Arrangements</w:t>
            </w:r>
            <w:r w:rsidRPr="00FD3E53">
              <w:rPr>
                <w:color w:val="000000"/>
              </w:rPr>
              <w:t xml:space="preserve"> – These are for tax-exempt religious, charitable, or educational organizations.  They allow employees to make elective deferral c</w:t>
            </w:r>
            <w:r w:rsidR="006F657F">
              <w:rPr>
                <w:color w:val="000000"/>
              </w:rPr>
              <w:t>ontributions similar to 401(k) P</w:t>
            </w:r>
            <w:r w:rsidRPr="00FD3E53">
              <w:rPr>
                <w:color w:val="000000"/>
              </w:rPr>
              <w:t>lans.</w:t>
            </w:r>
          </w:p>
          <w:p w14:paraId="4527C4CF" w14:textId="4A39A40A" w:rsidR="00A54F77" w:rsidRPr="00396697" w:rsidRDefault="00A54F77" w:rsidP="00822DE7">
            <w:pPr>
              <w:numPr>
                <w:ilvl w:val="0"/>
                <w:numId w:val="10"/>
              </w:numPr>
              <w:rPr>
                <w:rFonts w:ascii="Arial" w:hAnsi="Arial"/>
              </w:rPr>
            </w:pPr>
            <w:r w:rsidRPr="00FD3E53">
              <w:rPr>
                <w:b/>
                <w:color w:val="000000"/>
              </w:rPr>
              <w:t xml:space="preserve">Governmental 457(b) Plans – </w:t>
            </w:r>
            <w:r w:rsidRPr="00FD3E53">
              <w:rPr>
                <w:color w:val="000000"/>
              </w:rPr>
              <w:t>These are deferred compensation plans that are available to public sector employees (state or local governments). Similar</w:t>
            </w:r>
            <w:r w:rsidR="006F657F">
              <w:rPr>
                <w:color w:val="000000"/>
              </w:rPr>
              <w:t xml:space="preserve"> to 401(k) and 403(b) P</w:t>
            </w:r>
            <w:r w:rsidRPr="00FD3E53">
              <w:rPr>
                <w:color w:val="000000"/>
              </w:rPr>
              <w:t>lans, they allow employees to make salary deferral contributions.</w:t>
            </w:r>
          </w:p>
        </w:tc>
      </w:tr>
    </w:tbl>
    <w:p w14:paraId="63B15986" w14:textId="77777777" w:rsidR="00AC40A8" w:rsidRPr="00B21A3E" w:rsidRDefault="00AC40A8" w:rsidP="003916C4">
      <w:r w:rsidRPr="00B21A3E">
        <w:t xml:space="preserve">Because of the important role that IRAs, Qualified Plans, and </w:t>
      </w:r>
      <w:r>
        <w:t>o</w:t>
      </w:r>
      <w:r w:rsidRPr="00B21A3E">
        <w:t xml:space="preserve">ther </w:t>
      </w:r>
      <w:r>
        <w:t>e</w:t>
      </w:r>
      <w:r w:rsidRPr="00B21A3E">
        <w:t>mployer</w:t>
      </w:r>
      <w:r>
        <w:t>-s</w:t>
      </w:r>
      <w:r w:rsidRPr="00B21A3E">
        <w:t xml:space="preserve">ponsored </w:t>
      </w:r>
      <w:r>
        <w:t>p</w:t>
      </w:r>
      <w:r w:rsidRPr="00B21A3E">
        <w:t>lans play in saving for retirement, it is important that you have a solid understanding of how these tax-advantaged retirement savings vehicles work. Therefore, on the following pages we will examine these plans in detail</w:t>
      </w:r>
      <w:r>
        <w:t>, beginning with IRAs.</w:t>
      </w:r>
    </w:p>
    <w:p w14:paraId="25C453B5" w14:textId="77777777" w:rsidR="00AC40A8" w:rsidRDefault="00AC40A8" w:rsidP="004344CA">
      <w:pPr>
        <w:pStyle w:val="Heading2"/>
      </w:pPr>
      <w:r>
        <w:br w:type="page"/>
      </w:r>
      <w:r>
        <w:lastRenderedPageBreak/>
        <w:t>Importance of Understanding IRAs</w:t>
      </w:r>
    </w:p>
    <w:p w14:paraId="77CBFB0D" w14:textId="198C3DD3" w:rsidR="00AC40A8" w:rsidRPr="001F3D42" w:rsidRDefault="00AC40A8" w:rsidP="00936E66">
      <w:pPr>
        <w:rPr>
          <w:vertAlign w:val="superscript"/>
        </w:rPr>
      </w:pPr>
      <w:r>
        <w:t xml:space="preserve">More than 25% of all retirement assets </w:t>
      </w:r>
      <w:r w:rsidR="004212F3">
        <w:t>in the United States are held in</w:t>
      </w:r>
      <w:r>
        <w:t xml:space="preserve"> IRAs. Almost </w:t>
      </w:r>
      <w:r w:rsidRPr="001F3D42">
        <w:rPr>
          <w:rStyle w:val="Hyperlink"/>
          <w:b w:val="0"/>
          <w:color w:val="auto"/>
          <w:u w:val="none"/>
        </w:rPr>
        <w:t>$1.5 trillion</w:t>
      </w:r>
      <w:r>
        <w:t xml:space="preserve"> in assets are owned in IRA form, based upon data from the Employee Benefit Research Institute</w:t>
      </w:r>
      <w:r w:rsidR="00627F39" w:rsidRPr="008E3F14">
        <w:rPr>
          <w:vertAlign w:val="superscript"/>
        </w:rPr>
        <w:t>®</w:t>
      </w:r>
      <w:r>
        <w:t>.</w:t>
      </w:r>
      <w:r w:rsidR="00622152">
        <w:rPr>
          <w:rStyle w:val="FootnoteReference"/>
        </w:rPr>
        <w:footnoteReference w:id="3"/>
      </w:r>
    </w:p>
    <w:p w14:paraId="676B19AE" w14:textId="77777777" w:rsidR="00AC40A8" w:rsidRDefault="00AC40A8" w:rsidP="003916C4">
      <w:r w:rsidRPr="000A228D">
        <w:t xml:space="preserve">Without doubt, one of the most important retirement savings vehicles to understand for purposes of advising affluent clients is the IRA. </w:t>
      </w:r>
      <w:r>
        <w:t>Below are reasons why understanding an IRA is important:</w:t>
      </w:r>
    </w:p>
    <w:p w14:paraId="12C52113" w14:textId="77777777" w:rsidR="00A630D9" w:rsidRDefault="00A630D9" w:rsidP="00A630D9">
      <w:pPr>
        <w:pStyle w:val="CommentText"/>
      </w:pPr>
      <w:r>
        <w:rPr>
          <w:noProof/>
          <w:lang w:eastAsia="zh-CN"/>
        </w:rPr>
        <w:drawing>
          <wp:inline distT="0" distB="0" distL="0" distR="0" wp14:anchorId="41E14EBB" wp14:editId="28EF6F62">
            <wp:extent cx="304800" cy="304800"/>
            <wp:effectExtent l="0" t="0" r="0" b="0"/>
            <wp:docPr id="82" name="Picture 82"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ocumentationIcon_32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342C3">
        <w:rPr>
          <w:b/>
          <w:color w:val="FF0000"/>
        </w:rPr>
        <w:t xml:space="preserve">Click the icon to view the reasons why understanding an IRA </w:t>
      </w:r>
      <w:r>
        <w:rPr>
          <w:b/>
          <w:color w:val="FF0000"/>
        </w:rPr>
        <w:t>is</w:t>
      </w:r>
      <w:r w:rsidRPr="005342C3">
        <w:rPr>
          <w:b/>
          <w:color w:val="FF0000"/>
        </w:rPr>
        <w:t xml:space="preserve"> important.</w:t>
      </w:r>
    </w:p>
    <w:p w14:paraId="2F9288DB" w14:textId="77777777" w:rsidR="00A630D9" w:rsidRPr="000A228D" w:rsidRDefault="00A630D9" w:rsidP="003916C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75"/>
      </w:tblGrid>
      <w:tr w:rsidR="00AC40A8" w:rsidRPr="000A228D" w14:paraId="0B0A8B77" w14:textId="77777777" w:rsidTr="00483970">
        <w:tc>
          <w:tcPr>
            <w:tcW w:w="9475" w:type="dxa"/>
            <w:shd w:val="clear" w:color="auto" w:fill="DBD9B9"/>
            <w:tcMar>
              <w:top w:w="72" w:type="dxa"/>
              <w:left w:w="115" w:type="dxa"/>
              <w:bottom w:w="72" w:type="dxa"/>
              <w:right w:w="115" w:type="dxa"/>
            </w:tcMar>
          </w:tcPr>
          <w:p w14:paraId="239900D1" w14:textId="77777777" w:rsidR="00AC40A8" w:rsidRPr="005342C3" w:rsidRDefault="00AC40A8" w:rsidP="00542237">
            <w:pPr>
              <w:pStyle w:val="TextBullet1"/>
            </w:pPr>
            <w:r w:rsidRPr="005342C3">
              <w:t xml:space="preserve">These arrangements are the most likely ones to be implemented by individuals, partners, or small businesses. Therefore, they are the ones in which your affluent clients are most likely to be involved and over which they have the most control. </w:t>
            </w:r>
          </w:p>
          <w:p w14:paraId="3FC121CD" w14:textId="77777777" w:rsidR="00AC40A8" w:rsidRPr="005342C3" w:rsidRDefault="00AC40A8" w:rsidP="00542237">
            <w:pPr>
              <w:pStyle w:val="TextBullet1"/>
            </w:pPr>
            <w:r w:rsidRPr="005342C3">
              <w:t xml:space="preserve">The investment decisions of IRAs are </w:t>
            </w:r>
            <w:r w:rsidRPr="005342C3">
              <w:rPr>
                <w:b/>
                <w:i/>
              </w:rPr>
              <w:t>entirely</w:t>
            </w:r>
            <w:r w:rsidRPr="005342C3">
              <w:t xml:space="preserve"> at the discretion of the individual owner. Therefore, this type of retirement arrangement offers significant opportunity for providing investment services to affluent clients.  </w:t>
            </w:r>
          </w:p>
          <w:p w14:paraId="6F3A8113" w14:textId="77777777" w:rsidR="00AC40A8" w:rsidRPr="005342C3" w:rsidRDefault="00AC40A8" w:rsidP="00542237">
            <w:pPr>
              <w:pStyle w:val="TextBullet1"/>
            </w:pPr>
            <w:r w:rsidRPr="005342C3">
              <w:t xml:space="preserve">The individual owner manages </w:t>
            </w:r>
            <w:r>
              <w:t>f</w:t>
            </w:r>
            <w:r w:rsidRPr="005342C3">
              <w:t>unding and distributions. Since there is no corporate plan administrator who can answer questions, as with many qualified plans, clients are likely to look to you and your organization for help in getting answers to their questions.</w:t>
            </w:r>
          </w:p>
          <w:p w14:paraId="32769A4F" w14:textId="1B9425F0" w:rsidR="00AC40A8" w:rsidRPr="00C43B29" w:rsidRDefault="00AC40A8" w:rsidP="008E3F14">
            <w:pPr>
              <w:pStyle w:val="TextBullet1"/>
              <w:rPr>
                <w:b/>
                <w:bCs/>
                <w:color w:val="FF0000"/>
                <w:sz w:val="32"/>
                <w:szCs w:val="28"/>
              </w:rPr>
            </w:pPr>
            <w:r w:rsidRPr="005342C3">
              <w:t xml:space="preserve">Employees often rollover assets from employer-sponsored </w:t>
            </w:r>
            <w:r w:rsidR="008D0FD6">
              <w:t xml:space="preserve">retirement </w:t>
            </w:r>
            <w:r w:rsidRPr="005342C3">
              <w:t xml:space="preserve">plans into an IRA when they change employers or </w:t>
            </w:r>
            <w:r w:rsidR="008D0FD6">
              <w:t>retire.</w:t>
            </w:r>
            <w:r w:rsidRPr="005342C3">
              <w:t xml:space="preserve"> </w:t>
            </w:r>
          </w:p>
        </w:tc>
      </w:tr>
    </w:tbl>
    <w:p w14:paraId="763881E1" w14:textId="77777777" w:rsidR="001518E1" w:rsidRDefault="00AC40A8" w:rsidP="00BF1B5C">
      <w:r w:rsidRPr="000A228D">
        <w:t xml:space="preserve">For these reasons, in examining retirement plans/arrangements, we will give primary focus to understanding IRAs. </w:t>
      </w:r>
    </w:p>
    <w:p w14:paraId="2E9501A3" w14:textId="67E244FB" w:rsidR="00AC40A8" w:rsidRPr="000A228D" w:rsidRDefault="00AC40A8" w:rsidP="00BF1B5C">
      <w:r w:rsidRPr="000A228D">
        <w:t xml:space="preserve">While this course will not make you an expert on IRAs and you will certainly want to call upon IRA experts within your own organization for many client inquiries, it </w:t>
      </w:r>
      <w:r w:rsidRPr="000A228D">
        <w:rPr>
          <w:i/>
        </w:rPr>
        <w:t>will</w:t>
      </w:r>
      <w:r w:rsidRPr="000A228D">
        <w:t xml:space="preserve"> give you familiarity with the </w:t>
      </w:r>
      <w:r w:rsidR="00B72DDA">
        <w:t xml:space="preserve">most frequently asked questions </w:t>
      </w:r>
      <w:r w:rsidRPr="000A228D">
        <w:t xml:space="preserve">associated with IRAs and equip you to </w:t>
      </w:r>
      <w:r w:rsidR="008D0FD6">
        <w:t>dialog e</w:t>
      </w:r>
      <w:r w:rsidRPr="000A228D">
        <w:t>ffective</w:t>
      </w:r>
      <w:r w:rsidR="008D0FD6">
        <w:t>ly</w:t>
      </w:r>
      <w:r w:rsidRPr="000A228D">
        <w:t xml:space="preserve"> with affluent clients.</w:t>
      </w:r>
    </w:p>
    <w:p w14:paraId="256CA6E7" w14:textId="77777777" w:rsidR="00AC40A8" w:rsidRPr="006D3FE4" w:rsidRDefault="00AC40A8" w:rsidP="004344CA">
      <w:pPr>
        <w:pStyle w:val="Heading2"/>
      </w:pPr>
      <w:r>
        <w:br w:type="page"/>
      </w:r>
      <w:r>
        <w:lastRenderedPageBreak/>
        <w:t>Advantages of an IRA</w:t>
      </w:r>
    </w:p>
    <w:p w14:paraId="544BB9D8" w14:textId="77777777" w:rsidR="00AC40A8" w:rsidRDefault="00AC40A8" w:rsidP="00442163">
      <w:r>
        <w:t xml:space="preserve">Why would your client consider an IRA? Clients are attracted to </w:t>
      </w:r>
      <w:r w:rsidRPr="00604D27">
        <w:t>IRA</w:t>
      </w:r>
      <w:r>
        <w:t>s for at least four</w:t>
      </w:r>
      <w:r w:rsidRPr="00604D27">
        <w:t xml:space="preserve"> p</w:t>
      </w:r>
      <w:r>
        <w:t>owerful</w:t>
      </w:r>
      <w:r w:rsidRPr="00604D27">
        <w:t xml:space="preserve"> advantages. </w:t>
      </w:r>
    </w:p>
    <w:p w14:paraId="782569B5" w14:textId="77777777" w:rsidR="00AC40A8" w:rsidRDefault="00AC40A8" w:rsidP="00822DE7">
      <w:pPr>
        <w:numPr>
          <w:ilvl w:val="0"/>
          <w:numId w:val="39"/>
        </w:numPr>
      </w:pPr>
      <w:r w:rsidRPr="000B422C">
        <w:rPr>
          <w:b/>
        </w:rPr>
        <w:t>Favorable Tax Treatment on Contributions</w:t>
      </w:r>
      <w:r w:rsidRPr="00604D27">
        <w:t xml:space="preserve"> – </w:t>
      </w:r>
      <w:r>
        <w:t xml:space="preserve">Contributions to certain Traditional IRAs may be deductible on your client’s income tax return. </w:t>
      </w:r>
    </w:p>
    <w:p w14:paraId="4E554794" w14:textId="77777777" w:rsidR="00AC40A8" w:rsidRPr="001F3D42" w:rsidRDefault="00AC40A8" w:rsidP="00822DE7">
      <w:pPr>
        <w:numPr>
          <w:ilvl w:val="0"/>
          <w:numId w:val="39"/>
        </w:numPr>
      </w:pPr>
      <w:r w:rsidRPr="000B422C">
        <w:rPr>
          <w:b/>
        </w:rPr>
        <w:t xml:space="preserve">Favorable Tax Treatment of Earnings – </w:t>
      </w:r>
      <w:r>
        <w:t>Earnings</w:t>
      </w:r>
      <w:r w:rsidRPr="00442163">
        <w:t xml:space="preserve"> are not taxed until withdrawn from the IRA. Therefore, the assets in the account grow faster without the erosion of annual tax liabilities. In the case of the Roth IRA, the </w:t>
      </w:r>
      <w:r>
        <w:t xml:space="preserve">earnings </w:t>
      </w:r>
      <w:r w:rsidRPr="00442163">
        <w:t xml:space="preserve">are generally not ever subject to tax, provided certain rules are followed.  </w:t>
      </w:r>
    </w:p>
    <w:p w14:paraId="38A7D84D" w14:textId="4A576106" w:rsidR="00AC40A8" w:rsidRPr="001F3D42" w:rsidRDefault="00AC40A8" w:rsidP="00822DE7">
      <w:pPr>
        <w:numPr>
          <w:ilvl w:val="0"/>
          <w:numId w:val="39"/>
        </w:numPr>
      </w:pPr>
      <w:r w:rsidRPr="00911F10">
        <w:rPr>
          <w:b/>
        </w:rPr>
        <w:t xml:space="preserve">Bankruptcy Protection - </w:t>
      </w:r>
      <w:r>
        <w:t>IRAs are generally exempt from an individual’s creditors in bankruptcy under federal law up to $1,242,475 (</w:t>
      </w:r>
      <w:r w:rsidR="002D2503">
        <w:t>201</w:t>
      </w:r>
      <w:r w:rsidR="000B7AC0">
        <w:t xml:space="preserve">5, subject to inflation adjustment before the end </w:t>
      </w:r>
      <w:r w:rsidR="001451B9">
        <w:t xml:space="preserve">of </w:t>
      </w:r>
      <w:r w:rsidR="000B7AC0">
        <w:t>2016</w:t>
      </w:r>
      <w:r>
        <w:t>). Certain states have established higher exemption amounts. The bankruptcy protection is not absolute</w:t>
      </w:r>
      <w:r w:rsidR="00036940">
        <w:t>:</w:t>
      </w:r>
      <w:r>
        <w:t xml:space="preserve"> the IRS </w:t>
      </w:r>
      <w:r w:rsidR="005D7147">
        <w:t>may</w:t>
      </w:r>
      <w:r w:rsidR="008421DC">
        <w:t xml:space="preserve"> levy</w:t>
      </w:r>
      <w:r>
        <w:t xml:space="preserve"> IRA funds to satisfy </w:t>
      </w:r>
      <w:r w:rsidR="008421DC">
        <w:t xml:space="preserve">unpaid taxes. </w:t>
      </w:r>
    </w:p>
    <w:p w14:paraId="1A21CC28" w14:textId="77777777" w:rsidR="00AC40A8" w:rsidRPr="001F3D42" w:rsidRDefault="00AC40A8" w:rsidP="00822DE7">
      <w:pPr>
        <w:numPr>
          <w:ilvl w:val="0"/>
          <w:numId w:val="39"/>
        </w:numPr>
      </w:pPr>
      <w:r w:rsidRPr="00604D27">
        <w:rPr>
          <w:b/>
        </w:rPr>
        <w:t>Not Prohibited by Participation in a Qualified Plan</w:t>
      </w:r>
      <w:r w:rsidRPr="00442163">
        <w:rPr>
          <w:b/>
        </w:rPr>
        <w:t xml:space="preserve"> – </w:t>
      </w:r>
      <w:r w:rsidRPr="00442163">
        <w:t>Although participation in a</w:t>
      </w:r>
      <w:r>
        <w:t>n</w:t>
      </w:r>
      <w:r w:rsidRPr="00442163">
        <w:t xml:space="preserve"> </w:t>
      </w:r>
      <w:r>
        <w:t xml:space="preserve">employer-sponsored plan </w:t>
      </w:r>
      <w:r w:rsidRPr="00442163">
        <w:t>may impact the deductibility of contribu</w:t>
      </w:r>
      <w:r>
        <w:t>tions to a Traditional IRA</w:t>
      </w:r>
      <w:r w:rsidRPr="00442163">
        <w:t>, participation in a Traditional IRA is not prohibited by participation in a</w:t>
      </w:r>
      <w:r>
        <w:t>n employer-sponsored plan</w:t>
      </w:r>
      <w:r w:rsidRPr="00442163">
        <w:t xml:space="preserve">. </w:t>
      </w:r>
      <w:r w:rsidRPr="00B90383">
        <w:rPr>
          <w:b/>
        </w:rPr>
        <w:t>Thus, IRAs can be a valuable supplement</w:t>
      </w:r>
      <w:r>
        <w:rPr>
          <w:b/>
        </w:rPr>
        <w:t xml:space="preserve"> to employer-sponsored plan savings.</w:t>
      </w:r>
    </w:p>
    <w:p w14:paraId="1DA1C744" w14:textId="77777777" w:rsidR="00AC40A8" w:rsidRPr="00542237" w:rsidRDefault="00AC40A8" w:rsidP="00542237">
      <w:pPr>
        <w:pStyle w:val="TextBullet2"/>
      </w:pPr>
      <w:r w:rsidRPr="00542237">
        <w:t xml:space="preserve">In comparison, contributions to a Roth IRA are never affected by contributions to an employer-sponsored plan, but may be limited by the contributor's modified adjusted gross income. </w:t>
      </w:r>
    </w:p>
    <w:p w14:paraId="62664009" w14:textId="77777777" w:rsidR="00AC40A8" w:rsidRPr="00442163" w:rsidRDefault="00AC40A8" w:rsidP="001F3D42">
      <w:pPr>
        <w:ind w:left="1080"/>
      </w:pPr>
    </w:p>
    <w:p w14:paraId="07B38C4A" w14:textId="77777777" w:rsidR="00AC40A8" w:rsidRDefault="00AC40A8" w:rsidP="001F3D42">
      <w:pPr>
        <w:ind w:left="360"/>
      </w:pPr>
    </w:p>
    <w:p w14:paraId="0E199F65" w14:textId="77777777" w:rsidR="00AC40A8" w:rsidRDefault="00AC40A8" w:rsidP="007724B4">
      <w:pPr>
        <w:spacing w:before="0" w:after="0"/>
        <w:ind w:right="-710"/>
        <w:rPr>
          <w:rStyle w:val="Emphasis"/>
          <w:color w:val="008000"/>
        </w:rPr>
      </w:pPr>
    </w:p>
    <w:p w14:paraId="08049520" w14:textId="1A05F951" w:rsidR="00AC40A8" w:rsidRDefault="00AC40A8" w:rsidP="004344CA">
      <w:pPr>
        <w:pStyle w:val="Heading2"/>
      </w:pPr>
      <w:r w:rsidRPr="00616A58">
        <w:br w:type="page"/>
      </w:r>
      <w:r>
        <w:lastRenderedPageBreak/>
        <w:t>IRAs Established by Individuals</w:t>
      </w:r>
    </w:p>
    <w:p w14:paraId="32D99F47" w14:textId="3BEE51BF" w:rsidR="008E45A4" w:rsidRDefault="00AC40A8" w:rsidP="0091444B">
      <w:r w:rsidRPr="005342C3">
        <w:t>To make it easier to examine the rules that govern IRAs, let’s examine them in two groups</w:t>
      </w:r>
      <w:r>
        <w:t>:</w:t>
      </w:r>
      <w:r w:rsidRPr="005342C3">
        <w:t xml:space="preserve"> those that can be established by individuals and those that m</w:t>
      </w:r>
      <w:r>
        <w:t>ay only</w:t>
      </w:r>
      <w:r w:rsidRPr="005342C3">
        <w:t xml:space="preserve"> be established by employers. </w:t>
      </w:r>
      <w:r w:rsidR="006871FA">
        <w:t>There are only two types of IRAs that may be established by an individual</w:t>
      </w:r>
      <w:r w:rsidR="00542237">
        <w:t>:</w:t>
      </w:r>
      <w:r w:rsidR="006871FA">
        <w:t xml:space="preserve"> 1) the Traditional IRA</w:t>
      </w:r>
      <w:r w:rsidR="00542237">
        <w:t>;</w:t>
      </w:r>
      <w:r w:rsidR="006871FA">
        <w:t xml:space="preserve"> and 2) the Roth IRA. </w:t>
      </w:r>
    </w:p>
    <w:p w14:paraId="61C0388A" w14:textId="77777777" w:rsidR="008E45A4" w:rsidRPr="007F1C1E" w:rsidRDefault="008E45A4" w:rsidP="008E45A4">
      <w:pPr>
        <w:rPr>
          <w:b/>
          <w:color w:val="FF0000"/>
        </w:rPr>
      </w:pPr>
      <w:r w:rsidRPr="005342C3">
        <w:rPr>
          <w:b/>
          <w:color w:val="FF0000"/>
        </w:rPr>
        <w:t xml:space="preserve">Click </w:t>
      </w:r>
      <w:r>
        <w:rPr>
          <w:b/>
          <w:color w:val="FF0000"/>
        </w:rPr>
        <w:t xml:space="preserve">on </w:t>
      </w:r>
      <w:r w:rsidRPr="005342C3">
        <w:rPr>
          <w:b/>
          <w:color w:val="FF0000"/>
        </w:rPr>
        <w:t xml:space="preserve">each </w:t>
      </w:r>
      <w:r>
        <w:rPr>
          <w:b/>
          <w:color w:val="FF0000"/>
        </w:rPr>
        <w:t>category to learn more.</w:t>
      </w:r>
    </w:p>
    <w:tbl>
      <w:tblPr>
        <w:tblW w:w="9637" w:type="dxa"/>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637"/>
      </w:tblGrid>
      <w:tr w:rsidR="00AC40A8" w:rsidRPr="00604D27" w14:paraId="62A839E0" w14:textId="77777777" w:rsidTr="009F47D1">
        <w:tc>
          <w:tcPr>
            <w:tcW w:w="9637" w:type="dxa"/>
            <w:tcBorders>
              <w:bottom w:val="single" w:sz="4" w:space="0" w:color="6CA8CD"/>
            </w:tcBorders>
            <w:shd w:val="clear" w:color="auto" w:fill="6CA8CD"/>
            <w:tcMar>
              <w:top w:w="72" w:type="dxa"/>
              <w:left w:w="115" w:type="dxa"/>
              <w:bottom w:w="72" w:type="dxa"/>
              <w:right w:w="115" w:type="dxa"/>
            </w:tcMar>
          </w:tcPr>
          <w:p w14:paraId="2645E67E" w14:textId="77777777" w:rsidR="00AC40A8" w:rsidRPr="00604D27" w:rsidRDefault="00AC40A8" w:rsidP="00AA5C3F">
            <w:pPr>
              <w:rPr>
                <w:b/>
                <w:color w:val="FFFFFF"/>
              </w:rPr>
            </w:pPr>
            <w:r w:rsidRPr="00604D27">
              <w:rPr>
                <w:b/>
                <w:color w:val="FFFFFF"/>
              </w:rPr>
              <w:t>Traditional IRA</w:t>
            </w:r>
          </w:p>
        </w:tc>
      </w:tr>
      <w:tr w:rsidR="00AC40A8" w:rsidRPr="00604D27" w14:paraId="505FE71C" w14:textId="77777777" w:rsidTr="003B4006">
        <w:trPr>
          <w:trHeight w:val="26"/>
        </w:trPr>
        <w:tc>
          <w:tcPr>
            <w:tcW w:w="9637" w:type="dxa"/>
            <w:shd w:val="clear" w:color="auto" w:fill="FFFFFF"/>
            <w:tcMar>
              <w:top w:w="72" w:type="dxa"/>
              <w:left w:w="115" w:type="dxa"/>
              <w:bottom w:w="72" w:type="dxa"/>
              <w:right w:w="115" w:type="dxa"/>
            </w:tcMar>
          </w:tcPr>
          <w:p w14:paraId="6AC138DD" w14:textId="40C2D5AB" w:rsidR="00AC40A8" w:rsidRDefault="00AC40A8" w:rsidP="00585E92">
            <w:r>
              <w:t>Traditional IRAs, at times referred to as “regular IRAs</w:t>
            </w:r>
            <w:r w:rsidR="007D1F67">
              <w:t>,”</w:t>
            </w:r>
            <w:r>
              <w:t xml:space="preserve"> are characterized as follows.</w:t>
            </w:r>
          </w:p>
          <w:p w14:paraId="11AF651B" w14:textId="77777777" w:rsidR="00AC40A8" w:rsidRDefault="00AC40A8" w:rsidP="00822DE7">
            <w:pPr>
              <w:numPr>
                <w:ilvl w:val="0"/>
                <w:numId w:val="55"/>
              </w:numPr>
            </w:pPr>
            <w:r w:rsidRPr="004B32A6">
              <w:t xml:space="preserve">Earnings </w:t>
            </w:r>
            <w:r>
              <w:t>on assets grow on a tax-deferred basis and are</w:t>
            </w:r>
            <w:r w:rsidRPr="004B32A6">
              <w:t xml:space="preserve"> taxed </w:t>
            </w:r>
            <w:r>
              <w:t xml:space="preserve">only </w:t>
            </w:r>
            <w:r w:rsidRPr="004B32A6">
              <w:t>when withdrawals are made.</w:t>
            </w:r>
          </w:p>
          <w:p w14:paraId="10C68917" w14:textId="77777777" w:rsidR="00AC40A8" w:rsidRDefault="00AC40A8" w:rsidP="00822DE7">
            <w:pPr>
              <w:numPr>
                <w:ilvl w:val="0"/>
                <w:numId w:val="55"/>
              </w:numPr>
            </w:pPr>
            <w:r w:rsidRPr="00C2327F">
              <w:t xml:space="preserve">Contributions can be </w:t>
            </w:r>
            <w:r>
              <w:t>made (or a T</w:t>
            </w:r>
            <w:r w:rsidRPr="00ED5BBA">
              <w:t>raditional IRA may be established)</w:t>
            </w:r>
            <w:r>
              <w:t xml:space="preserve"> as long as the taxpayer is under age </w:t>
            </w:r>
            <w:r w:rsidRPr="00C2327F">
              <w:t>70½</w:t>
            </w:r>
            <w:r>
              <w:t xml:space="preserve"> on the last day of the tax year</w:t>
            </w:r>
            <w:r w:rsidR="00067FAB">
              <w:t xml:space="preserve"> and has taxable compensation</w:t>
            </w:r>
            <w:r>
              <w:t>.</w:t>
            </w:r>
          </w:p>
          <w:p w14:paraId="2B85E763" w14:textId="77777777" w:rsidR="00AC40A8" w:rsidRDefault="00AC40A8" w:rsidP="00822DE7">
            <w:pPr>
              <w:numPr>
                <w:ilvl w:val="0"/>
                <w:numId w:val="55"/>
              </w:numPr>
            </w:pPr>
            <w:r>
              <w:t>M</w:t>
            </w:r>
            <w:r w:rsidRPr="00C2327F">
              <w:t>an</w:t>
            </w:r>
            <w:r>
              <w:t>datory withdrawals must begin no later than April 1 following the year in which the IRA owner attains age 70½. Failure to take required distributions results in a penalty of 50% of the under-distribution.</w:t>
            </w:r>
          </w:p>
          <w:p w14:paraId="4B0A8500" w14:textId="77777777" w:rsidR="00AC40A8" w:rsidRDefault="00AC40A8" w:rsidP="00822DE7">
            <w:pPr>
              <w:numPr>
                <w:ilvl w:val="0"/>
                <w:numId w:val="55"/>
              </w:numPr>
            </w:pPr>
            <w:r>
              <w:t>Distributions taken before age 59½ may incur a 10% premature distribution penalty.</w:t>
            </w:r>
          </w:p>
          <w:p w14:paraId="6D9D2824" w14:textId="77777777" w:rsidR="00AC40A8" w:rsidRDefault="00AC40A8" w:rsidP="00585E92">
            <w:r>
              <w:t xml:space="preserve">Traditional IRAs may be either </w:t>
            </w:r>
            <w:r w:rsidRPr="004710E9">
              <w:rPr>
                <w:rStyle w:val="Hyperlink"/>
              </w:rPr>
              <w:t>D</w:t>
            </w:r>
            <w:r w:rsidRPr="00DE2B9B">
              <w:rPr>
                <w:rStyle w:val="Hyperlink"/>
              </w:rPr>
              <w:t>eductible</w:t>
            </w:r>
            <w:r w:rsidRPr="0080365B">
              <w:rPr>
                <w:rStyle w:val="Hyperlink"/>
              </w:rPr>
              <w:t xml:space="preserve"> </w:t>
            </w:r>
            <w:r w:rsidR="004C25AF">
              <w:rPr>
                <w:rStyle w:val="Hyperlink"/>
              </w:rPr>
              <w:t xml:space="preserve">Traditional </w:t>
            </w:r>
            <w:r w:rsidRPr="0080365B">
              <w:rPr>
                <w:rStyle w:val="Hyperlink"/>
              </w:rPr>
              <w:t>IRAs</w:t>
            </w:r>
            <w:r>
              <w:rPr>
                <w:rStyle w:val="Hyperlink"/>
              </w:rPr>
              <w:t xml:space="preserve"> </w:t>
            </w:r>
            <w:r>
              <w:t xml:space="preserve">or </w:t>
            </w:r>
            <w:r w:rsidR="004C25AF" w:rsidRPr="00766EBE">
              <w:rPr>
                <w:rStyle w:val="Hyperlink"/>
              </w:rPr>
              <w:t>N</w:t>
            </w:r>
            <w:r w:rsidR="004C25AF" w:rsidRPr="00DE2B9B">
              <w:rPr>
                <w:rStyle w:val="Hyperlink"/>
              </w:rPr>
              <w:t>ondeductible</w:t>
            </w:r>
            <w:r w:rsidR="004C25AF" w:rsidRPr="00766EBE">
              <w:rPr>
                <w:rStyle w:val="Hyperlink"/>
              </w:rPr>
              <w:t xml:space="preserve"> </w:t>
            </w:r>
            <w:r w:rsidRPr="00766EBE">
              <w:rPr>
                <w:rStyle w:val="Hyperlink"/>
              </w:rPr>
              <w:t xml:space="preserve">Traditional </w:t>
            </w:r>
            <w:r w:rsidRPr="0080365B">
              <w:rPr>
                <w:rStyle w:val="Hyperlink"/>
              </w:rPr>
              <w:t>IRAs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97"/>
            </w:tblGrid>
            <w:tr w:rsidR="00AC40A8" w14:paraId="70E04D39" w14:textId="77777777" w:rsidTr="003B4006">
              <w:trPr>
                <w:trHeight w:val="4193"/>
              </w:trPr>
              <w:tc>
                <w:tcPr>
                  <w:tcW w:w="9576" w:type="dxa"/>
                  <w:shd w:val="clear" w:color="auto" w:fill="D9D9D9" w:themeFill="background1" w:themeFillShade="D9"/>
                </w:tcPr>
                <w:p w14:paraId="4119D06F" w14:textId="77777777" w:rsidR="00AC40A8" w:rsidRPr="003B4006" w:rsidRDefault="004C25AF" w:rsidP="00FB3A49">
                  <w:pPr>
                    <w:rPr>
                      <w:rStyle w:val="Hyperlink"/>
                      <w:u w:val="none"/>
                    </w:rPr>
                  </w:pPr>
                  <w:r w:rsidRPr="003B4006">
                    <w:rPr>
                      <w:rStyle w:val="Hyperlink"/>
                      <w:u w:val="none"/>
                    </w:rPr>
                    <w:t xml:space="preserve">Deductible </w:t>
                  </w:r>
                  <w:r w:rsidR="00AC40A8" w:rsidRPr="003B4006">
                    <w:rPr>
                      <w:rStyle w:val="Hyperlink"/>
                      <w:u w:val="none"/>
                    </w:rPr>
                    <w:t>Traditional IRAs</w:t>
                  </w:r>
                </w:p>
                <w:p w14:paraId="165E06C5" w14:textId="77777777" w:rsidR="00CA4159" w:rsidRDefault="00AC40A8" w:rsidP="00FB3A49">
                  <w:r>
                    <w:t xml:space="preserve">Contributions to Traditional IRAs are generally deductible by the taxpayer up to the IRA contribution limits. However, when a taxpayer is an active participant in an employer-sponsored retirement plan, the deductibility is limited based upon adjusted gross income. </w:t>
                  </w:r>
                </w:p>
                <w:p w14:paraId="3036823E" w14:textId="77777777" w:rsidR="00AC40A8" w:rsidRDefault="00AC40A8" w:rsidP="00FB3A49">
                  <w:pPr>
                    <w:rPr>
                      <w:rFonts w:eastAsia="Arial Unicode MS"/>
                    </w:rPr>
                  </w:pPr>
                  <w:r>
                    <w:t>We will discuss the p</w:t>
                  </w:r>
                  <w:r w:rsidRPr="006F172A">
                    <w:rPr>
                      <w:rFonts w:eastAsia="Arial Unicode MS"/>
                    </w:rPr>
                    <w:t>hase</w:t>
                  </w:r>
                  <w:r>
                    <w:rPr>
                      <w:rFonts w:eastAsia="Arial Unicode MS"/>
                    </w:rPr>
                    <w:t xml:space="preserve">-out of deductibility of </w:t>
                  </w:r>
                  <w:r w:rsidR="004C25AF">
                    <w:rPr>
                      <w:rFonts w:eastAsia="Arial Unicode MS"/>
                    </w:rPr>
                    <w:t xml:space="preserve">deductible </w:t>
                  </w:r>
                  <w:r>
                    <w:rPr>
                      <w:rFonts w:eastAsia="Arial Unicode MS"/>
                    </w:rPr>
                    <w:t>Traditional IRA c</w:t>
                  </w:r>
                  <w:r w:rsidRPr="006F172A">
                    <w:rPr>
                      <w:rFonts w:eastAsia="Arial Unicode MS"/>
                    </w:rPr>
                    <w:t>ontributions</w:t>
                  </w:r>
                  <w:r w:rsidR="00961EA2">
                    <w:rPr>
                      <w:rFonts w:eastAsia="Arial Unicode MS"/>
                    </w:rPr>
                    <w:t xml:space="preserve"> subsequently in this course</w:t>
                  </w:r>
                  <w:r>
                    <w:rPr>
                      <w:rFonts w:eastAsia="Arial Unicode MS"/>
                    </w:rPr>
                    <w:t xml:space="preserve">. Distributions of accumulated earnings and the </w:t>
                  </w:r>
                  <w:r w:rsidRPr="008B69FC">
                    <w:rPr>
                      <w:rStyle w:val="Hyperlink"/>
                      <w:rFonts w:eastAsia="Arial Unicode MS"/>
                    </w:rPr>
                    <w:t>original contribution</w:t>
                  </w:r>
                  <w:r>
                    <w:rPr>
                      <w:rFonts w:eastAsia="Arial Unicode MS"/>
                    </w:rPr>
                    <w:t xml:space="preserve"> are fully taxable as ordinary income. Capital gains income tax treatment is not available from any IRA withdrawal.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1"/>
                  </w:tblGrid>
                  <w:tr w:rsidR="00AC40A8" w:rsidRPr="00C43178" w14:paraId="6704906B" w14:textId="77777777" w:rsidTr="003B4006">
                    <w:tc>
                      <w:tcPr>
                        <w:tcW w:w="9345" w:type="dxa"/>
                        <w:shd w:val="clear" w:color="auto" w:fill="F2F2F2" w:themeFill="background1" w:themeFillShade="F2"/>
                      </w:tcPr>
                      <w:p w14:paraId="362F53B9" w14:textId="77777777" w:rsidR="00AC40A8" w:rsidRPr="003B4006" w:rsidRDefault="00AC40A8" w:rsidP="00FB3A49">
                        <w:pPr>
                          <w:tabs>
                            <w:tab w:val="left" w:pos="2764"/>
                          </w:tabs>
                          <w:rPr>
                            <w:rStyle w:val="Hyperlink"/>
                            <w:rFonts w:eastAsia="Arial Unicode MS"/>
                            <w:u w:val="none"/>
                          </w:rPr>
                        </w:pPr>
                        <w:r w:rsidRPr="003B4006">
                          <w:rPr>
                            <w:rStyle w:val="Hyperlink"/>
                            <w:rFonts w:eastAsia="Arial Unicode MS"/>
                            <w:u w:val="none"/>
                          </w:rPr>
                          <w:t>Original Contribution</w:t>
                        </w:r>
                      </w:p>
                      <w:p w14:paraId="50ABB9D2" w14:textId="608912D5" w:rsidR="00AC40A8" w:rsidRPr="00C43178" w:rsidRDefault="00AC40A8" w:rsidP="006D4B18">
                        <w:pPr>
                          <w:rPr>
                            <w:b/>
                            <w:color w:val="4F81BD"/>
                          </w:rPr>
                        </w:pPr>
                        <w:r w:rsidRPr="00C43178">
                          <w:rPr>
                            <w:rFonts w:eastAsia="Arial Unicode MS"/>
                          </w:rPr>
                          <w:t xml:space="preserve">Why is the taxpayer subject to income tax on the distribution of their </w:t>
                        </w:r>
                        <w:r>
                          <w:rPr>
                            <w:rFonts w:eastAsia="Arial Unicode MS"/>
                          </w:rPr>
                          <w:t>original contribution? T</w:t>
                        </w:r>
                        <w:r w:rsidRPr="00C43178">
                          <w:rPr>
                            <w:rFonts w:eastAsia="Arial Unicode MS"/>
                          </w:rPr>
                          <w:t xml:space="preserve">he taxpayer received a deduction on their income tax return when the </w:t>
                        </w:r>
                        <w:r>
                          <w:rPr>
                            <w:rFonts w:eastAsia="Arial Unicode MS"/>
                          </w:rPr>
                          <w:t xml:space="preserve">original </w:t>
                        </w:r>
                        <w:r w:rsidRPr="00C43178">
                          <w:rPr>
                            <w:rFonts w:eastAsia="Arial Unicode MS"/>
                          </w:rPr>
                          <w:t>contribution was made</w:t>
                        </w:r>
                        <w:r>
                          <w:rPr>
                            <w:rFonts w:eastAsia="Arial Unicode MS"/>
                          </w:rPr>
                          <w:t>. Consequently</w:t>
                        </w:r>
                        <w:r w:rsidR="00542237">
                          <w:rPr>
                            <w:rFonts w:eastAsia="Arial Unicode MS"/>
                          </w:rPr>
                          <w:t>,</w:t>
                        </w:r>
                        <w:r>
                          <w:rPr>
                            <w:rFonts w:eastAsia="Arial Unicode MS"/>
                          </w:rPr>
                          <w:t xml:space="preserve"> </w:t>
                        </w:r>
                        <w:r w:rsidRPr="00C43178">
                          <w:rPr>
                            <w:rFonts w:eastAsia="Arial Unicode MS"/>
                          </w:rPr>
                          <w:t xml:space="preserve">the taxpayer </w:t>
                        </w:r>
                        <w:r w:rsidR="00CA4159">
                          <w:rPr>
                            <w:rFonts w:eastAsia="Arial Unicode MS"/>
                          </w:rPr>
                          <w:t xml:space="preserve">must include the original contribution into </w:t>
                        </w:r>
                        <w:r w:rsidRPr="00C43178">
                          <w:rPr>
                            <w:rFonts w:eastAsia="Arial Unicode MS"/>
                          </w:rPr>
                          <w:t xml:space="preserve">income when distributed. </w:t>
                        </w:r>
                      </w:p>
                    </w:tc>
                  </w:tr>
                </w:tbl>
                <w:p w14:paraId="35253EA0" w14:textId="77777777" w:rsidR="00AC40A8" w:rsidRPr="008B69FC" w:rsidRDefault="00AC40A8" w:rsidP="00FB3A49">
                  <w:pPr>
                    <w:tabs>
                      <w:tab w:val="left" w:pos="2764"/>
                    </w:tabs>
                    <w:spacing w:before="0" w:after="0"/>
                    <w:rPr>
                      <w:b/>
                      <w:color w:val="4F81BD"/>
                    </w:rPr>
                  </w:pPr>
                </w:p>
              </w:tc>
            </w:tr>
          </w:tbl>
          <w:p w14:paraId="67FF8063" w14:textId="77777777" w:rsidR="00AC40A8" w:rsidRDefault="00AC40A8" w:rsidP="00585E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97"/>
            </w:tblGrid>
            <w:tr w:rsidR="00AC40A8" w14:paraId="07411DA0" w14:textId="77777777" w:rsidTr="003B4006">
              <w:tc>
                <w:tcPr>
                  <w:tcW w:w="9576" w:type="dxa"/>
                  <w:shd w:val="clear" w:color="auto" w:fill="D9D9D9" w:themeFill="background1" w:themeFillShade="D9"/>
                </w:tcPr>
                <w:p w14:paraId="4FED3965" w14:textId="77777777" w:rsidR="00AC40A8" w:rsidRPr="003B4006" w:rsidRDefault="00AC40A8" w:rsidP="00FB3A49">
                  <w:pPr>
                    <w:rPr>
                      <w:rStyle w:val="Hyperlink"/>
                      <w:u w:val="none"/>
                    </w:rPr>
                  </w:pPr>
                  <w:r w:rsidRPr="003B4006">
                    <w:rPr>
                      <w:rStyle w:val="Hyperlink"/>
                      <w:u w:val="none"/>
                    </w:rPr>
                    <w:t xml:space="preserve">Nondeductible </w:t>
                  </w:r>
                  <w:r w:rsidR="006038E7" w:rsidRPr="003B4006">
                    <w:rPr>
                      <w:rStyle w:val="Hyperlink"/>
                      <w:u w:val="none"/>
                    </w:rPr>
                    <w:t xml:space="preserve">Traditional </w:t>
                  </w:r>
                  <w:r w:rsidRPr="003B4006">
                    <w:rPr>
                      <w:rStyle w:val="Hyperlink"/>
                      <w:u w:val="none"/>
                    </w:rPr>
                    <w:t>IRAs</w:t>
                  </w:r>
                </w:p>
                <w:p w14:paraId="5ABFB2F4" w14:textId="77777777" w:rsidR="00AC40A8" w:rsidRPr="003F7CAA" w:rsidRDefault="00AC40A8" w:rsidP="006038E7">
                  <w:pPr>
                    <w:rPr>
                      <w:b/>
                      <w:color w:val="4F81BD"/>
                    </w:rPr>
                  </w:pPr>
                  <w:r>
                    <w:t xml:space="preserve">Contributions to </w:t>
                  </w:r>
                  <w:r w:rsidR="006038E7">
                    <w:t xml:space="preserve">nondeductible </w:t>
                  </w:r>
                  <w:r>
                    <w:t xml:space="preserve">Traditional </w:t>
                  </w:r>
                  <w:r w:rsidR="006038E7">
                    <w:t>I</w:t>
                  </w:r>
                  <w:r>
                    <w:t xml:space="preserve">RAs are not deductible by the taxpayer. Distributions of deferred earnings are taxable to the taxpayer as ordinary income. Distribution of the taxpayer’s original contribution is income tax-free because the taxpayer received no income tax deduction for the contribution. </w:t>
                  </w:r>
                </w:p>
              </w:tc>
            </w:tr>
          </w:tbl>
          <w:p w14:paraId="681A3493" w14:textId="77777777" w:rsidR="00AC40A8" w:rsidRPr="00604D27" w:rsidRDefault="00AC40A8" w:rsidP="001F3D42">
            <w:pPr>
              <w:spacing w:before="0" w:after="0"/>
            </w:pPr>
          </w:p>
        </w:tc>
      </w:tr>
      <w:tr w:rsidR="00AC40A8" w:rsidRPr="00604D27" w14:paraId="393A2722" w14:textId="77777777" w:rsidTr="009F47D1">
        <w:tc>
          <w:tcPr>
            <w:tcW w:w="9637" w:type="dxa"/>
            <w:tcBorders>
              <w:bottom w:val="single" w:sz="4" w:space="0" w:color="6CA8CD"/>
            </w:tcBorders>
            <w:shd w:val="clear" w:color="auto" w:fill="6CA8CD"/>
            <w:tcMar>
              <w:top w:w="72" w:type="dxa"/>
              <w:left w:w="115" w:type="dxa"/>
              <w:bottom w:w="72" w:type="dxa"/>
              <w:right w:w="115" w:type="dxa"/>
            </w:tcMar>
          </w:tcPr>
          <w:p w14:paraId="0A31F2BE" w14:textId="77777777" w:rsidR="00AC40A8" w:rsidRPr="001F3D42" w:rsidRDefault="00AC40A8" w:rsidP="00AA5C3F">
            <w:pPr>
              <w:rPr>
                <w:color w:val="FFFFFF"/>
                <w:u w:val="single"/>
              </w:rPr>
            </w:pPr>
            <w:r w:rsidRPr="00604D27">
              <w:rPr>
                <w:b/>
                <w:color w:val="FFFFFF"/>
              </w:rPr>
              <w:lastRenderedPageBreak/>
              <w:t>Roth IRA</w:t>
            </w:r>
          </w:p>
        </w:tc>
      </w:tr>
      <w:tr w:rsidR="00AC40A8" w:rsidRPr="001F3D42" w14:paraId="503D7AD6" w14:textId="77777777" w:rsidTr="009F47D1">
        <w:trPr>
          <w:trHeight w:val="5498"/>
        </w:trPr>
        <w:tc>
          <w:tcPr>
            <w:tcW w:w="9637" w:type="dxa"/>
            <w:shd w:val="clear" w:color="auto" w:fill="FFFFFF"/>
            <w:tcMar>
              <w:top w:w="72" w:type="dxa"/>
              <w:left w:w="115" w:type="dxa"/>
              <w:bottom w:w="72" w:type="dxa"/>
              <w:right w:w="115" w:type="dxa"/>
            </w:tcMar>
          </w:tcPr>
          <w:p w14:paraId="06FC2177" w14:textId="77777777" w:rsidR="00AC40A8" w:rsidRPr="00F40DA6" w:rsidRDefault="00AC40A8" w:rsidP="00FB3A49">
            <w:pPr>
              <w:rPr>
                <w:rStyle w:val="Strong"/>
              </w:rPr>
            </w:pPr>
            <w:r w:rsidRPr="00F40DA6">
              <w:rPr>
                <w:rStyle w:val="Strong"/>
              </w:rPr>
              <w:t>Roth IRA</w:t>
            </w:r>
          </w:p>
          <w:p w14:paraId="119C8B1B" w14:textId="561ACFE5" w:rsidR="00AC40A8" w:rsidRPr="00C2327F" w:rsidRDefault="00AC40A8" w:rsidP="00FB3A49">
            <w:r w:rsidRPr="00C2327F">
              <w:t xml:space="preserve">The Roth IRA was created in the Taxpayer Relief Act of 1997 (TRA ’97) and is named after the Senator who was its longtime proponent, William V. Roth of Delaware. Like a Traditional IRA, to establish a Roth IRA, an individual must have taxable compensation. But </w:t>
            </w:r>
            <w:r w:rsidR="00A94416">
              <w:t>the Roth IRA differs from the</w:t>
            </w:r>
            <w:r w:rsidRPr="00C2327F">
              <w:t xml:space="preserve"> Traditional IRA in </w:t>
            </w:r>
            <w:r w:rsidR="00A41062">
              <w:t>the following ways:</w:t>
            </w:r>
          </w:p>
          <w:p w14:paraId="3D91391D" w14:textId="77777777" w:rsidR="00AC40A8" w:rsidRPr="00C2327F" w:rsidRDefault="00AC40A8" w:rsidP="00822DE7">
            <w:pPr>
              <w:numPr>
                <w:ilvl w:val="0"/>
                <w:numId w:val="56"/>
              </w:numPr>
            </w:pPr>
            <w:r w:rsidRPr="001069A9">
              <w:rPr>
                <w:b/>
                <w:i/>
              </w:rPr>
              <w:t>Contributions are not deductible</w:t>
            </w:r>
            <w:r w:rsidRPr="00C2327F">
              <w:t xml:space="preserve"> on the individual’s income tax return. </w:t>
            </w:r>
          </w:p>
          <w:p w14:paraId="0748F11E" w14:textId="77777777" w:rsidR="00AC40A8" w:rsidRPr="00F40DA6" w:rsidRDefault="00AC40A8" w:rsidP="00822DE7">
            <w:pPr>
              <w:numPr>
                <w:ilvl w:val="0"/>
                <w:numId w:val="56"/>
              </w:numPr>
            </w:pPr>
            <w:r w:rsidRPr="001069A9">
              <w:rPr>
                <w:b/>
                <w:i/>
              </w:rPr>
              <w:t>Withdrawals of contributed funds and qualified withdrawals of earnings are free from federal income taxation</w:t>
            </w:r>
            <w:r w:rsidRPr="00ED5BBA">
              <w:t xml:space="preserve">. </w:t>
            </w:r>
            <w:r w:rsidRPr="00C2327F">
              <w:t xml:space="preserve">Generally speaking, qualified withdrawals of earnings are those made at least 5 years after the first day of the tax year for which the initial contribution to a Roth IRA was made AND due to one of certain specified events </w:t>
            </w:r>
            <w:r>
              <w:t xml:space="preserve">(e.g., owner being 59½ or older) </w:t>
            </w:r>
            <w:r w:rsidRPr="00C2327F">
              <w:t>that will be discussed in m</w:t>
            </w:r>
            <w:r>
              <w:t>ore detail later in the course.</w:t>
            </w:r>
          </w:p>
          <w:p w14:paraId="1456CEBD" w14:textId="77777777" w:rsidR="00AC40A8" w:rsidRPr="00C2327F" w:rsidRDefault="00AC40A8" w:rsidP="00822DE7">
            <w:pPr>
              <w:numPr>
                <w:ilvl w:val="0"/>
                <w:numId w:val="56"/>
              </w:numPr>
            </w:pPr>
            <w:r w:rsidRPr="001069A9">
              <w:rPr>
                <w:b/>
                <w:i/>
              </w:rPr>
              <w:t>There are no age restrictions</w:t>
            </w:r>
            <w:r w:rsidRPr="00C2327F">
              <w:t xml:space="preserve"> to establishing or contributing to the Roth IRA.</w:t>
            </w:r>
            <w:r>
              <w:t xml:space="preserve"> A client of any age with </w:t>
            </w:r>
            <w:r w:rsidR="00A94416">
              <w:t>taxable compensation may contribute to a Roth IRA</w:t>
            </w:r>
            <w:r w:rsidR="002954C9">
              <w:t xml:space="preserve"> as long as adjusted gross income does not exceed certain limits.</w:t>
            </w:r>
          </w:p>
          <w:p w14:paraId="7A5983C9" w14:textId="77777777" w:rsidR="00AC40A8" w:rsidRDefault="00AC40A8" w:rsidP="001F3D42">
            <w:pPr>
              <w:spacing w:after="0"/>
            </w:pPr>
            <w:r w:rsidRPr="00AD43EC">
              <w:t>With the Traditional IRA</w:t>
            </w:r>
            <w:r w:rsidRPr="00ED5BBA">
              <w:t xml:space="preserve">, it may be possible to make tax-deductible contributions, </w:t>
            </w:r>
            <w:r w:rsidRPr="00AD43EC">
              <w:t xml:space="preserve">but all account earnings and deductible contributions are subject to income taxation upon withdrawal. This is reversed with the Roth IRA. With the Roth IRA, no deduction is available for contributions, but qualified withdrawals are </w:t>
            </w:r>
            <w:r w:rsidR="006871FA">
              <w:t>income tax</w:t>
            </w:r>
            <w:r w:rsidR="00A41062">
              <w:t>-</w:t>
            </w:r>
            <w:r w:rsidR="00E44B6B">
              <w:t>f</w:t>
            </w:r>
            <w:r w:rsidR="00A72A95">
              <w:t>ree.</w:t>
            </w:r>
          </w:p>
          <w:p w14:paraId="6145DD09" w14:textId="0D8BCD54" w:rsidR="00B64D36" w:rsidRPr="00604D27" w:rsidRDefault="00B64D36" w:rsidP="001F3D42">
            <w:pPr>
              <w:spacing w:after="0"/>
            </w:pPr>
          </w:p>
        </w:tc>
      </w:tr>
    </w:tbl>
    <w:p w14:paraId="58A57040" w14:textId="3646B5D3" w:rsidR="00750AB9" w:rsidRPr="00193ECF" w:rsidRDefault="00750AB9" w:rsidP="008E3F14">
      <w:r>
        <w:t xml:space="preserve">We revealed that there are really only two forms of </w:t>
      </w:r>
      <w:r w:rsidR="00F96A8B">
        <w:t>the</w:t>
      </w:r>
      <w:r>
        <w:t xml:space="preserve"> individually established IRA</w:t>
      </w:r>
      <w:r w:rsidR="00A41062">
        <w:t xml:space="preserve"> - </w:t>
      </w:r>
      <w:r>
        <w:t xml:space="preserve">Traditional and Roth. However, you may </w:t>
      </w:r>
      <w:r w:rsidR="002B32AE">
        <w:t xml:space="preserve">see variations on those two forms referred to </w:t>
      </w:r>
      <w:proofErr w:type="gramStart"/>
      <w:r w:rsidR="002B32AE">
        <w:t xml:space="preserve">as </w:t>
      </w:r>
      <w:r>
        <w:t xml:space="preserve"> </w:t>
      </w:r>
      <w:r w:rsidRPr="008E3F14">
        <w:rPr>
          <w:rStyle w:val="Hyperlink"/>
        </w:rPr>
        <w:t>Spousal</w:t>
      </w:r>
      <w:proofErr w:type="gramEnd"/>
      <w:r w:rsidRPr="008E3F14">
        <w:rPr>
          <w:rStyle w:val="Hyperlink"/>
        </w:rPr>
        <w:t xml:space="preserve"> IRA</w:t>
      </w:r>
      <w:r w:rsidR="009E4E72">
        <w:rPr>
          <w:rStyle w:val="Hyperlink"/>
        </w:rPr>
        <w:t>s</w:t>
      </w:r>
      <w:r>
        <w:t xml:space="preserve"> and </w:t>
      </w:r>
      <w:r w:rsidRPr="008E3F14">
        <w:rPr>
          <w:rStyle w:val="Hyperlink"/>
        </w:rPr>
        <w:t>Conduit IRA</w:t>
      </w:r>
      <w:r w:rsidR="009E4E72">
        <w:rPr>
          <w:rStyle w:val="Hyperlink"/>
        </w:rPr>
        <w:t>s</w:t>
      </w:r>
      <w:r>
        <w:t xml:space="preserve">. </w:t>
      </w:r>
      <w:r w:rsidR="002B32AE">
        <w:t>These variations are NOT separate types of IRA</w:t>
      </w:r>
      <w:r w:rsidR="00A41062">
        <w:t>s</w:t>
      </w:r>
      <w:r w:rsidR="002B32A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28191A" w14:paraId="11094BBB" w14:textId="77777777" w:rsidTr="00193ECF">
        <w:tc>
          <w:tcPr>
            <w:tcW w:w="9576" w:type="dxa"/>
            <w:shd w:val="clear" w:color="auto" w:fill="F2F2F2"/>
          </w:tcPr>
          <w:p w14:paraId="44E61D1B" w14:textId="4DA87C1D" w:rsidR="0028191A" w:rsidRPr="003B4006" w:rsidRDefault="0028191A" w:rsidP="00193ECF">
            <w:pPr>
              <w:rPr>
                <w:rStyle w:val="Hyperlink"/>
                <w:u w:val="none"/>
              </w:rPr>
            </w:pPr>
            <w:r w:rsidRPr="003B4006">
              <w:rPr>
                <w:rStyle w:val="Hyperlink"/>
                <w:u w:val="none"/>
              </w:rPr>
              <w:t>Spousal IRA</w:t>
            </w:r>
            <w:r w:rsidR="009E4E72" w:rsidRPr="003B4006">
              <w:rPr>
                <w:rStyle w:val="Hyperlink"/>
                <w:u w:val="none"/>
              </w:rPr>
              <w:t>s</w:t>
            </w:r>
          </w:p>
          <w:p w14:paraId="419DC342" w14:textId="77777777" w:rsidR="0028191A" w:rsidRDefault="0028191A" w:rsidP="0028191A">
            <w:r>
              <w:t xml:space="preserve">This may be the IRA solution for married clients when one spouse does not work outside of the home. </w:t>
            </w:r>
            <w:r w:rsidRPr="004B32A6">
              <w:t xml:space="preserve">While often referred to as another type of IRA, </w:t>
            </w:r>
            <w:r>
              <w:t xml:space="preserve">a “spousal IRA” </w:t>
            </w:r>
            <w:r w:rsidRPr="004B32A6">
              <w:t>is really just a Traditional or Roth IRA</w:t>
            </w:r>
            <w:r>
              <w:t xml:space="preserve"> established for the spouse of the taxpayer.</w:t>
            </w:r>
          </w:p>
          <w:p w14:paraId="5C58A200" w14:textId="2AD977D5" w:rsidR="0028191A" w:rsidRPr="00AD70F5" w:rsidRDefault="0028191A" w:rsidP="0028191A">
            <w:pPr>
              <w:rPr>
                <w:color w:val="000000"/>
              </w:rPr>
            </w:pPr>
            <w:r w:rsidRPr="004B32A6">
              <w:t xml:space="preserve">One of the requirements for creating a Traditional or Roth IRA is that the individual must have taxable compensation. </w:t>
            </w:r>
            <w:r>
              <w:t>However,</w:t>
            </w:r>
            <w:r w:rsidRPr="004B32A6">
              <w:t xml:space="preserve"> </w:t>
            </w:r>
            <w:r w:rsidRPr="00DE2B9B">
              <w:rPr>
                <w:i/>
              </w:rPr>
              <w:t>an exception to this rule is made for spouses who file a joint tax return</w:t>
            </w:r>
            <w:r>
              <w:t>:</w:t>
            </w:r>
            <w:r w:rsidRPr="004B32A6">
              <w:t xml:space="preserve"> the taxable compensation of one spouse can be applied to the other</w:t>
            </w:r>
            <w:r>
              <w:t xml:space="preserve"> spouse</w:t>
            </w:r>
            <w:r w:rsidRPr="004B32A6">
              <w:t xml:space="preserve">. This makes it possible for spouse “A” to </w:t>
            </w:r>
            <w:r>
              <w:t>qualify</w:t>
            </w:r>
            <w:r w:rsidRPr="004B32A6">
              <w:t xml:space="preserve"> a</w:t>
            </w:r>
            <w:r>
              <w:t xml:space="preserve"> </w:t>
            </w:r>
            <w:r w:rsidRPr="001F3D42">
              <w:t>spousal IRA</w:t>
            </w:r>
            <w:r w:rsidRPr="004B32A6">
              <w:t xml:space="preserve"> for spouse “B” when spouse “B” has no taxable compensation (or insufficient taxable compensation to make full use of that year’s contribution limit).</w:t>
            </w:r>
            <w:r>
              <w:t xml:space="preserve"> </w:t>
            </w:r>
            <w:r w:rsidRPr="00DE2B9B">
              <w:rPr>
                <w:b/>
                <w:color w:val="FF0000"/>
              </w:rPr>
              <w:t>Click</w:t>
            </w:r>
            <w:r>
              <w:t xml:space="preserve"> </w:t>
            </w:r>
            <w:r w:rsidRPr="00DE2B9B">
              <w:rPr>
                <w:rStyle w:val="Hyperlink"/>
              </w:rPr>
              <w:t>here</w:t>
            </w:r>
            <w:r>
              <w:t xml:space="preserve"> </w:t>
            </w:r>
            <w:r w:rsidRPr="00DE2B9B">
              <w:rPr>
                <w:b/>
                <w:color w:val="FF0000"/>
              </w:rPr>
              <w:t>for an example</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ook w:val="04A0" w:firstRow="1" w:lastRow="0" w:firstColumn="1" w:lastColumn="0" w:noHBand="0" w:noVBand="1"/>
            </w:tblPr>
            <w:tblGrid>
              <w:gridCol w:w="9279"/>
            </w:tblGrid>
            <w:tr w:rsidR="0028191A" w14:paraId="66033606" w14:textId="77777777" w:rsidTr="00A41062">
              <w:trPr>
                <w:jc w:val="center"/>
              </w:trPr>
              <w:tc>
                <w:tcPr>
                  <w:tcW w:w="9279" w:type="dxa"/>
                  <w:shd w:val="clear" w:color="auto" w:fill="BFBFBF" w:themeFill="background1" w:themeFillShade="BF"/>
                </w:tcPr>
                <w:p w14:paraId="13132D49" w14:textId="61BD1276" w:rsidR="008F75ED" w:rsidRPr="008F75ED" w:rsidRDefault="008F75ED" w:rsidP="00193ECF">
                  <w:pPr>
                    <w:rPr>
                      <w:b/>
                    </w:rPr>
                  </w:pPr>
                  <w:r w:rsidRPr="008F75ED">
                    <w:rPr>
                      <w:b/>
                    </w:rPr>
                    <w:t>Spousal IRA Example</w:t>
                  </w:r>
                </w:p>
                <w:p w14:paraId="2A977EBB" w14:textId="77777777" w:rsidR="0028191A" w:rsidRPr="00633DF4" w:rsidRDefault="0028191A" w:rsidP="00193ECF">
                  <w:r>
                    <w:t>Sherlock and Irene</w:t>
                  </w:r>
                  <w:r w:rsidRPr="00AA18A1">
                    <w:t xml:space="preserve"> are married and file married filing jointly. </w:t>
                  </w:r>
                  <w:r>
                    <w:t>Irene</w:t>
                  </w:r>
                  <w:r w:rsidRPr="00AA18A1">
                    <w:t xml:space="preserve"> is a world-renowned brain surgeon.</w:t>
                  </w:r>
                  <w:r>
                    <w:t xml:space="preserve"> She does not participate in any employer-sponsored retirement plan.</w:t>
                  </w:r>
                  <w:r w:rsidRPr="00AA18A1">
                    <w:t xml:space="preserve"> </w:t>
                  </w:r>
                  <w:r>
                    <w:t>Sherlock</w:t>
                  </w:r>
                  <w:r w:rsidRPr="00AA18A1">
                    <w:t xml:space="preserve"> is a professional salt-water an</w:t>
                  </w:r>
                  <w:r w:rsidRPr="00633DF4">
                    <w:t xml:space="preserve">gler. They are each 45 years of age. </w:t>
                  </w:r>
                  <w:r>
                    <w:t>Irene</w:t>
                  </w:r>
                  <w:r w:rsidRPr="00633DF4">
                    <w:t xml:space="preserve"> earned $1,400,000 in taxable compensation in the current year. </w:t>
                  </w:r>
                  <w:r>
                    <w:t>Sherlock</w:t>
                  </w:r>
                  <w:r w:rsidRPr="00633DF4">
                    <w:t xml:space="preserve"> had a turbulent year and earned nothing. </w:t>
                  </w:r>
                </w:p>
                <w:p w14:paraId="10E58F5F" w14:textId="3BE981CA" w:rsidR="0028191A" w:rsidRPr="003C03E2" w:rsidRDefault="0028191A" w:rsidP="00193ECF">
                  <w:r>
                    <w:t>Irene</w:t>
                  </w:r>
                  <w:r w:rsidRPr="004A1A31">
                    <w:t xml:space="preserve"> may establish a</w:t>
                  </w:r>
                  <w:r w:rsidRPr="002F2E53">
                    <w:t xml:space="preserve"> Traditional IRA for herself of $5,500</w:t>
                  </w:r>
                  <w:r w:rsidR="00E007F7">
                    <w:t xml:space="preserve"> </w:t>
                  </w:r>
                  <w:r w:rsidRPr="002F2E53">
                    <w:t>(</w:t>
                  </w:r>
                  <w:r w:rsidR="002D2503">
                    <w:t>2016</w:t>
                  </w:r>
                  <w:r w:rsidRPr="002F2E53">
                    <w:t xml:space="preserve">). </w:t>
                  </w:r>
                  <w:r>
                    <w:t>Her</w:t>
                  </w:r>
                  <w:r w:rsidRPr="002F2E53">
                    <w:t xml:space="preserve"> taxable </w:t>
                  </w:r>
                  <w:r w:rsidRPr="002F2E53">
                    <w:lastRenderedPageBreak/>
                    <w:t>compensation also qualifies a Spousal IRA of $5,500 (</w:t>
                  </w:r>
                  <w:r w:rsidR="002D2503">
                    <w:t>2016</w:t>
                  </w:r>
                  <w:r w:rsidRPr="003C03E2">
                    <w:t xml:space="preserve">) for </w:t>
                  </w:r>
                  <w:r>
                    <w:t>Sherlock</w:t>
                  </w:r>
                  <w:r w:rsidRPr="003C03E2">
                    <w:t xml:space="preserve">. </w:t>
                  </w:r>
                </w:p>
                <w:p w14:paraId="51B9F545" w14:textId="0AE1EB6E" w:rsidR="0028191A" w:rsidRPr="00275B02" w:rsidRDefault="0028191A" w:rsidP="00193ECF">
                  <w:r w:rsidRPr="003C03E2">
                    <w:t>Let</w:t>
                  </w:r>
                  <w:r>
                    <w:t>’s</w:t>
                  </w:r>
                  <w:r w:rsidRPr="00AA18A1">
                    <w:t xml:space="preserve"> consider a variation on this example. Assume the same fact pattern except </w:t>
                  </w:r>
                  <w:r>
                    <w:t>Irene</w:t>
                  </w:r>
                  <w:r w:rsidRPr="00AA18A1">
                    <w:t xml:space="preserve">’s taxable compensation is now only $10,000. </w:t>
                  </w:r>
                  <w:r>
                    <w:t>She</w:t>
                  </w:r>
                  <w:r w:rsidRPr="00AA18A1">
                    <w:t xml:space="preserve"> may establish an IRA of $5,500 (</w:t>
                  </w:r>
                  <w:r w:rsidR="002D2503">
                    <w:t>2016</w:t>
                  </w:r>
                  <w:r w:rsidRPr="00AA18A1">
                    <w:t xml:space="preserve">) for herself. </w:t>
                  </w:r>
                  <w:r>
                    <w:t>Irene’s</w:t>
                  </w:r>
                  <w:r w:rsidRPr="00AA18A1">
                    <w:t xml:space="preserve"> taxable</w:t>
                  </w:r>
                  <w:r w:rsidRPr="00633DF4">
                    <w:t xml:space="preserve"> compensation now qualifies a Spousal IRA for </w:t>
                  </w:r>
                  <w:r>
                    <w:t>Sherlock</w:t>
                  </w:r>
                  <w:r w:rsidRPr="00633DF4">
                    <w:t xml:space="preserve"> of only $4,500</w:t>
                  </w:r>
                  <w:r w:rsidR="00A22079">
                    <w:t xml:space="preserve"> (</w:t>
                  </w:r>
                  <w:r w:rsidR="002D2503">
                    <w:t>2016</w:t>
                  </w:r>
                  <w:r w:rsidR="00A22079">
                    <w:t>)</w:t>
                  </w:r>
                  <w:r w:rsidRPr="00633DF4">
                    <w:t xml:space="preserve">. There must be sufficient taxable compensation to cover </w:t>
                  </w:r>
                  <w:r>
                    <w:t xml:space="preserve">contributions to </w:t>
                  </w:r>
                  <w:r w:rsidRPr="00AA18A1">
                    <w:t xml:space="preserve">both </w:t>
                  </w:r>
                  <w:r>
                    <w:t>Irene</w:t>
                  </w:r>
                  <w:r w:rsidRPr="00AA18A1">
                    <w:t xml:space="preserve">’s IRA and </w:t>
                  </w:r>
                  <w:r>
                    <w:t>Sherlock</w:t>
                  </w:r>
                  <w:r w:rsidRPr="00AA18A1">
                    <w:t xml:space="preserve">’s </w:t>
                  </w:r>
                  <w:r>
                    <w:t xml:space="preserve">spousal </w:t>
                  </w:r>
                  <w:r w:rsidRPr="00AA18A1">
                    <w:t>IRA.</w:t>
                  </w:r>
                  <w:r w:rsidRPr="00F539FF">
                    <w:t xml:space="preserve"> </w:t>
                  </w:r>
                </w:p>
              </w:tc>
            </w:tr>
          </w:tbl>
          <w:p w14:paraId="4AF76C79" w14:textId="7FECFC73" w:rsidR="0028191A" w:rsidRPr="003F7CAA" w:rsidRDefault="0028191A" w:rsidP="00193ECF">
            <w:pPr>
              <w:rPr>
                <w:b/>
                <w:color w:val="4F81BD"/>
              </w:rPr>
            </w:pPr>
          </w:p>
        </w:tc>
      </w:tr>
    </w:tbl>
    <w:p w14:paraId="2CAAFC62" w14:textId="77777777" w:rsidR="0028191A" w:rsidRDefault="0028191A" w:rsidP="002819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28191A" w14:paraId="20EDB866" w14:textId="77777777" w:rsidTr="00193ECF">
        <w:tc>
          <w:tcPr>
            <w:tcW w:w="9576" w:type="dxa"/>
            <w:shd w:val="clear" w:color="auto" w:fill="F2F2F2"/>
          </w:tcPr>
          <w:p w14:paraId="36A0FEF7" w14:textId="14EA6BA4" w:rsidR="0028191A" w:rsidRPr="008F75ED" w:rsidRDefault="0028191A" w:rsidP="00193ECF">
            <w:pPr>
              <w:rPr>
                <w:rStyle w:val="Hyperlink"/>
                <w:u w:val="none"/>
              </w:rPr>
            </w:pPr>
            <w:r w:rsidRPr="008F75ED">
              <w:rPr>
                <w:rStyle w:val="Hyperlink"/>
                <w:u w:val="none"/>
              </w:rPr>
              <w:t>Conduit IRA</w:t>
            </w:r>
            <w:r w:rsidR="009E4E72" w:rsidRPr="008F75ED">
              <w:rPr>
                <w:rStyle w:val="Hyperlink"/>
                <w:u w:val="none"/>
              </w:rPr>
              <w:t>s</w:t>
            </w:r>
          </w:p>
          <w:p w14:paraId="433EBBA2" w14:textId="25D76B72" w:rsidR="003A5C7E" w:rsidRDefault="0028191A" w:rsidP="0028191A">
            <w:r>
              <w:t xml:space="preserve">A </w:t>
            </w:r>
            <w:r w:rsidR="00122310">
              <w:rPr>
                <w:rStyle w:val="Hyperlink"/>
                <w:b w:val="0"/>
                <w:color w:val="auto"/>
                <w:u w:val="none"/>
              </w:rPr>
              <w:t>C</w:t>
            </w:r>
            <w:r w:rsidRPr="003761F7">
              <w:rPr>
                <w:rStyle w:val="Hyperlink"/>
                <w:b w:val="0"/>
                <w:color w:val="auto"/>
                <w:u w:val="none"/>
              </w:rPr>
              <w:t>onduit IRA</w:t>
            </w:r>
            <w:r>
              <w:t xml:space="preserve"> is either a </w:t>
            </w:r>
            <w:r w:rsidR="006871FA">
              <w:t>Traditional</w:t>
            </w:r>
            <w:r>
              <w:t xml:space="preserve"> IRA or Roth IRA established through a rollover or direct transfer of funds from an employer</w:t>
            </w:r>
            <w:r w:rsidR="00122310">
              <w:t>-</w:t>
            </w:r>
            <w:r>
              <w:t xml:space="preserve">sponsored retirement plan. </w:t>
            </w:r>
            <w:r w:rsidR="003A5C7E">
              <w:t xml:space="preserve">Conduit IRAs may </w:t>
            </w:r>
            <w:r w:rsidR="00222D5F">
              <w:t xml:space="preserve">be </w:t>
            </w:r>
            <w:r w:rsidR="003A5C7E">
              <w:t xml:space="preserve">used when a participant retires or changes jobs. </w:t>
            </w:r>
          </w:p>
          <w:p w14:paraId="7DC9898B" w14:textId="078732B5" w:rsidR="0028191A" w:rsidRDefault="00B53B46" w:rsidP="0028191A">
            <w:r>
              <w:t>In the case of job change</w:t>
            </w:r>
            <w:r w:rsidR="0028191A">
              <w:t>, a participant in an employer</w:t>
            </w:r>
            <w:r w:rsidR="00122310">
              <w:t>-</w:t>
            </w:r>
            <w:r w:rsidR="0028191A">
              <w:t xml:space="preserve">sponsored retirement plan may leave one employer and wish to transfer his or her 401(k) account into the new employer’s 401(k) </w:t>
            </w:r>
            <w:r w:rsidR="00122310">
              <w:t>P</w:t>
            </w:r>
            <w:r w:rsidR="0028191A">
              <w:t xml:space="preserve">lan. </w:t>
            </w:r>
            <w:r w:rsidR="00F96A8B">
              <w:t xml:space="preserve">There may be a waiting period before the employee is eligible to participate in the new </w:t>
            </w:r>
            <w:r w:rsidR="003A5C7E">
              <w:t xml:space="preserve">employer’s </w:t>
            </w:r>
            <w:r w:rsidR="00F96A8B">
              <w:t xml:space="preserve">401(k) </w:t>
            </w:r>
            <w:r w:rsidR="00122310">
              <w:t>P</w:t>
            </w:r>
            <w:r w:rsidR="00F96A8B">
              <w:t xml:space="preserve">lan. </w:t>
            </w:r>
            <w:r w:rsidR="0028191A">
              <w:t xml:space="preserve">The participant may establish a </w:t>
            </w:r>
            <w:r w:rsidR="0028191A" w:rsidRPr="00BA7A7D">
              <w:t>c</w:t>
            </w:r>
            <w:r w:rsidR="0028191A" w:rsidRPr="003761F7">
              <w:t>onduit IRA</w:t>
            </w:r>
            <w:r w:rsidR="0028191A">
              <w:t xml:space="preserve"> to temporarily “park” the 401(k) money until it can be transferred to the new employer’s 401(k). </w:t>
            </w:r>
            <w:r>
              <w:t xml:space="preserve"> </w:t>
            </w:r>
          </w:p>
          <w:p w14:paraId="37AE8E16" w14:textId="5635CA75" w:rsidR="0028191A" w:rsidRPr="00396697" w:rsidRDefault="003A5C7E" w:rsidP="0028191A">
            <w:pPr>
              <w:rPr>
                <w:rFonts w:ascii="Arial" w:hAnsi="Arial"/>
              </w:rPr>
            </w:pPr>
            <w:r>
              <w:t>A retiring participant can also rollover or direct transfer a qualified plan account balance to a Conduit IRA</w:t>
            </w:r>
            <w:r w:rsidR="00B53B46">
              <w:t xml:space="preserve"> in order to gain more investment choices. </w:t>
            </w:r>
          </w:p>
          <w:p w14:paraId="3E8DADBF" w14:textId="77777777" w:rsidR="0028191A" w:rsidRPr="007746E2" w:rsidRDefault="0028191A" w:rsidP="0028191A">
            <w:pPr>
              <w:rPr>
                <w:rFonts w:ascii="Arial" w:hAnsi="Arial"/>
              </w:rPr>
            </w:pPr>
            <w:r>
              <w:rPr>
                <w:noProof/>
                <w:lang w:eastAsia="zh-CN"/>
              </w:rPr>
              <w:drawing>
                <wp:inline distT="0" distB="0" distL="0" distR="0" wp14:anchorId="2A3468A4" wp14:editId="0490D8D9">
                  <wp:extent cx="283210" cy="196215"/>
                  <wp:effectExtent l="0" t="0" r="0" b="6985"/>
                  <wp:docPr id="66" name="Picture 66"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_tip_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10" cy="196215"/>
                          </a:xfrm>
                          <a:prstGeom prst="rect">
                            <a:avLst/>
                          </a:prstGeom>
                          <a:noFill/>
                          <a:ln>
                            <a:noFill/>
                          </a:ln>
                        </pic:spPr>
                      </pic:pic>
                    </a:graphicData>
                  </a:graphic>
                </wp:inline>
              </w:drawing>
            </w:r>
            <w:r>
              <w:t xml:space="preserve">  </w:t>
            </w:r>
            <w:r w:rsidRPr="007746E2">
              <w:rPr>
                <w:b/>
              </w:rPr>
              <w:t>Planning Tip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8191A" w:rsidRPr="00120E33" w14:paraId="67FE84AA" w14:textId="77777777" w:rsidTr="00193ECF">
              <w:trPr>
                <w:trHeight w:val="1115"/>
              </w:trPr>
              <w:tc>
                <w:tcPr>
                  <w:tcW w:w="9576" w:type="dxa"/>
                  <w:shd w:val="clear" w:color="auto" w:fill="E7D9CF"/>
                </w:tcPr>
                <w:p w14:paraId="5C4F445D" w14:textId="723C0EED" w:rsidR="0028191A" w:rsidRPr="00120E33" w:rsidRDefault="0028191A" w:rsidP="008E3F14">
                  <w:pPr>
                    <w:rPr>
                      <w:rStyle w:val="Strong"/>
                      <w:b w:val="0"/>
                    </w:rPr>
                  </w:pPr>
                  <w:r>
                    <w:t>Conduit IRA funds should not be commingled with any of the participant’s other IRA accounts. Commingling may cause the Conduit IRA funds to lose eligibility for qualified plan status</w:t>
                  </w:r>
                  <w:r w:rsidR="00A4632E">
                    <w:t>.</w:t>
                  </w:r>
                  <w:r w:rsidR="00B53B46">
                    <w:t xml:space="preserve"> </w:t>
                  </w:r>
                </w:p>
              </w:tc>
            </w:tr>
          </w:tbl>
          <w:p w14:paraId="59620885" w14:textId="1931FD4C" w:rsidR="0028191A" w:rsidRPr="003F7CAA" w:rsidRDefault="0028191A" w:rsidP="00193ECF">
            <w:pPr>
              <w:rPr>
                <w:b/>
                <w:color w:val="4F81BD"/>
              </w:rPr>
            </w:pPr>
          </w:p>
        </w:tc>
      </w:tr>
    </w:tbl>
    <w:p w14:paraId="23C5D4AC" w14:textId="77777777" w:rsidR="00EF4264" w:rsidRDefault="00EF4264" w:rsidP="004344CA">
      <w:pPr>
        <w:pStyle w:val="Heading2"/>
      </w:pPr>
    </w:p>
    <w:p w14:paraId="01EFCA64" w14:textId="77777777" w:rsidR="00EF4264" w:rsidRDefault="00EF4264">
      <w:pPr>
        <w:spacing w:before="0" w:after="0"/>
        <w:rPr>
          <w:b/>
          <w:bCs/>
          <w:iCs/>
          <w:color w:val="17365D"/>
          <w:sz w:val="28"/>
          <w:szCs w:val="12"/>
        </w:rPr>
      </w:pPr>
      <w:r>
        <w:br w:type="page"/>
      </w:r>
    </w:p>
    <w:p w14:paraId="1F447429" w14:textId="7EEFF36F" w:rsidR="00AC40A8" w:rsidRDefault="00AC40A8" w:rsidP="004344CA">
      <w:pPr>
        <w:pStyle w:val="Heading2"/>
      </w:pPr>
      <w:r>
        <w:lastRenderedPageBreak/>
        <w:t>Traditional &amp; Roth IRAs – Who Can Set One Up?</w:t>
      </w:r>
    </w:p>
    <w:p w14:paraId="20291CBE" w14:textId="59AEB68E" w:rsidR="00AC40A8" w:rsidRPr="001F3D3B" w:rsidRDefault="00AC40A8" w:rsidP="00374FD8">
      <w:r w:rsidRPr="00585E92">
        <w:rPr>
          <w:rStyle w:val="Hyperlink"/>
          <w:b w:val="0"/>
          <w:color w:val="auto"/>
          <w:u w:val="none"/>
        </w:rPr>
        <w:t>Anyone with</w:t>
      </w:r>
      <w:r>
        <w:rPr>
          <w:rStyle w:val="Hyperlink"/>
          <w:b w:val="0"/>
          <w:u w:val="none"/>
        </w:rPr>
        <w:t xml:space="preserve"> </w:t>
      </w:r>
      <w:r>
        <w:rPr>
          <w:rStyle w:val="Hyperlink"/>
        </w:rPr>
        <w:t>tax</w:t>
      </w:r>
      <w:r w:rsidRPr="001F3D42">
        <w:rPr>
          <w:rStyle w:val="Hyperlink"/>
        </w:rPr>
        <w:t>able compensation</w:t>
      </w:r>
      <w:r>
        <w:t xml:space="preserve"> can set up a Roth IRA. Age is not a factor for Roth IRA eligibility. Taxable compensation is also required to set up a T</w:t>
      </w:r>
      <w:r w:rsidRPr="00604D27">
        <w:t>raditional IRA</w:t>
      </w:r>
      <w:r w:rsidR="005E3BA8">
        <w:t>,</w:t>
      </w:r>
      <w:r>
        <w:t xml:space="preserve"> but there is an age limit as well.</w:t>
      </w:r>
    </w:p>
    <w:p w14:paraId="64406250" w14:textId="77777777" w:rsidR="00AC40A8" w:rsidRDefault="00AC40A8" w:rsidP="00822DE7">
      <w:pPr>
        <w:numPr>
          <w:ilvl w:val="0"/>
          <w:numId w:val="19"/>
        </w:numPr>
      </w:pPr>
      <w:r w:rsidRPr="00611945">
        <w:t xml:space="preserve">All individuals </w:t>
      </w:r>
      <w:r w:rsidR="00750717">
        <w:t xml:space="preserve">with taxable compensation </w:t>
      </w:r>
      <w:r w:rsidR="00750717" w:rsidRPr="00611945">
        <w:t>can contribute</w:t>
      </w:r>
      <w:r w:rsidR="00750717">
        <w:t xml:space="preserve"> to a Traditional IRA</w:t>
      </w:r>
      <w:r w:rsidR="00750717" w:rsidRPr="00611945">
        <w:t xml:space="preserve"> </w:t>
      </w:r>
      <w:r w:rsidRPr="00611945">
        <w:t xml:space="preserve">prior to the calendar year they reach age 70½. </w:t>
      </w:r>
    </w:p>
    <w:p w14:paraId="1508873C" w14:textId="77777777" w:rsidR="00AC40A8" w:rsidRPr="00611945" w:rsidRDefault="00AC40A8" w:rsidP="00822DE7">
      <w:pPr>
        <w:numPr>
          <w:ilvl w:val="0"/>
          <w:numId w:val="19"/>
        </w:numPr>
      </w:pPr>
      <w:r>
        <w:t xml:space="preserve">No contributions to a Traditional IRA can be made in or after the year in which an individual reaches age 70½.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AC40A8" w:rsidRPr="0028324A" w14:paraId="4A9413E1" w14:textId="77777777" w:rsidTr="00BA6D15">
        <w:tc>
          <w:tcPr>
            <w:tcW w:w="9576" w:type="dxa"/>
            <w:shd w:val="clear" w:color="auto" w:fill="D9D9D9"/>
          </w:tcPr>
          <w:p w14:paraId="0338B90E" w14:textId="77777777" w:rsidR="00AC40A8" w:rsidRPr="008F75ED" w:rsidRDefault="00AC40A8" w:rsidP="00BA6D15">
            <w:pPr>
              <w:rPr>
                <w:rStyle w:val="Hyperlink"/>
                <w:u w:val="none"/>
              </w:rPr>
            </w:pPr>
            <w:r w:rsidRPr="008F75ED">
              <w:rPr>
                <w:rStyle w:val="Hyperlink"/>
                <w:u w:val="none"/>
              </w:rPr>
              <w:t>Taxable Compensation</w:t>
            </w:r>
          </w:p>
          <w:p w14:paraId="322000AA" w14:textId="3C8315C4" w:rsidR="00AC40A8" w:rsidRPr="00604D27" w:rsidRDefault="0003742F" w:rsidP="00C8344F">
            <w:pPr>
              <w:rPr>
                <w:color w:val="000000"/>
              </w:rPr>
            </w:pPr>
            <w:r>
              <w:rPr>
                <w:color w:val="000000"/>
              </w:rPr>
              <w:t>Taxable compensation can generally be viewed as</w:t>
            </w:r>
            <w:r w:rsidR="00AC40A8">
              <w:rPr>
                <w:color w:val="000000"/>
              </w:rPr>
              <w:t xml:space="preserve"> earned income. Earned income is income earned from personal services provided. </w:t>
            </w:r>
            <w:r w:rsidR="00AC40A8" w:rsidRPr="00604D27">
              <w:rPr>
                <w:color w:val="000000"/>
              </w:rPr>
              <w:t xml:space="preserve">Do not confuse taxable compensation with unearned income, such as stock dividends and interest. </w:t>
            </w:r>
            <w:r w:rsidR="00750717">
              <w:rPr>
                <w:color w:val="000000"/>
              </w:rPr>
              <w:t>D</w:t>
            </w:r>
            <w:r w:rsidR="00AC40A8" w:rsidRPr="00604D27">
              <w:rPr>
                <w:color w:val="000000"/>
              </w:rPr>
              <w:t>ividends and interes</w:t>
            </w:r>
            <w:r w:rsidR="00750717">
              <w:rPr>
                <w:color w:val="000000"/>
              </w:rPr>
              <w:t>t are NOT forms</w:t>
            </w:r>
            <w:r w:rsidR="005E3BA8">
              <w:rPr>
                <w:color w:val="000000"/>
              </w:rPr>
              <w:t xml:space="preserve"> of compensation - </w:t>
            </w:r>
            <w:r w:rsidR="00AC40A8" w:rsidRPr="00604D27">
              <w:rPr>
                <w:color w:val="000000"/>
              </w:rPr>
              <w:t>they are forms of investment income. IRA contributions MUST be based solely on the portion of taxable income that is received as compensation</w:t>
            </w:r>
            <w:r w:rsidR="00AC40A8">
              <w:rPr>
                <w:color w:val="000000"/>
              </w:rPr>
              <w:t xml:space="preserve"> earned from personal services</w:t>
            </w:r>
            <w:r w:rsidR="00AC40A8" w:rsidRPr="00604D27">
              <w:rPr>
                <w:color w:val="000000"/>
              </w:rPr>
              <w:t xml:space="preserve">. But, as the following table illustrates, taxable compensation </w:t>
            </w:r>
            <w:r w:rsidR="00AC40A8">
              <w:rPr>
                <w:color w:val="000000"/>
              </w:rPr>
              <w:t xml:space="preserve">for IRA purposes </w:t>
            </w:r>
            <w:r w:rsidR="00AC40A8" w:rsidRPr="00604D27">
              <w:rPr>
                <w:color w:val="000000"/>
              </w:rPr>
              <w:t>includes income that is not always thought of as “earned.”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6"/>
              <w:gridCol w:w="5184"/>
            </w:tblGrid>
            <w:tr w:rsidR="00AC40A8" w:rsidRPr="00483970" w14:paraId="21403741" w14:textId="77777777" w:rsidTr="001F3D42">
              <w:trPr>
                <w:trHeight w:val="366"/>
              </w:trPr>
              <w:tc>
                <w:tcPr>
                  <w:tcW w:w="9350" w:type="dxa"/>
                  <w:gridSpan w:val="2"/>
                  <w:shd w:val="clear" w:color="auto" w:fill="BFBA84"/>
                </w:tcPr>
                <w:p w14:paraId="10C6448B" w14:textId="77777777" w:rsidR="00AC40A8" w:rsidRPr="00AB2A7B" w:rsidRDefault="00AC40A8" w:rsidP="00BA6D15">
                  <w:pPr>
                    <w:jc w:val="center"/>
                    <w:rPr>
                      <w:rStyle w:val="Strong"/>
                    </w:rPr>
                  </w:pPr>
                  <w:r w:rsidRPr="00AB2A7B">
                    <w:rPr>
                      <w:rStyle w:val="Strong"/>
                    </w:rPr>
                    <w:t>Taxable Compensation</w:t>
                  </w:r>
                </w:p>
              </w:tc>
            </w:tr>
            <w:tr w:rsidR="00AC40A8" w:rsidRPr="00483970" w14:paraId="75BC32B0" w14:textId="77777777" w:rsidTr="001F3D42">
              <w:trPr>
                <w:trHeight w:val="336"/>
              </w:trPr>
              <w:tc>
                <w:tcPr>
                  <w:tcW w:w="4166" w:type="dxa"/>
                  <w:shd w:val="clear" w:color="auto" w:fill="DBD9B9"/>
                </w:tcPr>
                <w:p w14:paraId="37947947" w14:textId="77777777" w:rsidR="00AC40A8" w:rsidRPr="00AB2A7B" w:rsidRDefault="00AC40A8" w:rsidP="00BA6D15">
                  <w:pPr>
                    <w:jc w:val="center"/>
                    <w:rPr>
                      <w:rStyle w:val="Strong"/>
                    </w:rPr>
                  </w:pPr>
                  <w:r w:rsidRPr="00AB2A7B">
                    <w:rPr>
                      <w:rStyle w:val="Strong"/>
                    </w:rPr>
                    <w:t>Includes</w:t>
                  </w:r>
                </w:p>
              </w:tc>
              <w:tc>
                <w:tcPr>
                  <w:tcW w:w="5184" w:type="dxa"/>
                  <w:shd w:val="clear" w:color="auto" w:fill="DBD9B9"/>
                </w:tcPr>
                <w:p w14:paraId="55FD6944" w14:textId="77777777" w:rsidR="00AC40A8" w:rsidRPr="00AB2A7B" w:rsidRDefault="00AC40A8" w:rsidP="00BA6D15">
                  <w:pPr>
                    <w:jc w:val="center"/>
                    <w:rPr>
                      <w:rStyle w:val="Strong"/>
                    </w:rPr>
                  </w:pPr>
                  <w:r w:rsidRPr="00AB2A7B">
                    <w:rPr>
                      <w:rStyle w:val="Strong"/>
                    </w:rPr>
                    <w:t>Does Not Include</w:t>
                  </w:r>
                </w:p>
              </w:tc>
            </w:tr>
            <w:tr w:rsidR="00AC40A8" w:rsidRPr="00483970" w14:paraId="6614E9D4" w14:textId="77777777" w:rsidTr="001F3D42">
              <w:trPr>
                <w:trHeight w:val="705"/>
              </w:trPr>
              <w:tc>
                <w:tcPr>
                  <w:tcW w:w="4166" w:type="dxa"/>
                  <w:shd w:val="clear" w:color="auto" w:fill="E7E6CF"/>
                </w:tcPr>
                <w:p w14:paraId="4FF173BC" w14:textId="77777777" w:rsidR="00AC40A8" w:rsidRPr="00604D27" w:rsidRDefault="00AC40A8" w:rsidP="00BA6D15">
                  <w:r w:rsidRPr="00604D27">
                    <w:t>Wages, salaries, etc.</w:t>
                  </w:r>
                </w:p>
              </w:tc>
              <w:tc>
                <w:tcPr>
                  <w:tcW w:w="5184" w:type="dxa"/>
                  <w:shd w:val="clear" w:color="auto" w:fill="E7E6CF"/>
                </w:tcPr>
                <w:p w14:paraId="7CF1DF6A" w14:textId="77777777" w:rsidR="00AC40A8" w:rsidRPr="00604D27" w:rsidRDefault="00AC40A8" w:rsidP="001F3D3B">
                  <w:r w:rsidRPr="00604D27">
                    <w:t>Deferred compensation received (compensation payments postponed from a past year)</w:t>
                  </w:r>
                </w:p>
              </w:tc>
            </w:tr>
            <w:tr w:rsidR="00AC40A8" w:rsidRPr="00483970" w14:paraId="74B6F7FB" w14:textId="77777777" w:rsidTr="00DA4945">
              <w:trPr>
                <w:trHeight w:val="705"/>
              </w:trPr>
              <w:tc>
                <w:tcPr>
                  <w:tcW w:w="4166" w:type="dxa"/>
                  <w:shd w:val="clear" w:color="auto" w:fill="E7E6CF"/>
                </w:tcPr>
                <w:p w14:paraId="4B5B61D3" w14:textId="77777777" w:rsidR="00AC40A8" w:rsidRPr="00604D27" w:rsidRDefault="00AC40A8" w:rsidP="000641C4">
                  <w:r w:rsidRPr="00604D27">
                    <w:t xml:space="preserve">Alimony </w:t>
                  </w:r>
                  <w:r w:rsidR="004046AD">
                    <w:t>paym</w:t>
                  </w:r>
                  <w:r>
                    <w:t xml:space="preserve">ents </w:t>
                  </w:r>
                  <w:r w:rsidRPr="001F3D42">
                    <w:t>received</w:t>
                  </w:r>
                </w:p>
              </w:tc>
              <w:tc>
                <w:tcPr>
                  <w:tcW w:w="5184" w:type="dxa"/>
                  <w:shd w:val="clear" w:color="auto" w:fill="E7E6CF"/>
                </w:tcPr>
                <w:p w14:paraId="0BC4C681" w14:textId="77777777" w:rsidR="00AC40A8" w:rsidRDefault="00AC40A8" w:rsidP="00516513">
                  <w:r>
                    <w:t>Property settlement received in a divorce</w:t>
                  </w:r>
                </w:p>
                <w:p w14:paraId="16FFF717" w14:textId="77777777" w:rsidR="00AC40A8" w:rsidRPr="00604D27" w:rsidRDefault="00AC40A8" w:rsidP="00516513">
                  <w:r>
                    <w:t>Child support</w:t>
                  </w:r>
                </w:p>
              </w:tc>
            </w:tr>
            <w:tr w:rsidR="00AC40A8" w:rsidRPr="00483970" w14:paraId="4414B649" w14:textId="77777777" w:rsidTr="001F3D42">
              <w:tc>
                <w:tcPr>
                  <w:tcW w:w="4166" w:type="dxa"/>
                  <w:shd w:val="clear" w:color="auto" w:fill="E7E6CF"/>
                </w:tcPr>
                <w:p w14:paraId="2A545517" w14:textId="77777777" w:rsidR="00AC40A8" w:rsidRPr="00604D27" w:rsidRDefault="00AC40A8" w:rsidP="00BA6D15">
                  <w:r w:rsidRPr="00604D27">
                    <w:t>Commissions</w:t>
                  </w:r>
                </w:p>
              </w:tc>
              <w:tc>
                <w:tcPr>
                  <w:tcW w:w="5184" w:type="dxa"/>
                  <w:shd w:val="clear" w:color="auto" w:fill="E7E6CF"/>
                </w:tcPr>
                <w:p w14:paraId="00512568" w14:textId="77777777" w:rsidR="00AC40A8" w:rsidRPr="00604D27" w:rsidRDefault="00AC40A8" w:rsidP="00BA6D15">
                  <w:r w:rsidRPr="00604D27">
                    <w:t>Pension or annuity income </w:t>
                  </w:r>
                  <w:r>
                    <w:t>such as Social Security retirement benefits, IRA distributions, and qualified plan distributions</w:t>
                  </w:r>
                </w:p>
              </w:tc>
            </w:tr>
            <w:tr w:rsidR="00AC40A8" w:rsidRPr="00483970" w14:paraId="744128FE" w14:textId="77777777" w:rsidTr="001F3D42">
              <w:tc>
                <w:tcPr>
                  <w:tcW w:w="4166" w:type="dxa"/>
                  <w:shd w:val="clear" w:color="auto" w:fill="E7E6CF"/>
                </w:tcPr>
                <w:p w14:paraId="69A1EE80" w14:textId="77777777" w:rsidR="00AC40A8" w:rsidRPr="00604D27" w:rsidRDefault="00AC40A8" w:rsidP="001F3D3B">
                  <w:r w:rsidRPr="00604D27">
                    <w:t>Self-employment income</w:t>
                  </w:r>
                  <w:r>
                    <w:t xml:space="preserve"> including income to a general partner and net earnings from a sole proprietorship</w:t>
                  </w:r>
                </w:p>
              </w:tc>
              <w:tc>
                <w:tcPr>
                  <w:tcW w:w="5184" w:type="dxa"/>
                  <w:shd w:val="clear" w:color="auto" w:fill="E7E6CF"/>
                </w:tcPr>
                <w:p w14:paraId="0447A6E1" w14:textId="77777777" w:rsidR="00AC40A8" w:rsidRDefault="00AC40A8" w:rsidP="00BA6D15">
                  <w:r>
                    <w:t>Income to a limited partner in a partnership</w:t>
                  </w:r>
                </w:p>
                <w:p w14:paraId="4BD9BB50" w14:textId="77777777" w:rsidR="00AC40A8" w:rsidRDefault="00AC40A8" w:rsidP="00BA6D15">
                  <w:r>
                    <w:t>Rental income</w:t>
                  </w:r>
                </w:p>
                <w:p w14:paraId="7AF3C107" w14:textId="77777777" w:rsidR="00AC40A8" w:rsidRPr="00604D27" w:rsidRDefault="00AC40A8" w:rsidP="00BA6D15">
                  <w:r>
                    <w:t>Portfolio income such as capital gains, interest income, and dividend income</w:t>
                  </w:r>
                </w:p>
              </w:tc>
            </w:tr>
          </w:tbl>
          <w:p w14:paraId="02CE976E" w14:textId="0BE6C212" w:rsidR="00AC40A8" w:rsidRPr="0028324A" w:rsidRDefault="005E3BA8" w:rsidP="001F3D42">
            <w:pPr>
              <w:pStyle w:val="RolloverText"/>
              <w:ind w:right="180"/>
            </w:pPr>
            <w:r>
              <w:rPr>
                <w:i/>
                <w:color w:val="000000"/>
                <w:sz w:val="16"/>
                <w:szCs w:val="16"/>
              </w:rPr>
              <w:t xml:space="preserve">Source:  </w:t>
            </w:r>
            <w:r w:rsidR="00AC40A8">
              <w:rPr>
                <w:i/>
                <w:color w:val="000000"/>
                <w:sz w:val="16"/>
                <w:szCs w:val="16"/>
              </w:rPr>
              <w:t>Adapted</w:t>
            </w:r>
            <w:r w:rsidR="00AC40A8" w:rsidRPr="00C43B29">
              <w:rPr>
                <w:i/>
                <w:color w:val="000000"/>
                <w:sz w:val="16"/>
                <w:szCs w:val="16"/>
              </w:rPr>
              <w:t xml:space="preserve"> from IRS Publication 590.</w:t>
            </w:r>
            <w:r w:rsidR="00AC40A8">
              <w:br w:type="page"/>
            </w:r>
          </w:p>
        </w:tc>
      </w:tr>
    </w:tbl>
    <w:p w14:paraId="2DCB6C11" w14:textId="77777777" w:rsidR="008E45A4" w:rsidRDefault="008E45A4" w:rsidP="004344CA"/>
    <w:p w14:paraId="6FFDA409" w14:textId="77777777" w:rsidR="00AC40A8" w:rsidRDefault="00400EEE" w:rsidP="004344CA">
      <w:pPr>
        <w:pStyle w:val="Heading3"/>
      </w:pPr>
      <w:r>
        <w:t>Traditional</w:t>
      </w:r>
      <w:r w:rsidR="00AC40A8">
        <w:t xml:space="preserve"> &amp; Roth IRAs – Annual Contribution Limits</w:t>
      </w:r>
    </w:p>
    <w:p w14:paraId="708AE1A1" w14:textId="77777777" w:rsidR="00337623" w:rsidRDefault="00AC40A8" w:rsidP="00795CC9">
      <w:r w:rsidRPr="00604D27">
        <w:t>What is the maximum amount that can be contributed each year to Traditional and</w:t>
      </w:r>
      <w:r>
        <w:t xml:space="preserve"> Roth IRAs? </w:t>
      </w:r>
      <w:r w:rsidRPr="00604D27">
        <w:t xml:space="preserve">Various rules may impact an individual’s ability to deduct contributions (for Traditional IRAs) or to make any contributions at all (for Roth IRAs). </w:t>
      </w:r>
    </w:p>
    <w:p w14:paraId="1AFEE124" w14:textId="77777777" w:rsidR="00AC40A8" w:rsidRPr="00604D27" w:rsidRDefault="00AC40A8" w:rsidP="001F3D42"/>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873"/>
        <w:gridCol w:w="6588"/>
      </w:tblGrid>
      <w:tr w:rsidR="00AC40A8" w:rsidRPr="00604D27" w14:paraId="106C8662" w14:textId="77777777">
        <w:tc>
          <w:tcPr>
            <w:tcW w:w="2873" w:type="dxa"/>
            <w:tcMar>
              <w:top w:w="72" w:type="dxa"/>
              <w:bottom w:w="72" w:type="dxa"/>
            </w:tcMar>
          </w:tcPr>
          <w:p w14:paraId="3F0FDB19" w14:textId="77777777" w:rsidR="00AC40A8" w:rsidRPr="00604D27" w:rsidRDefault="00AC40A8" w:rsidP="00AA5C3F">
            <w:pPr>
              <w:rPr>
                <w:b/>
              </w:rPr>
            </w:pPr>
            <w:r w:rsidRPr="00604D27">
              <w:rPr>
                <w:b/>
              </w:rPr>
              <w:lastRenderedPageBreak/>
              <w:t>Overview</w:t>
            </w:r>
          </w:p>
          <w:p w14:paraId="5E5530B0" w14:textId="77777777" w:rsidR="00AC40A8" w:rsidRPr="00604D27" w:rsidRDefault="00AC40A8" w:rsidP="00AA5C3F">
            <w:pPr>
              <w:rPr>
                <w:b/>
              </w:rPr>
            </w:pPr>
          </w:p>
        </w:tc>
        <w:tc>
          <w:tcPr>
            <w:tcW w:w="6588" w:type="dxa"/>
            <w:tcMar>
              <w:top w:w="72" w:type="dxa"/>
              <w:bottom w:w="72" w:type="dxa"/>
            </w:tcMar>
          </w:tcPr>
          <w:p w14:paraId="0539AB47" w14:textId="75A175AF" w:rsidR="00AC40A8" w:rsidRPr="00604D27" w:rsidRDefault="00AC40A8" w:rsidP="000641C4">
            <w:r w:rsidRPr="00604D27">
              <w:t>T</w:t>
            </w:r>
            <w:r w:rsidR="00F642F7">
              <w:t>he following</w:t>
            </w:r>
            <w:r w:rsidRPr="00604D27">
              <w:t xml:space="preserve"> rules govern the maximum contribution to these account types and</w:t>
            </w:r>
            <w:r w:rsidR="00EC1E86">
              <w:t>,</w:t>
            </w:r>
            <w:r w:rsidRPr="00604D27">
              <w:t xml:space="preserve"> because of the importance of these </w:t>
            </w:r>
            <w:r w:rsidR="006871FA" w:rsidRPr="00604D27">
              <w:t>rules</w:t>
            </w:r>
            <w:r w:rsidR="005E3BA8">
              <w:t>,</w:t>
            </w:r>
            <w:r w:rsidRPr="00604D27">
              <w:t xml:space="preserve"> the numbers in effect for the current year should be memorized. </w:t>
            </w:r>
            <w:r w:rsidR="008E45A4" w:rsidRPr="00604D27">
              <w:rPr>
                <w:b/>
                <w:color w:val="FF0000"/>
              </w:rPr>
              <w:t>Click each rule to learn more.</w:t>
            </w:r>
          </w:p>
        </w:tc>
      </w:tr>
      <w:tr w:rsidR="00AC40A8" w:rsidRPr="00604D27" w14:paraId="4CB46966" w14:textId="77777777">
        <w:tc>
          <w:tcPr>
            <w:tcW w:w="2873" w:type="dxa"/>
            <w:shd w:val="clear" w:color="auto" w:fill="6CA8CD"/>
            <w:tcMar>
              <w:top w:w="72" w:type="dxa"/>
              <w:bottom w:w="72" w:type="dxa"/>
            </w:tcMar>
          </w:tcPr>
          <w:p w14:paraId="2E6C0AEF" w14:textId="77777777" w:rsidR="00AC40A8" w:rsidRPr="00604D27" w:rsidRDefault="00086849" w:rsidP="00AA5C3F">
            <w:r>
              <w:rPr>
                <w:b/>
              </w:rPr>
              <w:t xml:space="preserve">Annual Contribution </w:t>
            </w:r>
            <w:r w:rsidR="00AC40A8">
              <w:rPr>
                <w:b/>
              </w:rPr>
              <w:t>Cannot Exceed</w:t>
            </w:r>
          </w:p>
        </w:tc>
        <w:tc>
          <w:tcPr>
            <w:tcW w:w="6588" w:type="dxa"/>
            <w:tcMar>
              <w:top w:w="72" w:type="dxa"/>
              <w:bottom w:w="72" w:type="dxa"/>
            </w:tcMar>
          </w:tcPr>
          <w:p w14:paraId="01EC488C" w14:textId="77777777" w:rsidR="00AC40A8" w:rsidRPr="00604D27" w:rsidRDefault="00AC40A8" w:rsidP="00AA5C3F">
            <w:r w:rsidRPr="00604D27">
              <w:t>Annual contributions of earned income cannot exceed the following limits: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000" w:firstRow="0" w:lastRow="0" w:firstColumn="0" w:lastColumn="0" w:noHBand="0" w:noVBand="0"/>
            </w:tblPr>
            <w:tblGrid>
              <w:gridCol w:w="1802"/>
              <w:gridCol w:w="2460"/>
              <w:gridCol w:w="2086"/>
            </w:tblGrid>
            <w:tr w:rsidR="00AC40A8" w:rsidRPr="00604D27" w14:paraId="363B7E7D" w14:textId="77777777" w:rsidTr="003A21AD">
              <w:trPr>
                <w:trHeight w:val="305"/>
              </w:trPr>
              <w:tc>
                <w:tcPr>
                  <w:tcW w:w="1464" w:type="dxa"/>
                  <w:shd w:val="clear" w:color="auto" w:fill="DBD9B9"/>
                </w:tcPr>
                <w:p w14:paraId="60A7CE8A" w14:textId="77777777" w:rsidR="00AC40A8" w:rsidRPr="00604D27" w:rsidRDefault="00AC40A8" w:rsidP="00AA5C3F">
                  <w:pPr>
                    <w:jc w:val="center"/>
                    <w:rPr>
                      <w:b/>
                      <w:color w:val="000000"/>
                    </w:rPr>
                  </w:pPr>
                  <w:r w:rsidRPr="00604D27">
                    <w:rPr>
                      <w:b/>
                      <w:color w:val="000000"/>
                    </w:rPr>
                    <w:t>Year</w:t>
                  </w:r>
                </w:p>
              </w:tc>
              <w:tc>
                <w:tcPr>
                  <w:tcW w:w="2000" w:type="dxa"/>
                  <w:shd w:val="clear" w:color="auto" w:fill="DBD9B9"/>
                </w:tcPr>
                <w:p w14:paraId="20AB805E" w14:textId="77777777" w:rsidR="00AC40A8" w:rsidRPr="00604D27" w:rsidRDefault="00AC40A8" w:rsidP="00AA5C3F">
                  <w:pPr>
                    <w:jc w:val="center"/>
                    <w:rPr>
                      <w:b/>
                      <w:color w:val="000000"/>
                    </w:rPr>
                  </w:pPr>
                  <w:r w:rsidRPr="00604D27">
                    <w:rPr>
                      <w:b/>
                      <w:color w:val="000000"/>
                    </w:rPr>
                    <w:t>Annual Limit</w:t>
                  </w:r>
                </w:p>
              </w:tc>
              <w:tc>
                <w:tcPr>
                  <w:tcW w:w="1696" w:type="dxa"/>
                  <w:shd w:val="clear" w:color="auto" w:fill="DBD9B9"/>
                </w:tcPr>
                <w:p w14:paraId="6E6866C5" w14:textId="77777777" w:rsidR="00AC40A8" w:rsidRPr="00604D27" w:rsidRDefault="00AC40A8" w:rsidP="00AA5C3F">
                  <w:pPr>
                    <w:jc w:val="center"/>
                    <w:rPr>
                      <w:b/>
                      <w:color w:val="000000"/>
                    </w:rPr>
                  </w:pPr>
                  <w:r w:rsidRPr="00604D27">
                    <w:rPr>
                      <w:b/>
                      <w:color w:val="000000"/>
                    </w:rPr>
                    <w:t>50 + Catch-Up Limit</w:t>
                  </w:r>
                </w:p>
              </w:tc>
            </w:tr>
            <w:tr w:rsidR="00AC40A8" w:rsidRPr="00604D27" w14:paraId="5B6998F0" w14:textId="77777777" w:rsidTr="003A21AD">
              <w:trPr>
                <w:trHeight w:val="276"/>
              </w:trPr>
              <w:tc>
                <w:tcPr>
                  <w:tcW w:w="1464" w:type="dxa"/>
                  <w:shd w:val="clear" w:color="auto" w:fill="E7E6CF"/>
                </w:tcPr>
                <w:p w14:paraId="2370630B" w14:textId="18119243" w:rsidR="00AC40A8" w:rsidRPr="00604D27" w:rsidRDefault="002D2503" w:rsidP="00066CDB">
                  <w:pPr>
                    <w:jc w:val="center"/>
                  </w:pPr>
                  <w:r>
                    <w:t>2016</w:t>
                  </w:r>
                </w:p>
              </w:tc>
              <w:tc>
                <w:tcPr>
                  <w:tcW w:w="2000" w:type="dxa"/>
                  <w:shd w:val="clear" w:color="auto" w:fill="E7E6CF"/>
                </w:tcPr>
                <w:p w14:paraId="29946A79" w14:textId="03F8A334" w:rsidR="00AC40A8" w:rsidRPr="00604D27" w:rsidRDefault="00AC40A8" w:rsidP="00AA5C3F">
                  <w:pPr>
                    <w:jc w:val="center"/>
                  </w:pPr>
                  <w:r w:rsidRPr="00604D27">
                    <w:t>$5,</w:t>
                  </w:r>
                  <w:r>
                    <w:t>5</w:t>
                  </w:r>
                  <w:r w:rsidRPr="00604D27">
                    <w:t>00</w:t>
                  </w:r>
                  <w:r>
                    <w:t>*</w:t>
                  </w:r>
                </w:p>
              </w:tc>
              <w:tc>
                <w:tcPr>
                  <w:tcW w:w="1696" w:type="dxa"/>
                  <w:shd w:val="clear" w:color="auto" w:fill="E7E6CF"/>
                </w:tcPr>
                <w:p w14:paraId="3DC576C1" w14:textId="77777777" w:rsidR="00AC40A8" w:rsidRPr="00604D27" w:rsidRDefault="00AC40A8" w:rsidP="00AA5C3F">
                  <w:pPr>
                    <w:jc w:val="center"/>
                  </w:pPr>
                  <w:r w:rsidRPr="00604D27">
                    <w:t>$1,000</w:t>
                  </w:r>
                  <w:r>
                    <w:t>*</w:t>
                  </w:r>
                </w:p>
              </w:tc>
            </w:tr>
          </w:tbl>
          <w:p w14:paraId="7D1D0C52" w14:textId="77777777" w:rsidR="00AC40A8" w:rsidRPr="00F964D3" w:rsidRDefault="00AC40A8" w:rsidP="00AA5C3F">
            <w:pPr>
              <w:rPr>
                <w:i/>
                <w:sz w:val="16"/>
                <w:szCs w:val="16"/>
              </w:rPr>
            </w:pPr>
            <w:r w:rsidRPr="00F964D3">
              <w:rPr>
                <w:i/>
                <w:sz w:val="16"/>
                <w:szCs w:val="16"/>
              </w:rPr>
              <w:t>* Annual limits indexed for inflation, in $500 increments.</w:t>
            </w:r>
          </w:p>
          <w:p w14:paraId="5E6E9D86" w14:textId="3F59889A" w:rsidR="00AC40A8" w:rsidRPr="00604D27" w:rsidRDefault="00AC40A8" w:rsidP="00AA5C3F">
            <w:r w:rsidRPr="00604D27">
              <w:t xml:space="preserve">These maximums are for each individual. Thus, married individuals </w:t>
            </w:r>
            <w:r w:rsidRPr="00604D27">
              <w:rPr>
                <w:i/>
              </w:rPr>
              <w:t>each</w:t>
            </w:r>
            <w:r w:rsidRPr="00604D27">
              <w:t xml:space="preserve"> receive this limit, even if one spouse is providing funding for the other</w:t>
            </w:r>
            <w:r w:rsidR="005E3BA8">
              <w:t xml:space="preserve"> through the S</w:t>
            </w:r>
            <w:r>
              <w:t>pousal IRA rules</w:t>
            </w:r>
            <w:r w:rsidRPr="00604D27">
              <w:t xml:space="preserve">. </w:t>
            </w:r>
          </w:p>
          <w:p w14:paraId="549E01B5" w14:textId="77777777" w:rsidR="00AC40A8" w:rsidRPr="00604D27" w:rsidRDefault="00AC40A8" w:rsidP="00AA5C3F">
            <w:r w:rsidRPr="00604D27">
              <w:t>An additional $1,000 catch-up contribution is available for individuals age 50 and over (as of the end of the tax year).</w:t>
            </w:r>
          </w:p>
        </w:tc>
      </w:tr>
      <w:tr w:rsidR="00AC40A8" w:rsidRPr="00604D27" w14:paraId="74744F76" w14:textId="77777777">
        <w:tc>
          <w:tcPr>
            <w:tcW w:w="2873" w:type="dxa"/>
            <w:shd w:val="clear" w:color="auto" w:fill="6CA8CD"/>
            <w:tcMar>
              <w:top w:w="72" w:type="dxa"/>
              <w:bottom w:w="72" w:type="dxa"/>
            </w:tcMar>
          </w:tcPr>
          <w:p w14:paraId="403C566E" w14:textId="77777777" w:rsidR="00AC40A8" w:rsidRPr="00604D27" w:rsidRDefault="00AC40A8" w:rsidP="00AA5C3F">
            <w:r>
              <w:rPr>
                <w:b/>
              </w:rPr>
              <w:t>Multiple IRAs</w:t>
            </w:r>
          </w:p>
        </w:tc>
        <w:tc>
          <w:tcPr>
            <w:tcW w:w="6588" w:type="dxa"/>
            <w:tcMar>
              <w:top w:w="72" w:type="dxa"/>
              <w:bottom w:w="72" w:type="dxa"/>
            </w:tcMar>
          </w:tcPr>
          <w:p w14:paraId="65CC94C6" w14:textId="77777777" w:rsidR="00AC40A8" w:rsidRPr="00604D27" w:rsidRDefault="00AC40A8" w:rsidP="00AA5C3F">
            <w:r w:rsidRPr="00604D27">
              <w:t>Contributions to multiple IRA accounts must be aggregated per taxpayer for purposes of complying with the above limits.  In other words, the limit is for all Traditional and Roth accounts combined, not for each one separately.</w:t>
            </w:r>
          </w:p>
        </w:tc>
      </w:tr>
    </w:tbl>
    <w:p w14:paraId="2D195269" w14:textId="77777777" w:rsidR="00AC40A8" w:rsidRPr="00604D27" w:rsidRDefault="00AC40A8" w:rsidP="00F964D3">
      <w:pPr>
        <w:spacing w:before="0" w:after="0"/>
      </w:pPr>
    </w:p>
    <w:p w14:paraId="3F7B5964" w14:textId="77777777" w:rsidR="00AC40A8" w:rsidRDefault="00AC40A8" w:rsidP="00E54B49">
      <w:pPr>
        <w:pStyle w:val="Sub-Headings"/>
      </w:pPr>
      <w:r>
        <w:t>Try It!</w:t>
      </w:r>
    </w:p>
    <w:p w14:paraId="7A212399" w14:textId="77777777" w:rsidR="00AC40A8" w:rsidRPr="00604D27" w:rsidRDefault="00AC40A8" w:rsidP="00F964D3">
      <w:r w:rsidRPr="00604D27">
        <w:rPr>
          <w:b/>
          <w:color w:val="FF0000"/>
        </w:rPr>
        <w:t>Using the tables above, answer the following questions, being sure to read the respo</w:t>
      </w:r>
      <w:r>
        <w:rPr>
          <w:b/>
          <w:color w:val="FF0000"/>
        </w:rPr>
        <w:t>nses if you answer incorrectly.</w:t>
      </w:r>
    </w:p>
    <w:p w14:paraId="645F8F5A" w14:textId="1F5D2B3D" w:rsidR="008B582D" w:rsidRPr="00F964D3" w:rsidRDefault="008B582D" w:rsidP="00822DE7">
      <w:pPr>
        <w:numPr>
          <w:ilvl w:val="0"/>
          <w:numId w:val="20"/>
        </w:numPr>
        <w:ind w:left="360"/>
        <w:rPr>
          <w:b/>
        </w:rPr>
      </w:pPr>
      <w:r w:rsidRPr="00F964D3">
        <w:rPr>
          <w:b/>
        </w:rPr>
        <w:t xml:space="preserve">In </w:t>
      </w:r>
      <w:r w:rsidR="002D2503">
        <w:rPr>
          <w:b/>
        </w:rPr>
        <w:t>2016</w:t>
      </w:r>
      <w:r w:rsidRPr="00F964D3">
        <w:rPr>
          <w:b/>
        </w:rPr>
        <w:t>, a single individual, aged 57, has taxable compensation of $1,500 plus dividends and interest of $30,000.  The maximum this individual can contribute</w:t>
      </w:r>
      <w:r>
        <w:rPr>
          <w:b/>
        </w:rPr>
        <w:t xml:space="preserve"> for </w:t>
      </w:r>
      <w:r w:rsidR="002D2503">
        <w:rPr>
          <w:b/>
        </w:rPr>
        <w:t>2016</w:t>
      </w:r>
      <w:r w:rsidRPr="00F964D3">
        <w:rPr>
          <w:b/>
        </w:rPr>
        <w:t xml:space="preserve"> </w:t>
      </w:r>
      <w:r>
        <w:rPr>
          <w:b/>
        </w:rPr>
        <w:t xml:space="preserve">to an IRA </w:t>
      </w:r>
      <w:r w:rsidRPr="00F964D3">
        <w:rPr>
          <w:b/>
        </w:rPr>
        <w:t>is:</w:t>
      </w:r>
    </w:p>
    <w:p w14:paraId="410B69C1" w14:textId="77777777" w:rsidR="008B582D" w:rsidRPr="00E54B49" w:rsidRDefault="008B582D" w:rsidP="00822DE7">
      <w:pPr>
        <w:numPr>
          <w:ilvl w:val="0"/>
          <w:numId w:val="11"/>
        </w:numPr>
      </w:pPr>
      <w:r w:rsidRPr="00E54B49">
        <w:t>$0</w:t>
      </w:r>
    </w:p>
    <w:p w14:paraId="6DE4E6D4" w14:textId="77777777" w:rsidR="008B582D" w:rsidRPr="00E54B49" w:rsidRDefault="008B582D" w:rsidP="008B582D">
      <w:pPr>
        <w:pStyle w:val="ReviewAnswer"/>
      </w:pPr>
      <w:r w:rsidRPr="009A6852">
        <w:rPr>
          <w:rStyle w:val="Strong"/>
        </w:rPr>
        <w:t>Incorrect</w:t>
      </w:r>
      <w:r w:rsidRPr="00E54B49">
        <w:t>.  Try again.</w:t>
      </w:r>
    </w:p>
    <w:p w14:paraId="01784B6E" w14:textId="77777777" w:rsidR="008B582D" w:rsidRPr="00F964D3" w:rsidRDefault="008B582D" w:rsidP="00822DE7">
      <w:pPr>
        <w:numPr>
          <w:ilvl w:val="0"/>
          <w:numId w:val="11"/>
        </w:numPr>
        <w:rPr>
          <w:b/>
        </w:rPr>
      </w:pPr>
      <w:r w:rsidRPr="00F964D3">
        <w:rPr>
          <w:b/>
        </w:rPr>
        <w:t>$1,500</w:t>
      </w:r>
    </w:p>
    <w:p w14:paraId="7EF26A89" w14:textId="54507E21" w:rsidR="008B582D" w:rsidRPr="00E54B49" w:rsidRDefault="008B582D" w:rsidP="008B582D">
      <w:pPr>
        <w:pStyle w:val="ReviewAnswer"/>
      </w:pPr>
      <w:r w:rsidRPr="009A6852">
        <w:rPr>
          <w:rStyle w:val="Strong"/>
        </w:rPr>
        <w:t>Correct</w:t>
      </w:r>
      <w:r w:rsidRPr="00E54B49">
        <w:t xml:space="preserve">.  The </w:t>
      </w:r>
      <w:r w:rsidR="002D2503">
        <w:t>2016</w:t>
      </w:r>
      <w:r>
        <w:t xml:space="preserve"> </w:t>
      </w:r>
      <w:r w:rsidRPr="00E54B49">
        <w:t>contribution must be the lesser of $6,</w:t>
      </w:r>
      <w:r>
        <w:t>5</w:t>
      </w:r>
      <w:r w:rsidRPr="00E54B49">
        <w:t>00 (the $5,</w:t>
      </w:r>
      <w:r>
        <w:t>5</w:t>
      </w:r>
      <w:r w:rsidRPr="00E54B49">
        <w:t xml:space="preserve">00 limit plus the $1,000 catch-up for persons over 50) or taxable compensation.  Since the individual only has $1,500 of </w:t>
      </w:r>
      <w:r>
        <w:t xml:space="preserve">taxable </w:t>
      </w:r>
      <w:r w:rsidRPr="00E54B49">
        <w:t>compensation, then $1,500 is the maximum the individual can contribute.</w:t>
      </w:r>
    </w:p>
    <w:p w14:paraId="34EE1716" w14:textId="49C48855" w:rsidR="008B582D" w:rsidRPr="00E54B49" w:rsidRDefault="008B582D" w:rsidP="00822DE7">
      <w:pPr>
        <w:numPr>
          <w:ilvl w:val="0"/>
          <w:numId w:val="11"/>
        </w:numPr>
      </w:pPr>
      <w:r w:rsidRPr="00E54B49">
        <w:t>$5,</w:t>
      </w:r>
      <w:r>
        <w:t>5</w:t>
      </w:r>
      <w:r w:rsidRPr="00E54B49">
        <w:t>00</w:t>
      </w:r>
    </w:p>
    <w:p w14:paraId="2CF87C0A" w14:textId="77777777" w:rsidR="008B582D" w:rsidRPr="00E54B49" w:rsidRDefault="008B582D" w:rsidP="008B582D">
      <w:pPr>
        <w:pStyle w:val="ReviewAnswer"/>
      </w:pPr>
      <w:r w:rsidRPr="009A6852">
        <w:rPr>
          <w:rStyle w:val="Strong"/>
        </w:rPr>
        <w:t>Incorrect</w:t>
      </w:r>
      <w:r w:rsidRPr="00E54B49">
        <w:t>.  Try again.</w:t>
      </w:r>
    </w:p>
    <w:p w14:paraId="53BB4554" w14:textId="77777777" w:rsidR="008B582D" w:rsidRPr="00E54B49" w:rsidRDefault="008B582D" w:rsidP="00822DE7">
      <w:pPr>
        <w:numPr>
          <w:ilvl w:val="0"/>
          <w:numId w:val="11"/>
        </w:numPr>
      </w:pPr>
      <w:r w:rsidRPr="00E54B49">
        <w:t>$6,</w:t>
      </w:r>
      <w:r>
        <w:t>5</w:t>
      </w:r>
      <w:r w:rsidRPr="00E54B49">
        <w:t>00</w:t>
      </w:r>
    </w:p>
    <w:p w14:paraId="525F7C1C" w14:textId="77777777" w:rsidR="008B582D" w:rsidRPr="00E54B49" w:rsidRDefault="008B582D" w:rsidP="008B582D">
      <w:pPr>
        <w:pStyle w:val="ReviewAnswer"/>
      </w:pPr>
      <w:r w:rsidRPr="009A6852">
        <w:rPr>
          <w:rStyle w:val="Strong"/>
        </w:rPr>
        <w:t>Incorrect</w:t>
      </w:r>
      <w:r w:rsidRPr="00E54B49">
        <w:t>.  Try again.</w:t>
      </w:r>
    </w:p>
    <w:p w14:paraId="34291AC9" w14:textId="36B666EC" w:rsidR="008B582D" w:rsidRPr="00F964D3" w:rsidRDefault="008B582D" w:rsidP="00822DE7">
      <w:pPr>
        <w:numPr>
          <w:ilvl w:val="0"/>
          <w:numId w:val="20"/>
        </w:numPr>
        <w:ind w:left="360"/>
        <w:rPr>
          <w:b/>
        </w:rPr>
      </w:pPr>
      <w:r w:rsidRPr="00F964D3">
        <w:rPr>
          <w:b/>
          <w:bCs/>
        </w:rPr>
        <w:lastRenderedPageBreak/>
        <w:t xml:space="preserve">A married couple, filing a joint income tax return, has </w:t>
      </w:r>
      <w:r w:rsidR="00D9184D" w:rsidRPr="00F964D3">
        <w:rPr>
          <w:b/>
          <w:bCs/>
        </w:rPr>
        <w:t>Modified Adjusted Gross Income</w:t>
      </w:r>
      <w:r w:rsidRPr="00F964D3">
        <w:rPr>
          <w:b/>
          <w:bCs/>
        </w:rPr>
        <w:t xml:space="preserve"> (MAGI) of $85,000 for </w:t>
      </w:r>
      <w:r w:rsidR="002D2503">
        <w:rPr>
          <w:b/>
          <w:bCs/>
        </w:rPr>
        <w:t>2016</w:t>
      </w:r>
      <w:r w:rsidRPr="00F964D3">
        <w:rPr>
          <w:b/>
          <w:bCs/>
        </w:rPr>
        <w:t xml:space="preserve">. His taxable compensation is $84,000. Her taxable compensation is $1,000, which she placed in a Traditional IRA. She also has a Roth IRA. If the wife is 45 years of age, what is the maximum the husband can contribute to the wife’s Roth IRA in </w:t>
      </w:r>
      <w:r w:rsidR="002D2503">
        <w:rPr>
          <w:b/>
          <w:bCs/>
        </w:rPr>
        <w:t>2016</w:t>
      </w:r>
      <w:r w:rsidRPr="00F964D3">
        <w:rPr>
          <w:b/>
          <w:bCs/>
        </w:rPr>
        <w:t>?</w:t>
      </w:r>
    </w:p>
    <w:p w14:paraId="27F557FA" w14:textId="77777777" w:rsidR="008B582D" w:rsidRPr="007F1240" w:rsidRDefault="008B582D" w:rsidP="00822DE7">
      <w:pPr>
        <w:numPr>
          <w:ilvl w:val="0"/>
          <w:numId w:val="11"/>
        </w:numPr>
      </w:pPr>
      <w:r w:rsidRPr="007F1240">
        <w:t>$0</w:t>
      </w:r>
    </w:p>
    <w:p w14:paraId="0A3CEC30" w14:textId="77777777" w:rsidR="008B582D" w:rsidRPr="007F1240" w:rsidRDefault="008B582D" w:rsidP="008B582D">
      <w:pPr>
        <w:pStyle w:val="ReviewAnswer"/>
      </w:pPr>
      <w:r w:rsidRPr="002518FC">
        <w:rPr>
          <w:rStyle w:val="Strong"/>
        </w:rPr>
        <w:t>Incorrect</w:t>
      </w:r>
      <w:r w:rsidRPr="007F1240">
        <w:t>.  Try again.</w:t>
      </w:r>
    </w:p>
    <w:p w14:paraId="5E3DA329" w14:textId="77777777" w:rsidR="008B582D" w:rsidRPr="00F964D3" w:rsidRDefault="008B582D" w:rsidP="00822DE7">
      <w:pPr>
        <w:numPr>
          <w:ilvl w:val="0"/>
          <w:numId w:val="11"/>
        </w:numPr>
        <w:rPr>
          <w:b/>
        </w:rPr>
      </w:pPr>
      <w:r w:rsidRPr="00F964D3">
        <w:rPr>
          <w:b/>
        </w:rPr>
        <w:t>$4,</w:t>
      </w:r>
      <w:r>
        <w:rPr>
          <w:b/>
        </w:rPr>
        <w:t>5</w:t>
      </w:r>
      <w:r w:rsidRPr="00F964D3">
        <w:rPr>
          <w:b/>
        </w:rPr>
        <w:t>00</w:t>
      </w:r>
    </w:p>
    <w:p w14:paraId="7DA93ECC" w14:textId="0E973910" w:rsidR="008B582D" w:rsidRPr="007F1240" w:rsidRDefault="008B582D" w:rsidP="008B582D">
      <w:pPr>
        <w:pStyle w:val="ReviewAnswer"/>
      </w:pPr>
      <w:r w:rsidRPr="002518FC">
        <w:rPr>
          <w:rStyle w:val="Strong"/>
        </w:rPr>
        <w:t>Correct</w:t>
      </w:r>
      <w:r w:rsidRPr="007F1240">
        <w:t xml:space="preserve">. When a married couple files a joint return, the taxable compensation of one spouse can be used to supplement the taxable compensation of the other spouse for the purpose of satisfying the contribution limits. But the contributions for both IRAs must be aggregated. </w:t>
      </w:r>
      <w:r>
        <w:t>T</w:t>
      </w:r>
      <w:r w:rsidRPr="007F1240">
        <w:t xml:space="preserve">he limit for </w:t>
      </w:r>
      <w:r w:rsidR="002D2503">
        <w:t>2016</w:t>
      </w:r>
      <w:r w:rsidRPr="007F1240">
        <w:t xml:space="preserve"> is $5,</w:t>
      </w:r>
      <w:r>
        <w:t>5</w:t>
      </w:r>
      <w:r w:rsidRPr="007F1240">
        <w:t>00 and she has already contributed $1,000 to her Traditional IRA, th</w:t>
      </w:r>
      <w:r>
        <w:t>us</w:t>
      </w:r>
      <w:r w:rsidRPr="007F1240">
        <w:t xml:space="preserve"> the maximum contribution that can be made to her Roth IRA is $4,</w:t>
      </w:r>
      <w:r>
        <w:t>5</w:t>
      </w:r>
      <w:r w:rsidRPr="007F1240">
        <w:t>00.</w:t>
      </w:r>
    </w:p>
    <w:p w14:paraId="60DB0F52" w14:textId="2A767EAB" w:rsidR="008B582D" w:rsidRPr="007F1240" w:rsidRDefault="008B582D" w:rsidP="00822DE7">
      <w:pPr>
        <w:numPr>
          <w:ilvl w:val="0"/>
          <w:numId w:val="11"/>
        </w:numPr>
      </w:pPr>
      <w:r w:rsidRPr="007F1240">
        <w:t>$5,</w:t>
      </w:r>
      <w:r>
        <w:t>5</w:t>
      </w:r>
      <w:r w:rsidRPr="007F1240">
        <w:t>00</w:t>
      </w:r>
    </w:p>
    <w:p w14:paraId="4EE79654" w14:textId="77777777" w:rsidR="008B582D" w:rsidRPr="007F1240" w:rsidRDefault="008B582D" w:rsidP="008B582D">
      <w:pPr>
        <w:pStyle w:val="ReviewAnswer"/>
      </w:pPr>
      <w:r w:rsidRPr="002518FC">
        <w:rPr>
          <w:rStyle w:val="Strong"/>
        </w:rPr>
        <w:t>Incorrect</w:t>
      </w:r>
      <w:r w:rsidRPr="007F1240">
        <w:t>.  Try again.</w:t>
      </w:r>
    </w:p>
    <w:p w14:paraId="257EF0AE" w14:textId="5A74DFAC" w:rsidR="008B582D" w:rsidRPr="00F964D3" w:rsidRDefault="008B582D" w:rsidP="00822DE7">
      <w:pPr>
        <w:numPr>
          <w:ilvl w:val="0"/>
          <w:numId w:val="20"/>
        </w:numPr>
        <w:ind w:left="360"/>
        <w:rPr>
          <w:b/>
        </w:rPr>
      </w:pPr>
      <w:r w:rsidRPr="00F964D3">
        <w:rPr>
          <w:b/>
        </w:rPr>
        <w:t xml:space="preserve">A married couple, both aged 55, file separate income tax returns. He has no taxable compensation for </w:t>
      </w:r>
      <w:r w:rsidR="002D2503">
        <w:rPr>
          <w:b/>
        </w:rPr>
        <w:t>2016</w:t>
      </w:r>
      <w:r w:rsidRPr="00F964D3">
        <w:rPr>
          <w:b/>
        </w:rPr>
        <w:t xml:space="preserve"> and no modified AGI; she has $28,000 in </w:t>
      </w:r>
      <w:r>
        <w:rPr>
          <w:b/>
        </w:rPr>
        <w:t xml:space="preserve">taxable </w:t>
      </w:r>
      <w:r w:rsidRPr="00F964D3">
        <w:rPr>
          <w:b/>
        </w:rPr>
        <w:t>compensation and $29,000 of modified AGI. What is the maximum that can be contributed to his Traditional IRA?</w:t>
      </w:r>
    </w:p>
    <w:p w14:paraId="11E406B9" w14:textId="77777777" w:rsidR="008B582D" w:rsidRPr="00F964D3" w:rsidRDefault="008B582D" w:rsidP="00822DE7">
      <w:pPr>
        <w:numPr>
          <w:ilvl w:val="0"/>
          <w:numId w:val="11"/>
        </w:numPr>
        <w:rPr>
          <w:b/>
        </w:rPr>
      </w:pPr>
      <w:r w:rsidRPr="00F964D3">
        <w:rPr>
          <w:b/>
        </w:rPr>
        <w:t>$0</w:t>
      </w:r>
    </w:p>
    <w:p w14:paraId="73E2B3EE" w14:textId="50B5A08D" w:rsidR="008B582D" w:rsidRPr="007F1E12" w:rsidRDefault="008B582D" w:rsidP="008B582D">
      <w:pPr>
        <w:pStyle w:val="ReviewAnswer"/>
      </w:pPr>
      <w:r w:rsidRPr="00E96A94">
        <w:rPr>
          <w:rStyle w:val="Strong"/>
        </w:rPr>
        <w:t>Correct</w:t>
      </w:r>
      <w:r w:rsidRPr="007F1E12">
        <w:t>. They must file a joint return for her taxable compensation to be used in determining the contribution limit to his account. Had they done so, she could have contributed up to $6,</w:t>
      </w:r>
      <w:r>
        <w:t>5</w:t>
      </w:r>
      <w:r w:rsidRPr="007F1E12">
        <w:t xml:space="preserve">00 to his IRA, since he is 55 years of age. But since they filed separately and he has no taxable compensation, no contribution can be made for </w:t>
      </w:r>
      <w:r w:rsidR="002D2503">
        <w:t>2016</w:t>
      </w:r>
      <w:r w:rsidR="00D9184D">
        <w:t xml:space="preserve"> into his IRA. Note: S</w:t>
      </w:r>
      <w:r w:rsidRPr="007F1E12">
        <w:t>he can contribute up to $6,</w:t>
      </w:r>
      <w:r>
        <w:t>5</w:t>
      </w:r>
      <w:r w:rsidRPr="007F1E12">
        <w:t>00 into her IRA(s).</w:t>
      </w:r>
    </w:p>
    <w:p w14:paraId="5B1DB1A9" w14:textId="2CB9C161" w:rsidR="008B582D" w:rsidRPr="007F1E12" w:rsidRDefault="008B582D" w:rsidP="00822DE7">
      <w:pPr>
        <w:numPr>
          <w:ilvl w:val="0"/>
          <w:numId w:val="11"/>
        </w:numPr>
      </w:pPr>
      <w:r w:rsidRPr="007F1E12">
        <w:t>$5,</w:t>
      </w:r>
      <w:r>
        <w:t>5</w:t>
      </w:r>
      <w:r w:rsidRPr="007F1E12">
        <w:t>00</w:t>
      </w:r>
    </w:p>
    <w:p w14:paraId="1D359882" w14:textId="77777777" w:rsidR="008B582D" w:rsidRPr="007F1E12" w:rsidRDefault="008B582D" w:rsidP="008B582D">
      <w:pPr>
        <w:pStyle w:val="ReviewAnswer"/>
      </w:pPr>
      <w:r w:rsidRPr="00E96A94">
        <w:rPr>
          <w:rStyle w:val="Strong"/>
        </w:rPr>
        <w:t>Incorrect</w:t>
      </w:r>
      <w:r>
        <w:t>.  Try again.</w:t>
      </w:r>
    </w:p>
    <w:p w14:paraId="2C286D39" w14:textId="77777777" w:rsidR="008B582D" w:rsidRPr="007F1E12" w:rsidRDefault="008B582D" w:rsidP="00822DE7">
      <w:pPr>
        <w:numPr>
          <w:ilvl w:val="0"/>
          <w:numId w:val="11"/>
        </w:numPr>
      </w:pPr>
      <w:r w:rsidRPr="007F1E12">
        <w:t>$6,</w:t>
      </w:r>
      <w:r>
        <w:t>5</w:t>
      </w:r>
      <w:r w:rsidRPr="007F1E12">
        <w:t>00</w:t>
      </w:r>
    </w:p>
    <w:p w14:paraId="25F2EDD0" w14:textId="77777777" w:rsidR="008B582D" w:rsidRPr="00F964D3" w:rsidRDefault="008B582D" w:rsidP="008B582D">
      <w:pPr>
        <w:pStyle w:val="ReviewAnswer"/>
      </w:pPr>
      <w:r w:rsidRPr="00E96A94">
        <w:rPr>
          <w:rStyle w:val="Strong"/>
        </w:rPr>
        <w:t>Incorrect</w:t>
      </w:r>
      <w:r w:rsidRPr="007F1E12">
        <w:t>.  Try again.</w:t>
      </w:r>
    </w:p>
    <w:p w14:paraId="739A10B0" w14:textId="77777777" w:rsidR="008B582D" w:rsidRPr="00F964D3" w:rsidRDefault="008B582D" w:rsidP="00822DE7">
      <w:pPr>
        <w:numPr>
          <w:ilvl w:val="0"/>
          <w:numId w:val="20"/>
        </w:numPr>
        <w:ind w:left="360"/>
        <w:rPr>
          <w:b/>
        </w:rPr>
      </w:pPr>
      <w:r>
        <w:rPr>
          <w:b/>
        </w:rPr>
        <w:t xml:space="preserve">Professor </w:t>
      </w:r>
      <w:proofErr w:type="spellStart"/>
      <w:r>
        <w:rPr>
          <w:b/>
        </w:rPr>
        <w:t>Moriarity</w:t>
      </w:r>
      <w:proofErr w:type="spellEnd"/>
      <w:r>
        <w:rPr>
          <w:b/>
        </w:rPr>
        <w:t xml:space="preserve"> is your client. He is eligible for either a Roth IRA contribution or a </w:t>
      </w:r>
      <w:r w:rsidR="000C589C">
        <w:rPr>
          <w:b/>
        </w:rPr>
        <w:t xml:space="preserve">deductible </w:t>
      </w:r>
      <w:r>
        <w:rPr>
          <w:b/>
        </w:rPr>
        <w:t>Traditional IRA contribution. Which of the following circumstances is LEAST likely to favor a contribution to a Roth IRA</w:t>
      </w:r>
      <w:r w:rsidR="001B639D">
        <w:rPr>
          <w:b/>
        </w:rPr>
        <w:t>?</w:t>
      </w:r>
      <w:r>
        <w:rPr>
          <w:b/>
        </w:rPr>
        <w:t xml:space="preserve"> </w:t>
      </w:r>
    </w:p>
    <w:p w14:paraId="787F1EC1" w14:textId="77777777" w:rsidR="008B582D" w:rsidRDefault="008B582D" w:rsidP="00822DE7">
      <w:pPr>
        <w:numPr>
          <w:ilvl w:val="0"/>
          <w:numId w:val="21"/>
        </w:numPr>
      </w:pPr>
      <w:r>
        <w:t>His income tax rates in retirement will be higher than current year rates.</w:t>
      </w:r>
    </w:p>
    <w:p w14:paraId="3FCBC4D4" w14:textId="2B6A3EA8" w:rsidR="008B582D" w:rsidRPr="007F1240" w:rsidRDefault="008B582D" w:rsidP="00D9184D">
      <w:pPr>
        <w:pStyle w:val="ReviewAnswer"/>
      </w:pPr>
      <w:r w:rsidRPr="002518FC">
        <w:rPr>
          <w:rStyle w:val="Strong"/>
        </w:rPr>
        <w:t>Incorrect</w:t>
      </w:r>
      <w:r>
        <w:t xml:space="preserve">.  </w:t>
      </w:r>
      <w:r w:rsidRPr="007F1E12">
        <w:t>Try again.</w:t>
      </w:r>
    </w:p>
    <w:p w14:paraId="074AD674" w14:textId="77777777" w:rsidR="008B582D" w:rsidRDefault="000C589C" w:rsidP="00822DE7">
      <w:pPr>
        <w:numPr>
          <w:ilvl w:val="0"/>
          <w:numId w:val="21"/>
        </w:numPr>
      </w:pPr>
      <w:r>
        <w:t>His income tax rates in retirement will be lower than current year rates.</w:t>
      </w:r>
    </w:p>
    <w:p w14:paraId="5D11E705" w14:textId="4E2CBEE6" w:rsidR="008B582D" w:rsidRDefault="008B582D" w:rsidP="00D9184D">
      <w:pPr>
        <w:pStyle w:val="ReviewAnswer"/>
      </w:pPr>
      <w:r w:rsidRPr="00E96A94">
        <w:rPr>
          <w:rStyle w:val="Strong"/>
        </w:rPr>
        <w:t>Correct</w:t>
      </w:r>
      <w:r w:rsidRPr="007F1E12">
        <w:t xml:space="preserve">. </w:t>
      </w:r>
      <w:r w:rsidR="000C589C">
        <w:t xml:space="preserve">Paying relatively high income tax rates now to produce </w:t>
      </w:r>
      <w:r w:rsidR="006871FA">
        <w:t>tax-free</w:t>
      </w:r>
      <w:r w:rsidR="00D9184D">
        <w:t xml:space="preserve"> </w:t>
      </w:r>
      <w:r w:rsidR="000C589C">
        <w:t>income at relatively low income tax rates in the future will reduce his after</w:t>
      </w:r>
      <w:r w:rsidR="00D9184D">
        <w:t xml:space="preserve">-tax </w:t>
      </w:r>
      <w:r w:rsidR="000C589C">
        <w:t xml:space="preserve">retirement income. </w:t>
      </w:r>
    </w:p>
    <w:p w14:paraId="12D8A494" w14:textId="77777777" w:rsidR="000C589C" w:rsidRDefault="000C589C" w:rsidP="00822DE7">
      <w:pPr>
        <w:numPr>
          <w:ilvl w:val="0"/>
          <w:numId w:val="21"/>
        </w:numPr>
      </w:pPr>
      <w:r>
        <w:t>His income tax rates in retirement will be the same as current year rates.</w:t>
      </w:r>
    </w:p>
    <w:p w14:paraId="1C2E7B9D" w14:textId="25F27C3D" w:rsidR="00AC40A8" w:rsidRPr="00931A82" w:rsidRDefault="008B582D" w:rsidP="002875A5">
      <w:pPr>
        <w:pStyle w:val="ReviewAnswer"/>
      </w:pPr>
      <w:r w:rsidRPr="002518FC">
        <w:rPr>
          <w:rStyle w:val="Strong"/>
        </w:rPr>
        <w:t>Incorrect</w:t>
      </w:r>
      <w:r>
        <w:t>.  Try again.</w:t>
      </w:r>
    </w:p>
    <w:p w14:paraId="3E48F234" w14:textId="77777777" w:rsidR="00AC40A8" w:rsidRDefault="00AC40A8" w:rsidP="004344CA">
      <w:pPr>
        <w:pStyle w:val="Heading2"/>
      </w:pPr>
      <w:r w:rsidRPr="00B156B6">
        <w:rPr>
          <w:sz w:val="24"/>
          <w:szCs w:val="24"/>
        </w:rPr>
        <w:br w:type="page"/>
      </w:r>
      <w:r w:rsidRPr="002E10CB">
        <w:lastRenderedPageBreak/>
        <w:t>Excess Contributions</w:t>
      </w:r>
    </w:p>
    <w:p w14:paraId="0F808943" w14:textId="77777777" w:rsidR="00AC40A8" w:rsidRDefault="00AC40A8" w:rsidP="001C3493">
      <w:r w:rsidRPr="009B45FF">
        <w:t xml:space="preserve">An </w:t>
      </w:r>
      <w:r w:rsidRPr="009B45FF">
        <w:rPr>
          <w:b/>
          <w:i/>
        </w:rPr>
        <w:t>excess contribution</w:t>
      </w:r>
      <w:r w:rsidRPr="009B45FF">
        <w:t xml:space="preserve"> occurs for any year in which IRA contribut</w:t>
      </w:r>
      <w:r>
        <w:t>ions exceed the amount allowed.</w:t>
      </w:r>
      <w:r w:rsidRPr="009B45FF">
        <w:t xml:space="preserve"> </w:t>
      </w:r>
      <w:r>
        <w:t>Thus, an excess contribution is an amount that is more than the smaller of:</w:t>
      </w:r>
    </w:p>
    <w:p w14:paraId="511E970C" w14:textId="77777777" w:rsidR="00AC40A8" w:rsidRDefault="00AC40A8" w:rsidP="00822DE7">
      <w:pPr>
        <w:numPr>
          <w:ilvl w:val="0"/>
          <w:numId w:val="43"/>
        </w:numPr>
      </w:pPr>
      <w:r>
        <w:t>Taxable compensation, or</w:t>
      </w:r>
    </w:p>
    <w:p w14:paraId="1D957AAF" w14:textId="62DD1D9C" w:rsidR="00AC40A8" w:rsidRDefault="00AC40A8" w:rsidP="00822DE7">
      <w:pPr>
        <w:numPr>
          <w:ilvl w:val="0"/>
          <w:numId w:val="43"/>
        </w:numPr>
      </w:pPr>
      <w:r>
        <w:t>The maximum annual contribution limit ($5,500</w:t>
      </w:r>
      <w:r w:rsidR="000D0F8D">
        <w:t xml:space="preserve"> </w:t>
      </w:r>
      <w:r>
        <w:t xml:space="preserve">for </w:t>
      </w:r>
      <w:r w:rsidR="002D2503">
        <w:t>2016</w:t>
      </w:r>
      <w:r>
        <w:t>; $6,500 if age 50 or older).</w:t>
      </w:r>
    </w:p>
    <w:p w14:paraId="0A903E74" w14:textId="77777777" w:rsidR="00AC40A8" w:rsidRDefault="00AC40A8" w:rsidP="001C3493">
      <w:r w:rsidRPr="009B45FF">
        <w:t xml:space="preserve">There is a 6% </w:t>
      </w:r>
      <w:r>
        <w:t xml:space="preserve">annual </w:t>
      </w:r>
      <w:r w:rsidRPr="009B45FF">
        <w:t>excise tax penalty on excess contributions to an IRA</w:t>
      </w:r>
      <w:r>
        <w:t xml:space="preserve">. This penalty can be avoided if the excess contribution and any earnings attributable to the excess contribution are removed by the due date (including extensions) of the tax return for the year of the contribution. </w:t>
      </w:r>
    </w:p>
    <w:p w14:paraId="5AB8A86E" w14:textId="77777777" w:rsidR="00AC40A8" w:rsidRDefault="00AC40A8" w:rsidP="001C3493">
      <w:r>
        <w:t>If the excess contribution is not removed by the due date of the tax return (including extensions) for the year of the contribution, then it is subject to a 6% penalty for that year and for EACH successive year in which the excess contribution remains in the IRA.</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CC"/>
        <w:tblLook w:val="04A0" w:firstRow="1" w:lastRow="0" w:firstColumn="1" w:lastColumn="0" w:noHBand="0" w:noVBand="1"/>
      </w:tblPr>
      <w:tblGrid>
        <w:gridCol w:w="8595"/>
      </w:tblGrid>
      <w:tr w:rsidR="00AC40A8" w14:paraId="77D7C8C9" w14:textId="77777777" w:rsidTr="001C3493">
        <w:trPr>
          <w:jc w:val="center"/>
        </w:trPr>
        <w:tc>
          <w:tcPr>
            <w:tcW w:w="8595" w:type="dxa"/>
            <w:shd w:val="clear" w:color="auto" w:fill="FFFFCC"/>
          </w:tcPr>
          <w:p w14:paraId="792257F4" w14:textId="77777777" w:rsidR="00AC40A8" w:rsidRPr="00021858" w:rsidRDefault="00AC40A8" w:rsidP="001C3493">
            <w:pPr>
              <w:rPr>
                <w:rStyle w:val="Strong"/>
              </w:rPr>
            </w:pPr>
            <w:r>
              <w:rPr>
                <w:rStyle w:val="Strong"/>
              </w:rPr>
              <w:t xml:space="preserve">Excess Contribution </w:t>
            </w:r>
            <w:r w:rsidRPr="00021858">
              <w:rPr>
                <w:rStyle w:val="Strong"/>
              </w:rPr>
              <w:t>Example</w:t>
            </w:r>
          </w:p>
          <w:p w14:paraId="35951D3C" w14:textId="217C11EF" w:rsidR="00AC40A8" w:rsidRDefault="00AC40A8" w:rsidP="00A96C62">
            <w:r w:rsidRPr="00021858">
              <w:t xml:space="preserve">In May </w:t>
            </w:r>
            <w:r w:rsidR="002D2503">
              <w:t>2016</w:t>
            </w:r>
            <w:r w:rsidRPr="00021858">
              <w:t>, Sue (age 45) contributed $5,</w:t>
            </w:r>
            <w:r>
              <w:t>5</w:t>
            </w:r>
            <w:r w:rsidRPr="00021858">
              <w:t>00</w:t>
            </w:r>
            <w:r w:rsidR="006B12B7">
              <w:t xml:space="preserve"> </w:t>
            </w:r>
            <w:r w:rsidRPr="00021858">
              <w:t xml:space="preserve">to her IRA for </w:t>
            </w:r>
            <w:r w:rsidR="002D2503">
              <w:t>2016</w:t>
            </w:r>
            <w:r w:rsidRPr="00021858">
              <w:t>, but when the year ended, she only had $4,</w:t>
            </w:r>
            <w:r>
              <w:t>7</w:t>
            </w:r>
            <w:r w:rsidRPr="00021858">
              <w:t xml:space="preserve">00 in taxable compensation for the year. Her excess contribution for </w:t>
            </w:r>
            <w:r w:rsidR="002D2503">
              <w:t>2016</w:t>
            </w:r>
            <w:r w:rsidRPr="00021858">
              <w:t xml:space="preserve"> is $800</w:t>
            </w:r>
            <w:r>
              <w:t>. Sue filed an automatic exte</w:t>
            </w:r>
            <w:r w:rsidR="00940796">
              <w:t xml:space="preserve">nsion of time to file her </w:t>
            </w:r>
            <w:r w:rsidR="002D2503">
              <w:t>2016</w:t>
            </w:r>
            <w:r w:rsidR="00940796">
              <w:t xml:space="preserve"> F</w:t>
            </w:r>
            <w:r>
              <w:t xml:space="preserve">orm 1040, which authorizes her to file the </w:t>
            </w:r>
            <w:r w:rsidR="002D2503">
              <w:t>2016</w:t>
            </w:r>
            <w:r>
              <w:t xml:space="preserve"> income tax return by October 15, 201</w:t>
            </w:r>
            <w:r w:rsidR="00EE0ED5">
              <w:t>7</w:t>
            </w:r>
            <w:r>
              <w:t>.</w:t>
            </w:r>
          </w:p>
          <w:p w14:paraId="348F485C" w14:textId="0BA80B06" w:rsidR="00AC40A8" w:rsidRPr="00275B02" w:rsidRDefault="00AC40A8" w:rsidP="006B12B7">
            <w:r>
              <w:t>T</w:t>
            </w:r>
            <w:r w:rsidRPr="00021858">
              <w:t xml:space="preserve">o correct the </w:t>
            </w:r>
            <w:r>
              <w:t>excess contribution, she must remove the $80</w:t>
            </w:r>
            <w:r w:rsidRPr="00021858">
              <w:t xml:space="preserve">0 by </w:t>
            </w:r>
            <w:r>
              <w:t>October 15, 201</w:t>
            </w:r>
            <w:r w:rsidR="00EE0ED5">
              <w:t>7</w:t>
            </w:r>
            <w:r>
              <w:t>.</w:t>
            </w:r>
            <w:r w:rsidRPr="00021858">
              <w:t xml:space="preserve"> </w:t>
            </w:r>
            <w:r>
              <w:t xml:space="preserve">The </w:t>
            </w:r>
            <w:r w:rsidRPr="00021858">
              <w:t xml:space="preserve">IRA deduction on her </w:t>
            </w:r>
            <w:r w:rsidR="002D2503">
              <w:t>2016</w:t>
            </w:r>
            <w:r>
              <w:t xml:space="preserve"> </w:t>
            </w:r>
            <w:r w:rsidRPr="00021858">
              <w:t>income tax return will be $4,</w:t>
            </w:r>
            <w:r>
              <w:t>7</w:t>
            </w:r>
            <w:r w:rsidRPr="00021858">
              <w:t>00, not $5,</w:t>
            </w:r>
            <w:r>
              <w:t>5</w:t>
            </w:r>
            <w:r w:rsidRPr="00021858">
              <w:t>00. If Sue fails to make this corrective action</w:t>
            </w:r>
            <w:r>
              <w:t xml:space="preserve"> timely</w:t>
            </w:r>
            <w:r w:rsidRPr="00021858">
              <w:t>, she will owe a penalty tax of $48 (6% of $800)</w:t>
            </w:r>
            <w:r>
              <w:t xml:space="preserve"> for </w:t>
            </w:r>
            <w:r w:rsidR="002D2503">
              <w:t>2016</w:t>
            </w:r>
            <w:r>
              <w:t xml:space="preserve"> excess contributions.</w:t>
            </w:r>
          </w:p>
        </w:tc>
      </w:tr>
    </w:tbl>
    <w:p w14:paraId="2C3EBF48" w14:textId="77777777" w:rsidR="00AC40A8" w:rsidRDefault="00AC40A8" w:rsidP="001C3493">
      <w:pPr>
        <w:spacing w:before="0" w:after="0"/>
      </w:pPr>
    </w:p>
    <w:p w14:paraId="7E3CF529" w14:textId="77777777" w:rsidR="00AC40A8" w:rsidRDefault="00AC40A8" w:rsidP="004344CA">
      <w:pPr>
        <w:pStyle w:val="Heading2"/>
      </w:pPr>
      <w:r>
        <w:br w:type="page"/>
      </w:r>
      <w:r>
        <w:lastRenderedPageBreak/>
        <w:t xml:space="preserve">Premature Withdrawal Penalty </w:t>
      </w:r>
    </w:p>
    <w:p w14:paraId="03961518" w14:textId="77777777" w:rsidR="00AC40A8" w:rsidRDefault="00AC40A8" w:rsidP="00466FED">
      <w:r>
        <w:t xml:space="preserve">Traditional IRAs represent one of the vehicles intended by Congress as retirement accumulation tools. Hence, taking a taxable withdrawal from a Traditional IRA too early violates Congressional intent and may incur penalty. </w:t>
      </w:r>
    </w:p>
    <w:p w14:paraId="2FB3DC1D" w14:textId="4C693D8D" w:rsidR="00AC40A8" w:rsidRDefault="00AC40A8" w:rsidP="00C2790C">
      <w:r>
        <w:t xml:space="preserve">How early is too early? A premature withdrawal is a distribution before the IRA owner’s age </w:t>
      </w:r>
      <w:r w:rsidRPr="003C6FE2">
        <w:t>59½</w:t>
      </w:r>
      <w:r>
        <w:t>. Premature withd</w:t>
      </w:r>
      <w:r w:rsidR="003F1AD4">
        <w:t>rawal of taxable income from a T</w:t>
      </w:r>
      <w:r>
        <w:t xml:space="preserve">raditional IRA generally exposes the taxable portion of the withdrawal to a 10% penalty. This 10% penalty is </w:t>
      </w:r>
      <w:r w:rsidRPr="00977E98">
        <w:t>in addition to any income taxes on the</w:t>
      </w:r>
      <w:r>
        <w:t xml:space="preserve"> amount of taxable income withdrawn.</w:t>
      </w:r>
    </w:p>
    <w:p w14:paraId="22100653" w14:textId="37B78FF0" w:rsidR="00AC40A8" w:rsidRPr="00F34122" w:rsidRDefault="00AC40A8" w:rsidP="009218C6">
      <w:r>
        <w:t>But what does your client do when they need liquidi</w:t>
      </w:r>
      <w:r w:rsidR="003F1AD4">
        <w:t>ty? Here are just a few penalty-</w:t>
      </w:r>
      <w:r>
        <w:t>free ideas to consider.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AC40A8" w:rsidRPr="00F34122" w14:paraId="1CF78FBC" w14:textId="77777777" w:rsidTr="009218C6">
        <w:tc>
          <w:tcPr>
            <w:tcW w:w="9576" w:type="dxa"/>
            <w:shd w:val="clear" w:color="auto" w:fill="DBD9B9"/>
            <w:tcMar>
              <w:top w:w="72" w:type="dxa"/>
              <w:left w:w="115" w:type="dxa"/>
              <w:bottom w:w="72" w:type="dxa"/>
              <w:right w:w="115" w:type="dxa"/>
            </w:tcMar>
          </w:tcPr>
          <w:p w14:paraId="5BCF640F" w14:textId="77777777" w:rsidR="00AC40A8" w:rsidRPr="00636720" w:rsidRDefault="00AC40A8" w:rsidP="001F3D42">
            <w:pPr>
              <w:rPr>
                <w:b/>
                <w:bCs/>
              </w:rPr>
            </w:pPr>
            <w:r>
              <w:rPr>
                <w:rStyle w:val="Strong"/>
              </w:rPr>
              <w:t>Alternatives to Taxable Traditional IRA Withdrawals Before Age 5</w:t>
            </w:r>
            <w:r w:rsidR="008B582D">
              <w:rPr>
                <w:rStyle w:val="Strong"/>
              </w:rPr>
              <w:t xml:space="preserve">9½ </w:t>
            </w:r>
          </w:p>
          <w:p w14:paraId="3E3E7F59" w14:textId="77777777" w:rsidR="00AC40A8" w:rsidRDefault="00AC40A8" w:rsidP="00822DE7">
            <w:pPr>
              <w:numPr>
                <w:ilvl w:val="0"/>
                <w:numId w:val="9"/>
              </w:numPr>
            </w:pPr>
            <w:r>
              <w:t>Home equity line of credit</w:t>
            </w:r>
          </w:p>
          <w:p w14:paraId="7EA84262" w14:textId="25A44F01" w:rsidR="00AC40A8" w:rsidRDefault="003F1AD4" w:rsidP="00822DE7">
            <w:pPr>
              <w:numPr>
                <w:ilvl w:val="0"/>
                <w:numId w:val="9"/>
              </w:numPr>
            </w:pPr>
            <w:r>
              <w:t>Loan from an employer-</w:t>
            </w:r>
            <w:r w:rsidR="00AC40A8">
              <w:t xml:space="preserve">sponsored qualified plan such as </w:t>
            </w:r>
            <w:r w:rsidR="00CD4EFC">
              <w:t>a</w:t>
            </w:r>
            <w:r w:rsidR="0021527A">
              <w:t xml:space="preserve"> 401</w:t>
            </w:r>
            <w:r>
              <w:t>(k) P</w:t>
            </w:r>
            <w:r w:rsidR="00AC40A8">
              <w:t>lan</w:t>
            </w:r>
          </w:p>
          <w:p w14:paraId="1807ADA1" w14:textId="4DC9E594" w:rsidR="00AC40A8" w:rsidRDefault="003F1AD4" w:rsidP="00822DE7">
            <w:pPr>
              <w:numPr>
                <w:ilvl w:val="0"/>
                <w:numId w:val="9"/>
              </w:numPr>
            </w:pPr>
            <w:r>
              <w:t>Securities-</w:t>
            </w:r>
            <w:r w:rsidR="00B554CE">
              <w:t>based loan such as a b</w:t>
            </w:r>
            <w:r w:rsidR="00AC40A8">
              <w:t>rokerage account loan</w:t>
            </w:r>
          </w:p>
          <w:p w14:paraId="799CAF0F" w14:textId="77777777" w:rsidR="00AC40A8" w:rsidRDefault="00AC40A8" w:rsidP="00822DE7">
            <w:pPr>
              <w:numPr>
                <w:ilvl w:val="0"/>
                <w:numId w:val="9"/>
              </w:numPr>
            </w:pPr>
            <w:r>
              <w:t xml:space="preserve">Borrow from the cash value of a life insurance contract, subject to </w:t>
            </w:r>
            <w:r>
              <w:rPr>
                <w:rStyle w:val="Hyperlink"/>
              </w:rPr>
              <w:t>cautions</w:t>
            </w:r>
            <w:r>
              <w:t xml:space="preserve">. </w:t>
            </w:r>
          </w:p>
          <w:tbl>
            <w:tblPr>
              <w:tblW w:w="0" w:type="auto"/>
              <w:tblInd w:w="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502"/>
            </w:tblGrid>
            <w:tr w:rsidR="00AC40A8" w:rsidRPr="00434E47" w14:paraId="3B1D2B33" w14:textId="77777777" w:rsidTr="007602AB">
              <w:trPr>
                <w:trHeight w:val="1448"/>
              </w:trPr>
              <w:tc>
                <w:tcPr>
                  <w:tcW w:w="8566" w:type="dxa"/>
                  <w:shd w:val="clear" w:color="auto" w:fill="D9D9D9"/>
                </w:tcPr>
                <w:p w14:paraId="0AF4CDC9" w14:textId="23E89FC2" w:rsidR="00AC40A8" w:rsidRPr="008F75ED" w:rsidRDefault="00AC40A8" w:rsidP="0051141D">
                  <w:pPr>
                    <w:rPr>
                      <w:b/>
                      <w:color w:val="4F81BD"/>
                    </w:rPr>
                  </w:pPr>
                  <w:r w:rsidRPr="008F75ED">
                    <w:rPr>
                      <w:rStyle w:val="Hyperlink"/>
                      <w:u w:val="none"/>
                    </w:rPr>
                    <w:t xml:space="preserve">Cautions When Borrowing </w:t>
                  </w:r>
                  <w:proofErr w:type="gramStart"/>
                  <w:r w:rsidRPr="008F75ED">
                    <w:rPr>
                      <w:rStyle w:val="Hyperlink"/>
                      <w:u w:val="none"/>
                    </w:rPr>
                    <w:t>From</w:t>
                  </w:r>
                  <w:proofErr w:type="gramEnd"/>
                  <w:r w:rsidRPr="008F75ED">
                    <w:rPr>
                      <w:rStyle w:val="Hyperlink"/>
                      <w:u w:val="none"/>
                    </w:rPr>
                    <w:t xml:space="preserve"> Life Insurance Cash Value</w:t>
                  </w:r>
                </w:p>
                <w:p w14:paraId="69BA1C9D" w14:textId="7548E6FF" w:rsidR="0021527A" w:rsidRDefault="0021527A" w:rsidP="00822DE7">
                  <w:pPr>
                    <w:numPr>
                      <w:ilvl w:val="0"/>
                      <w:numId w:val="54"/>
                    </w:numPr>
                    <w:rPr>
                      <w:color w:val="000000"/>
                    </w:rPr>
                  </w:pPr>
                  <w:r>
                    <w:rPr>
                      <w:color w:val="000000"/>
                    </w:rPr>
                    <w:t>Extreme caution is warranted to avoid collapsing the policy through excessive borrowing</w:t>
                  </w:r>
                  <w:r w:rsidR="00625B11">
                    <w:rPr>
                      <w:color w:val="000000"/>
                    </w:rPr>
                    <w:t>.</w:t>
                  </w:r>
                </w:p>
                <w:p w14:paraId="6C874AE5" w14:textId="08D2AA05" w:rsidR="00AC40A8" w:rsidRDefault="00AC40A8" w:rsidP="00822DE7">
                  <w:pPr>
                    <w:numPr>
                      <w:ilvl w:val="0"/>
                      <w:numId w:val="54"/>
                    </w:numPr>
                    <w:rPr>
                      <w:color w:val="000000"/>
                    </w:rPr>
                  </w:pPr>
                  <w:r>
                    <w:rPr>
                      <w:color w:val="000000"/>
                    </w:rPr>
                    <w:t>The life insuran</w:t>
                  </w:r>
                  <w:r w:rsidR="003F1AD4">
                    <w:rPr>
                      <w:color w:val="000000"/>
                    </w:rPr>
                    <w:t>ce company will charge interest</w:t>
                  </w:r>
                  <w:r w:rsidR="00625B11">
                    <w:rPr>
                      <w:color w:val="000000"/>
                    </w:rPr>
                    <w:t>.</w:t>
                  </w:r>
                </w:p>
                <w:p w14:paraId="1D5119D8" w14:textId="77777777" w:rsidR="00AC40A8" w:rsidRDefault="00AC40A8" w:rsidP="00822DE7">
                  <w:pPr>
                    <w:numPr>
                      <w:ilvl w:val="0"/>
                      <w:numId w:val="54"/>
                    </w:numPr>
                    <w:rPr>
                      <w:color w:val="000000"/>
                    </w:rPr>
                  </w:pPr>
                  <w:r>
                    <w:rPr>
                      <w:color w:val="000000"/>
                    </w:rPr>
                    <w:t>If the life insurance company does not require repayment of the loan and interest, the loan amount plus accumulated interest will reduce the death benefit paid to the client’s beneficiaries.</w:t>
                  </w:r>
                </w:p>
                <w:p w14:paraId="441CD587" w14:textId="3676DE80" w:rsidR="00DC1385" w:rsidRDefault="003F1AD4">
                  <w:pPr>
                    <w:numPr>
                      <w:ilvl w:val="0"/>
                      <w:numId w:val="54"/>
                    </w:numPr>
                    <w:rPr>
                      <w:b/>
                      <w:color w:val="000000"/>
                    </w:rPr>
                  </w:pPr>
                  <w:r>
                    <w:rPr>
                      <w:color w:val="000000"/>
                    </w:rPr>
                    <w:t>Generally, loans are income tax-</w:t>
                  </w:r>
                  <w:r w:rsidR="00AC40A8">
                    <w:rPr>
                      <w:color w:val="000000"/>
                    </w:rPr>
                    <w:t xml:space="preserve">free up to the total cash value. </w:t>
                  </w:r>
                </w:p>
                <w:p w14:paraId="071CC886" w14:textId="2B779DD9" w:rsidR="008B4048" w:rsidRPr="003F1AD4" w:rsidRDefault="00DC1385" w:rsidP="008E3F14">
                  <w:pPr>
                    <w:numPr>
                      <w:ilvl w:val="0"/>
                      <w:numId w:val="54"/>
                    </w:numPr>
                    <w:spacing w:before="0" w:after="0"/>
                  </w:pPr>
                  <w:r w:rsidRPr="00A21C69">
                    <w:rPr>
                      <w:color w:val="000000"/>
                    </w:rPr>
                    <w:t>A</w:t>
                  </w:r>
                  <w:r w:rsidR="00AC40A8" w:rsidRPr="00A21C69">
                    <w:rPr>
                      <w:color w:val="000000"/>
                    </w:rPr>
                    <w:t xml:space="preserve"> life insurance professional, CPA, or CFP</w:t>
                  </w:r>
                  <w:r w:rsidR="00AC40A8" w:rsidRPr="00A21C69">
                    <w:rPr>
                      <w:color w:val="000000"/>
                      <w:vertAlign w:val="superscript"/>
                    </w:rPr>
                    <w:t>®</w:t>
                  </w:r>
                  <w:r w:rsidR="00AC40A8" w:rsidRPr="00A21C69">
                    <w:rPr>
                      <w:color w:val="000000"/>
                    </w:rPr>
                    <w:t xml:space="preserve"> practitioner should be consulted before any loans are taken against the cash value of a life insurance policy.</w:t>
                  </w:r>
                </w:p>
                <w:p w14:paraId="09429ED5" w14:textId="77777777" w:rsidR="003F1AD4" w:rsidRDefault="003F1AD4" w:rsidP="003F1AD4">
                  <w:pPr>
                    <w:spacing w:before="0" w:after="0"/>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6"/>
                  </w:tblGrid>
                  <w:tr w:rsidR="008B4048" w14:paraId="6688B24D" w14:textId="77777777" w:rsidTr="002867EA">
                    <w:tc>
                      <w:tcPr>
                        <w:tcW w:w="9576" w:type="dxa"/>
                        <w:shd w:val="clear" w:color="auto" w:fill="FBD4B4"/>
                      </w:tcPr>
                      <w:p w14:paraId="76455E52" w14:textId="77777777" w:rsidR="008B4048" w:rsidRPr="001F3D42" w:rsidRDefault="008B4048" w:rsidP="002867EA">
                        <w:pPr>
                          <w:rPr>
                            <w:b/>
                            <w:i/>
                            <w:color w:val="FF0000"/>
                          </w:rPr>
                        </w:pPr>
                        <w:r w:rsidRPr="001F3D42">
                          <w:rPr>
                            <w:b/>
                            <w:i/>
                            <w:color w:val="FF0000"/>
                          </w:rPr>
                          <w:t>Compliance Alert</w:t>
                        </w:r>
                      </w:p>
                      <w:p w14:paraId="5E405EFB" w14:textId="7675718C" w:rsidR="008B4048" w:rsidRPr="009A0693" w:rsidRDefault="008B4048">
                        <w:pPr>
                          <w:rPr>
                            <w:b/>
                            <w:i/>
                          </w:rPr>
                        </w:pPr>
                        <w:r w:rsidRPr="009B34F1">
                          <w:rPr>
                            <w:b/>
                            <w:i/>
                          </w:rPr>
                          <w:t xml:space="preserve">Only licensed professionals may sell </w:t>
                        </w:r>
                        <w:r>
                          <w:rPr>
                            <w:b/>
                            <w:i/>
                          </w:rPr>
                          <w:t>life insurance products.</w:t>
                        </w:r>
                        <w:r w:rsidRPr="009B34F1">
                          <w:rPr>
                            <w:b/>
                            <w:i/>
                          </w:rPr>
                          <w:t xml:space="preserve"> Check with your compliance department before discussing </w:t>
                        </w:r>
                        <w:r>
                          <w:rPr>
                            <w:b/>
                            <w:i/>
                          </w:rPr>
                          <w:t xml:space="preserve">life insurance issues </w:t>
                        </w:r>
                        <w:r w:rsidRPr="009B34F1">
                          <w:rPr>
                            <w:b/>
                            <w:i/>
                          </w:rPr>
                          <w:t>with clients to avoid compliance issues!</w:t>
                        </w:r>
                      </w:p>
                    </w:tc>
                  </w:tr>
                </w:tbl>
                <w:p w14:paraId="4B59479D" w14:textId="6D9A8A96" w:rsidR="008B4048" w:rsidRPr="008E3F14" w:rsidRDefault="008B4048" w:rsidP="008E3F14">
                  <w:pPr>
                    <w:rPr>
                      <w:b/>
                      <w:color w:val="000000"/>
                    </w:rPr>
                  </w:pPr>
                </w:p>
              </w:tc>
            </w:tr>
          </w:tbl>
          <w:p w14:paraId="690F2335" w14:textId="77777777" w:rsidR="00AC40A8" w:rsidRDefault="00AC40A8" w:rsidP="00822DE7">
            <w:pPr>
              <w:numPr>
                <w:ilvl w:val="0"/>
                <w:numId w:val="9"/>
              </w:numPr>
            </w:pPr>
            <w:r>
              <w:t xml:space="preserve">Withdrawal of </w:t>
            </w:r>
            <w:r w:rsidRPr="001F3D42">
              <w:rPr>
                <w:rStyle w:val="Hyperlink"/>
              </w:rPr>
              <w:t>amount contributed</w:t>
            </w:r>
            <w:r w:rsidRPr="003F1AD4">
              <w:rPr>
                <w:rStyle w:val="Hyperlink"/>
              </w:rPr>
              <w:t xml:space="preserve"> to a Roth IRA</w:t>
            </w:r>
          </w:p>
          <w:tbl>
            <w:tblPr>
              <w:tblW w:w="0" w:type="auto"/>
              <w:tblInd w:w="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502"/>
            </w:tblGrid>
            <w:tr w:rsidR="00AC40A8" w:rsidRPr="00434E47" w14:paraId="5024AE40" w14:textId="77777777" w:rsidTr="00616EA8">
              <w:trPr>
                <w:trHeight w:val="422"/>
              </w:trPr>
              <w:tc>
                <w:tcPr>
                  <w:tcW w:w="8566" w:type="dxa"/>
                  <w:shd w:val="clear" w:color="auto" w:fill="D9D9D9"/>
                </w:tcPr>
                <w:p w14:paraId="04C6A6BD" w14:textId="77777777" w:rsidR="00AC40A8" w:rsidRPr="008F75ED" w:rsidRDefault="00AC40A8" w:rsidP="001F3D42">
                  <w:pPr>
                    <w:rPr>
                      <w:b/>
                      <w:color w:val="4F81BD"/>
                    </w:rPr>
                  </w:pPr>
                  <w:r w:rsidRPr="008F75ED">
                    <w:rPr>
                      <w:rStyle w:val="Hyperlink"/>
                      <w:u w:val="none"/>
                    </w:rPr>
                    <w:t>Amount Contributed to a Roth IRA</w:t>
                  </w:r>
                </w:p>
                <w:p w14:paraId="53F74526" w14:textId="7CD8B83A" w:rsidR="00AC40A8" w:rsidRPr="003C71F0" w:rsidRDefault="00AC40A8" w:rsidP="001F3D42">
                  <w:pPr>
                    <w:rPr>
                      <w:b/>
                      <w:color w:val="000000"/>
                    </w:rPr>
                  </w:pPr>
                  <w:r>
                    <w:rPr>
                      <w:color w:val="000000"/>
                    </w:rPr>
                    <w:t>A client’s original contributions to a Roth IRA may generally be withdrawn without tax at any time. The reason is simple</w:t>
                  </w:r>
                  <w:r w:rsidR="003F1AD4">
                    <w:rPr>
                      <w:color w:val="000000"/>
                    </w:rPr>
                    <w:t xml:space="preserve"> - </w:t>
                  </w:r>
                  <w:r>
                    <w:rPr>
                      <w:color w:val="000000"/>
                    </w:rPr>
                    <w:t>the client did not receive an income tax deduction for the contribution and any withdrawal of</w:t>
                  </w:r>
                  <w:r w:rsidR="003F1AD4">
                    <w:rPr>
                      <w:color w:val="000000"/>
                    </w:rPr>
                    <w:t xml:space="preserve"> contributions is an income tax-</w:t>
                  </w:r>
                  <w:r>
                    <w:rPr>
                      <w:color w:val="000000"/>
                    </w:rPr>
                    <w:t>free return of contributions. Be aware that withdrawal of any Roth IRA funds contributed from conversion of Traditional IRA to a Roth IRA may not be made for at least 5 years after the conversion. Withdrawal of converted fund</w:t>
                  </w:r>
                  <w:r w:rsidR="003D2380">
                    <w:rPr>
                      <w:color w:val="000000"/>
                    </w:rPr>
                    <w:t>s</w:t>
                  </w:r>
                  <w:r>
                    <w:rPr>
                      <w:color w:val="000000"/>
                    </w:rPr>
                    <w:t xml:space="preserve"> before the </w:t>
                  </w:r>
                  <w:r>
                    <w:rPr>
                      <w:color w:val="000000"/>
                    </w:rPr>
                    <w:lastRenderedPageBreak/>
                    <w:t>expiration of 5 years will generally result in a 10% penalty.</w:t>
                  </w:r>
                </w:p>
              </w:tc>
            </w:tr>
          </w:tbl>
          <w:p w14:paraId="2A3DB939" w14:textId="77777777" w:rsidR="00AC40A8" w:rsidRPr="00F02274" w:rsidRDefault="00AC40A8" w:rsidP="001F3D42">
            <w:pPr>
              <w:ind w:left="360"/>
            </w:pPr>
          </w:p>
        </w:tc>
      </w:tr>
    </w:tbl>
    <w:p w14:paraId="6051D279" w14:textId="77777777" w:rsidR="00AC40A8" w:rsidRDefault="00AC40A8" w:rsidP="00C2790C"/>
    <w:p w14:paraId="3E04481F" w14:textId="77777777" w:rsidR="00AC40A8" w:rsidRPr="003C6FE2" w:rsidRDefault="00AC40A8" w:rsidP="00C2790C">
      <w:r>
        <w:t>If there are no other sources of liquidity for your client’s urgent need, there may be no alternative to a premature withdrawal from an IRA. However, careful planning may reduce or eliminate the 10% premature withdrawal penalty.</w:t>
      </w:r>
      <w:r w:rsidRPr="001F3D42">
        <w:t xml:space="preserve"> </w:t>
      </w:r>
      <w:r w:rsidRPr="003C6FE2">
        <w:t>The specific situations where a</w:t>
      </w:r>
      <w:r>
        <w:t>n owner can make</w:t>
      </w:r>
      <w:r w:rsidRPr="003C6FE2">
        <w:t xml:space="preserve"> penalty-free withdrawal</w:t>
      </w:r>
      <w:r>
        <w:t>s</w:t>
      </w:r>
      <w:r w:rsidRPr="003C6FE2">
        <w:t xml:space="preserve"> prior to age 59½ are listed below. </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510"/>
      </w:tblGrid>
      <w:tr w:rsidR="00AC40A8" w14:paraId="4D42C0BD" w14:textId="77777777" w:rsidTr="001F3D42">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CCCCCC"/>
            <w:vAlign w:val="center"/>
          </w:tcPr>
          <w:p w14:paraId="454F90C6" w14:textId="77777777" w:rsidR="003D2380" w:rsidRPr="001F3D42" w:rsidRDefault="003D2380" w:rsidP="001F3D42">
            <w:pPr>
              <w:rPr>
                <w:rStyle w:val="Strong"/>
                <w:b w:val="0"/>
                <w:bCs w:val="0"/>
              </w:rPr>
            </w:pPr>
            <w:r w:rsidRPr="003C6FE2">
              <w:rPr>
                <w:rStyle w:val="Strong"/>
                <w:color w:val="000000"/>
              </w:rPr>
              <w:t xml:space="preserve">Penalty-Free </w:t>
            </w:r>
            <w:r>
              <w:rPr>
                <w:rStyle w:val="Strong"/>
                <w:color w:val="000000"/>
              </w:rPr>
              <w:t xml:space="preserve">IRA </w:t>
            </w:r>
            <w:r w:rsidRPr="003C6FE2">
              <w:rPr>
                <w:rStyle w:val="Strong"/>
                <w:color w:val="000000"/>
              </w:rPr>
              <w:t xml:space="preserve">Withdrawals Before Age 59½ </w:t>
            </w:r>
            <w:r w:rsidRPr="003C6FE2">
              <w:rPr>
                <w:color w:val="000000"/>
              </w:rPr>
              <w:t xml:space="preserve"> </w:t>
            </w:r>
          </w:p>
          <w:p w14:paraId="1871C8A9" w14:textId="77777777" w:rsidR="00AC40A8" w:rsidRPr="003C6FE2" w:rsidRDefault="00AC40A8" w:rsidP="00822DE7">
            <w:pPr>
              <w:numPr>
                <w:ilvl w:val="0"/>
                <w:numId w:val="53"/>
              </w:numPr>
            </w:pPr>
            <w:r w:rsidRPr="003C6FE2">
              <w:t xml:space="preserve">Death </w:t>
            </w:r>
          </w:p>
          <w:p w14:paraId="602BAEDE" w14:textId="77777777" w:rsidR="00AC40A8" w:rsidRPr="00D0309D" w:rsidRDefault="00AC40A8" w:rsidP="00822DE7">
            <w:pPr>
              <w:numPr>
                <w:ilvl w:val="0"/>
                <w:numId w:val="53"/>
              </w:numPr>
            </w:pPr>
            <w:r w:rsidRPr="003C6FE2">
              <w:t xml:space="preserve">Disability </w:t>
            </w:r>
            <w:r w:rsidRPr="00805D64">
              <w:rPr>
                <w:i/>
              </w:rPr>
              <w:t>(</w:t>
            </w:r>
            <w:r w:rsidRPr="00FB4E47">
              <w:rPr>
                <w:i/>
                <w:color w:val="333333"/>
              </w:rPr>
              <w:t>the disability must be total and permanent</w:t>
            </w:r>
            <w:r w:rsidRPr="0039218A">
              <w:rPr>
                <w:i/>
                <w:color w:val="333333"/>
              </w:rPr>
              <w:t xml:space="preserve"> or expected to result in death)</w:t>
            </w:r>
            <w:r w:rsidRPr="0039218A">
              <w:rPr>
                <w:i/>
              </w:rPr>
              <w:t xml:space="preserve"> </w:t>
            </w:r>
          </w:p>
          <w:p w14:paraId="06E072B0" w14:textId="77777777" w:rsidR="00AC40A8" w:rsidRPr="003C6FE2" w:rsidRDefault="00AC40A8" w:rsidP="00822DE7">
            <w:pPr>
              <w:numPr>
                <w:ilvl w:val="0"/>
                <w:numId w:val="53"/>
              </w:numPr>
            </w:pPr>
            <w:r>
              <w:t>A</w:t>
            </w:r>
            <w:r w:rsidRPr="003C6FE2">
              <w:t xml:space="preserve"> series of</w:t>
            </w:r>
            <w:r>
              <w:t xml:space="preserve"> </w:t>
            </w:r>
            <w:r w:rsidRPr="00D76F1D">
              <w:rPr>
                <w:rStyle w:val="Hyperlink"/>
              </w:rPr>
              <w:t>substantially equal periodic payments</w:t>
            </w:r>
            <w:r w:rsidR="003D2380" w:rsidRPr="00636720">
              <w:rPr>
                <w:rStyle w:val="Hyperlink"/>
                <w:u w:val="none"/>
              </w:rPr>
              <w:t xml:space="preserve"> </w:t>
            </w:r>
            <w:r w:rsidR="003D2380">
              <w:t>made over the owner’s lifetime</w:t>
            </w:r>
          </w:p>
          <w:p w14:paraId="6B9C7CF6" w14:textId="77777777" w:rsidR="00AC40A8" w:rsidRDefault="00AC40A8" w:rsidP="00822DE7">
            <w:pPr>
              <w:numPr>
                <w:ilvl w:val="0"/>
                <w:numId w:val="53"/>
              </w:numPr>
            </w:pPr>
            <w:r w:rsidRPr="003C6FE2">
              <w:t xml:space="preserve">To </w:t>
            </w:r>
            <w:r>
              <w:t>the extent of</w:t>
            </w:r>
            <w:r w:rsidRPr="003C6FE2">
              <w:t xml:space="preserve"> unreimbursed medical expenses that exceed </w:t>
            </w:r>
            <w:r>
              <w:t>10</w:t>
            </w:r>
            <w:r w:rsidRPr="005052A0">
              <w:t>% of</w:t>
            </w:r>
            <w:r w:rsidRPr="003C6FE2">
              <w:t xml:space="preserve"> AGI</w:t>
            </w:r>
            <w:r>
              <w:t xml:space="preserve"> </w:t>
            </w:r>
          </w:p>
          <w:p w14:paraId="6D72DDF4" w14:textId="77777777" w:rsidR="00AC40A8" w:rsidRPr="003C6FE2" w:rsidRDefault="00AC40A8" w:rsidP="00822DE7">
            <w:pPr>
              <w:numPr>
                <w:ilvl w:val="0"/>
                <w:numId w:val="53"/>
              </w:numPr>
            </w:pPr>
            <w:r w:rsidRPr="003C6FE2">
              <w:t xml:space="preserve">To pay health insurance premiums after the owner has received unemployment compensation for more than 12 weeks </w:t>
            </w:r>
          </w:p>
          <w:p w14:paraId="6AB9CBC1" w14:textId="77777777" w:rsidR="00AC40A8" w:rsidRPr="003C6FE2" w:rsidRDefault="00AC40A8" w:rsidP="00822DE7">
            <w:pPr>
              <w:numPr>
                <w:ilvl w:val="0"/>
                <w:numId w:val="53"/>
              </w:numPr>
            </w:pPr>
            <w:r w:rsidRPr="003C6FE2">
              <w:t xml:space="preserve">To pay the costs of a </w:t>
            </w:r>
            <w:r w:rsidRPr="00D76F1D">
              <w:rPr>
                <w:rStyle w:val="Hyperlink"/>
              </w:rPr>
              <w:t>first-time home purchase</w:t>
            </w:r>
            <w:r w:rsidRPr="003C6FE2">
              <w:t xml:space="preserve"> (subject to a </w:t>
            </w:r>
            <w:r w:rsidRPr="002C609D">
              <w:rPr>
                <w:i/>
              </w:rPr>
              <w:t>lifetime</w:t>
            </w:r>
            <w:r w:rsidRPr="003C6FE2">
              <w:t xml:space="preserve"> limit of $10,000) </w:t>
            </w:r>
          </w:p>
          <w:p w14:paraId="74CA9D87" w14:textId="77777777" w:rsidR="00AC40A8" w:rsidRPr="003C6FE2" w:rsidRDefault="00AC40A8" w:rsidP="00822DE7">
            <w:pPr>
              <w:numPr>
                <w:ilvl w:val="0"/>
                <w:numId w:val="53"/>
              </w:numPr>
            </w:pPr>
            <w:r w:rsidRPr="003C6FE2">
              <w:t xml:space="preserve">To pay for the </w:t>
            </w:r>
            <w:r w:rsidRPr="00D76F1D">
              <w:rPr>
                <w:rStyle w:val="Hyperlink"/>
              </w:rPr>
              <w:t>qualified expenses</w:t>
            </w:r>
            <w:r w:rsidRPr="003C6FE2">
              <w:t xml:space="preserve"> of higher education for the IRA owner and/or </w:t>
            </w:r>
            <w:r w:rsidRPr="00D76F1D">
              <w:rPr>
                <w:rStyle w:val="Hyperlink"/>
              </w:rPr>
              <w:t>eligible family members</w:t>
            </w:r>
            <w:r w:rsidRPr="003C6FE2">
              <w:t xml:space="preserve"> </w:t>
            </w:r>
          </w:p>
          <w:p w14:paraId="1C0A2BE5" w14:textId="77777777" w:rsidR="00AC40A8" w:rsidRDefault="00AC40A8" w:rsidP="00822DE7">
            <w:pPr>
              <w:numPr>
                <w:ilvl w:val="0"/>
                <w:numId w:val="53"/>
              </w:numPr>
            </w:pPr>
            <w:r w:rsidRPr="003C6FE2">
              <w:t xml:space="preserve">In response to an IRS levy </w:t>
            </w:r>
          </w:p>
        </w:tc>
      </w:tr>
    </w:tbl>
    <w:p w14:paraId="14E8F69E" w14:textId="77777777" w:rsidR="00AC40A8" w:rsidRDefault="00AC40A8" w:rsidP="00C2790C">
      <w:pPr>
        <w:spacing w:before="0" w:after="0"/>
        <w:ind w:right="-710"/>
        <w:rPr>
          <w:rStyle w:val="Emphasis"/>
          <w:color w:val="008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AC40A8" w14:paraId="22AEA35C" w14:textId="77777777" w:rsidTr="00AC4A20">
        <w:tc>
          <w:tcPr>
            <w:tcW w:w="9576" w:type="dxa"/>
            <w:shd w:val="clear" w:color="auto" w:fill="D9D9D9"/>
          </w:tcPr>
          <w:p w14:paraId="4849CAB6" w14:textId="77777777" w:rsidR="00AC40A8" w:rsidRPr="008F75ED" w:rsidRDefault="00AC40A8" w:rsidP="00AC4A20">
            <w:pPr>
              <w:rPr>
                <w:rStyle w:val="Hyperlink"/>
                <w:u w:val="none"/>
              </w:rPr>
            </w:pPr>
            <w:r w:rsidRPr="008F75ED">
              <w:rPr>
                <w:rStyle w:val="Hyperlink"/>
                <w:u w:val="none"/>
              </w:rPr>
              <w:t>Substantially equal periodic payments</w:t>
            </w:r>
          </w:p>
          <w:p w14:paraId="51F2949D" w14:textId="4985C1DD" w:rsidR="00AC40A8" w:rsidRDefault="00AC40A8" w:rsidP="008B582D">
            <w:pPr>
              <w:pStyle w:val="CommentText"/>
            </w:pPr>
            <w:r w:rsidRPr="006735E3" w:rsidDel="006B46E7">
              <w:t xml:space="preserve">By setting up </w:t>
            </w:r>
            <w:r>
              <w:t>a specific type of periodic payment based on the IRA owner's life expectancy</w:t>
            </w:r>
            <w:r w:rsidR="00FE01AA">
              <w:t xml:space="preserve"> (or joint life expectancy)</w:t>
            </w:r>
            <w:r>
              <w:t xml:space="preserve"> that lasts for the </w:t>
            </w:r>
            <w:r w:rsidRPr="00DE2B9B">
              <w:rPr>
                <w:i/>
              </w:rPr>
              <w:t>longer of 5 years or to age 59½</w:t>
            </w:r>
            <w:r>
              <w:t>,</w:t>
            </w:r>
            <w:r w:rsidRPr="006735E3" w:rsidDel="006B46E7">
              <w:t xml:space="preserve"> it becomes possible for individuals to begin drawing upon their IRA without </w:t>
            </w:r>
            <w:r>
              <w:t xml:space="preserve">IRS </w:t>
            </w:r>
            <w:r w:rsidRPr="006735E3" w:rsidDel="006B46E7">
              <w:t>penalty</w:t>
            </w:r>
            <w:r w:rsidRPr="006735E3">
              <w:t xml:space="preserve"> before reaching age 59½</w:t>
            </w:r>
            <w:r>
              <w:t>.</w:t>
            </w:r>
            <w:r w:rsidRPr="006735E3">
              <w:t xml:space="preserve"> These are sometimes referred to as </w:t>
            </w:r>
            <w:r w:rsidRPr="00686CCE">
              <w:rPr>
                <w:b/>
                <w:i/>
              </w:rPr>
              <w:t>72(t) payments</w:t>
            </w:r>
            <w:r w:rsidRPr="006735E3">
              <w:t>, named for the section of the Internal Revenue Code that permits this form of penalty-free payout</w:t>
            </w:r>
            <w:r>
              <w:t xml:space="preserve">. </w:t>
            </w:r>
            <w:r w:rsidR="008B582D" w:rsidRPr="00DE2B9B">
              <w:rPr>
                <w:b/>
                <w:color w:val="FF0000"/>
              </w:rPr>
              <w:t>Click</w:t>
            </w:r>
            <w:r w:rsidR="008B582D">
              <w:t xml:space="preserve"> </w:t>
            </w:r>
            <w:r w:rsidR="008B582D" w:rsidRPr="00DE2B9B">
              <w:rPr>
                <w:rStyle w:val="Hyperlink"/>
              </w:rPr>
              <w:t>here</w:t>
            </w:r>
            <w:r w:rsidR="008B582D">
              <w:t xml:space="preserve"> </w:t>
            </w:r>
            <w:r w:rsidR="008B582D" w:rsidRPr="00DE2B9B">
              <w:rPr>
                <w:b/>
                <w:color w:val="FF0000"/>
              </w:rPr>
              <w:t>for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AC40A8" w14:paraId="474B4486" w14:textId="77777777" w:rsidTr="002074FC">
              <w:tc>
                <w:tcPr>
                  <w:tcW w:w="9345" w:type="dxa"/>
                  <w:shd w:val="clear" w:color="auto" w:fill="BFBFBF" w:themeFill="background1" w:themeFillShade="BF"/>
                </w:tcPr>
                <w:p w14:paraId="623C2579" w14:textId="77777777" w:rsidR="00AC40A8" w:rsidRPr="00DE2B9B" w:rsidRDefault="00AC40A8" w:rsidP="00AC4A20">
                  <w:pPr>
                    <w:rPr>
                      <w:b/>
                    </w:rPr>
                  </w:pPr>
                  <w:r w:rsidRPr="00DE2B9B">
                    <w:rPr>
                      <w:b/>
                    </w:rPr>
                    <w:t>Example 1</w:t>
                  </w:r>
                </w:p>
                <w:p w14:paraId="38767603" w14:textId="2B6B11D4" w:rsidR="00AC40A8" w:rsidRDefault="00AC40A8" w:rsidP="00AC4A20">
                  <w:r>
                    <w:t xml:space="preserve">Brian is age 50. He wishes to begin taking distributions from his Traditional IRA based upon his life expectancy. He will avoid the 10% premature distribution penalty if he continues taking substantially equal periodic payments until at least his age 59½.  </w:t>
                  </w:r>
                </w:p>
                <w:p w14:paraId="339A2FE0" w14:textId="77777777" w:rsidR="00AC40A8" w:rsidRPr="00DE2B9B" w:rsidRDefault="00AC40A8" w:rsidP="00AC4A20">
                  <w:pPr>
                    <w:rPr>
                      <w:b/>
                    </w:rPr>
                  </w:pPr>
                  <w:r w:rsidRPr="00DE2B9B">
                    <w:rPr>
                      <w:b/>
                    </w:rPr>
                    <w:t>Example 2</w:t>
                  </w:r>
                </w:p>
                <w:p w14:paraId="3D2B7599" w14:textId="77777777" w:rsidR="00AC40A8" w:rsidRDefault="00AC40A8" w:rsidP="00AC4A20">
                  <w:r>
                    <w:t xml:space="preserve">Allison is age 56. She wishes to begin taking distributions from her Traditional IRA based upon her life expectancy. She will avoid the 10% premature distribution penalty if she continues taking substantially equal periodic payments until at least her age 61.  </w:t>
                  </w:r>
                </w:p>
              </w:tc>
            </w:tr>
          </w:tbl>
          <w:p w14:paraId="2D90AFA2" w14:textId="77777777" w:rsidR="00AC40A8" w:rsidRPr="004C127F" w:rsidRDefault="00AC40A8" w:rsidP="00AC4A20"/>
        </w:tc>
      </w:tr>
    </w:tbl>
    <w:p w14:paraId="20BDBB2B" w14:textId="77777777" w:rsidR="00AC40A8" w:rsidRDefault="00AC40A8" w:rsidP="00C2790C">
      <w:pPr>
        <w:spacing w:before="0" w:after="0"/>
        <w:ind w:right="-710"/>
        <w:rPr>
          <w:bCs/>
          <w:i/>
          <w:color w:val="008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AC40A8" w14:paraId="7CE9D2C2" w14:textId="77777777" w:rsidTr="00AC4A20">
        <w:tc>
          <w:tcPr>
            <w:tcW w:w="9576" w:type="dxa"/>
            <w:shd w:val="clear" w:color="auto" w:fill="D9D9D9"/>
          </w:tcPr>
          <w:p w14:paraId="29C223AF" w14:textId="77777777" w:rsidR="00AC40A8" w:rsidRPr="008F75ED" w:rsidRDefault="00AC40A8" w:rsidP="00AC4A20">
            <w:pPr>
              <w:rPr>
                <w:rStyle w:val="Hyperlink"/>
                <w:u w:val="none"/>
              </w:rPr>
            </w:pPr>
            <w:r w:rsidRPr="008F75ED">
              <w:rPr>
                <w:rStyle w:val="Hyperlink"/>
                <w:u w:val="none"/>
              </w:rPr>
              <w:t>First-time home purchase</w:t>
            </w:r>
          </w:p>
          <w:p w14:paraId="17DFB9DB" w14:textId="3B31EE6A" w:rsidR="00AC40A8" w:rsidRPr="00164981" w:rsidRDefault="00FE01AA" w:rsidP="002074FC">
            <w:r>
              <w:t>A</w:t>
            </w:r>
            <w:r w:rsidR="00AC40A8" w:rsidRPr="00F81F65">
              <w:t xml:space="preserve"> purchaser is considered a “first-time” homebuyer if the purchaser has not owned a home in the past two years. If married, both spouses must meet this requirement and </w:t>
            </w:r>
            <w:r w:rsidR="00AC40A8">
              <w:t>each</w:t>
            </w:r>
            <w:r w:rsidR="00AC40A8" w:rsidRPr="00F81F65">
              <w:t xml:space="preserve"> can take a penalty-free withdrawal for this purpose from their IRAs</w:t>
            </w:r>
            <w:r w:rsidR="00AC40A8">
              <w:t xml:space="preserve"> (up to a $10,000 lifetime </w:t>
            </w:r>
            <w:r w:rsidR="00AC40A8">
              <w:lastRenderedPageBreak/>
              <w:t>maximum)</w:t>
            </w:r>
            <w:r w:rsidR="00AC40A8" w:rsidRPr="00F81F65">
              <w:t>. Note that the withdrawal can be used to pay qualified acquisition costs for a first-time home purchaser who is the IRA owner, the spouse, the owner or spouse’s child, the owner or spouse’s grandchild, or the owner or spou</w:t>
            </w:r>
            <w:r w:rsidR="00AC40A8">
              <w:t xml:space="preserve">se’s parent or other ancestor. </w:t>
            </w:r>
          </w:p>
        </w:tc>
      </w:tr>
    </w:tbl>
    <w:p w14:paraId="31475244" w14:textId="77777777" w:rsidR="00AC40A8" w:rsidRDefault="00AC40A8" w:rsidP="00C2790C">
      <w:pPr>
        <w:spacing w:before="0" w:after="0"/>
        <w:ind w:right="-710"/>
        <w:rPr>
          <w:bCs/>
          <w:i/>
          <w:color w:val="008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AC40A8" w14:paraId="4DF46ED0" w14:textId="77777777" w:rsidTr="00AC4A20">
        <w:tc>
          <w:tcPr>
            <w:tcW w:w="9576" w:type="dxa"/>
            <w:shd w:val="clear" w:color="auto" w:fill="D9D9D9"/>
          </w:tcPr>
          <w:p w14:paraId="182BC2DD" w14:textId="77777777" w:rsidR="00AC40A8" w:rsidRPr="008F75ED" w:rsidRDefault="00AC40A8" w:rsidP="00AC4A20">
            <w:pPr>
              <w:rPr>
                <w:rStyle w:val="Hyperlink"/>
                <w:u w:val="none"/>
              </w:rPr>
            </w:pPr>
            <w:r w:rsidRPr="008F75ED">
              <w:rPr>
                <w:rStyle w:val="Hyperlink"/>
                <w:u w:val="none"/>
              </w:rPr>
              <w:t xml:space="preserve">Qualified Education Expenses </w:t>
            </w:r>
          </w:p>
          <w:p w14:paraId="61DF48B0" w14:textId="5C8ACFD1" w:rsidR="00AC40A8" w:rsidRPr="008933BC" w:rsidRDefault="00AC40A8" w:rsidP="00AC4A20">
            <w:r w:rsidRPr="00F81F65">
              <w:t>Qualified higher education expenses include tuition, fees, books, supplies, required equipment</w:t>
            </w:r>
            <w:r>
              <w:t>, and certain special needs services</w:t>
            </w:r>
            <w:r w:rsidRPr="00F81F65">
              <w:t>. If the st</w:t>
            </w:r>
            <w:r w:rsidR="002074FC">
              <w:t xml:space="preserve">udent is enrolled at least </w:t>
            </w:r>
            <w:r w:rsidR="00095E0E">
              <w:t>half time</w:t>
            </w:r>
            <w:r w:rsidRPr="00F81F65">
              <w:t>, then room and boar</w:t>
            </w:r>
            <w:r>
              <w:t xml:space="preserve">d are also qualified expenses. </w:t>
            </w:r>
          </w:p>
        </w:tc>
      </w:tr>
    </w:tbl>
    <w:p w14:paraId="354C0A77" w14:textId="77777777" w:rsidR="00AC40A8" w:rsidRDefault="00AC40A8" w:rsidP="00C2790C">
      <w:pPr>
        <w:spacing w:before="0" w:after="0"/>
        <w:ind w:right="-710"/>
        <w:rPr>
          <w:bCs/>
          <w:i/>
          <w:color w:val="008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AC40A8" w14:paraId="5DE1955E" w14:textId="77777777" w:rsidTr="00AC4A20">
        <w:tc>
          <w:tcPr>
            <w:tcW w:w="9576" w:type="dxa"/>
            <w:shd w:val="clear" w:color="auto" w:fill="D9D9D9"/>
          </w:tcPr>
          <w:p w14:paraId="413A3618" w14:textId="77777777" w:rsidR="00AC40A8" w:rsidRPr="008F75ED" w:rsidRDefault="00AC40A8" w:rsidP="00AC4A20">
            <w:pPr>
              <w:rPr>
                <w:rStyle w:val="Hyperlink"/>
                <w:u w:val="none"/>
              </w:rPr>
            </w:pPr>
            <w:r w:rsidRPr="008F75ED">
              <w:rPr>
                <w:rStyle w:val="Hyperlink"/>
                <w:u w:val="none"/>
              </w:rPr>
              <w:t>Eligible Family Members</w:t>
            </w:r>
          </w:p>
          <w:p w14:paraId="713A1FC4" w14:textId="77777777" w:rsidR="00AC40A8" w:rsidRPr="00B848F8" w:rsidRDefault="00AC40A8" w:rsidP="00AC4A20">
            <w:r w:rsidRPr="00F81F65">
              <w:t xml:space="preserve">Eligible family members include the spouse, children, and grandchildren of the owner, or the children or grandchildren of the owner’s spouse. </w:t>
            </w:r>
          </w:p>
        </w:tc>
      </w:tr>
    </w:tbl>
    <w:p w14:paraId="322C1808" w14:textId="77777777" w:rsidR="00AC40A8" w:rsidRDefault="00AC40A8" w:rsidP="00C2790C">
      <w:pPr>
        <w:spacing w:before="0" w:after="0"/>
      </w:pPr>
    </w:p>
    <w:p w14:paraId="60A2BF6C" w14:textId="77777777" w:rsidR="00AC40A8" w:rsidRDefault="00AC40A8" w:rsidP="00043D74"/>
    <w:p w14:paraId="5E968E3D" w14:textId="77777777" w:rsidR="00AC40A8" w:rsidRDefault="00AC40A8" w:rsidP="00043D74"/>
    <w:p w14:paraId="50DBAB9A" w14:textId="77777777" w:rsidR="00AC40A8" w:rsidRDefault="00AC40A8" w:rsidP="004344CA">
      <w:pPr>
        <w:pStyle w:val="Heading2"/>
      </w:pPr>
      <w:r>
        <w:br w:type="page"/>
      </w:r>
      <w:r>
        <w:lastRenderedPageBreak/>
        <w:t>Prohibited IRA Investments and Transactions</w:t>
      </w:r>
    </w:p>
    <w:p w14:paraId="16530CF0" w14:textId="77777777" w:rsidR="00AC40A8" w:rsidRDefault="00AC40A8" w:rsidP="001F3D42">
      <w:pPr>
        <w:pStyle w:val="Heading3"/>
      </w:pPr>
      <w:r>
        <w:t>Prohibited IRA Investments</w:t>
      </w:r>
    </w:p>
    <w:p w14:paraId="0B240C70" w14:textId="77777777" w:rsidR="00AC40A8" w:rsidRDefault="00AC40A8" w:rsidP="001C3493">
      <w:r>
        <w:t xml:space="preserve">IRA funds can be invested in a wide range of investments with the following exceptions: </w:t>
      </w:r>
    </w:p>
    <w:p w14:paraId="00FDCF7A" w14:textId="03A77F51" w:rsidR="00AC40A8" w:rsidRDefault="00AC40A8" w:rsidP="00822DE7">
      <w:pPr>
        <w:numPr>
          <w:ilvl w:val="0"/>
          <w:numId w:val="48"/>
        </w:numPr>
      </w:pPr>
      <w:r w:rsidRPr="001F3D42">
        <w:rPr>
          <w:b/>
          <w:i/>
        </w:rPr>
        <w:t>Generally,</w:t>
      </w:r>
      <w:r>
        <w:t xml:space="preserve"> </w:t>
      </w:r>
      <w:r>
        <w:rPr>
          <w:b/>
          <w:i/>
        </w:rPr>
        <w:t>collectibles are NOT permissible investments</w:t>
      </w:r>
      <w:r>
        <w:t xml:space="preserve">. Collectibles include items </w:t>
      </w:r>
      <w:r w:rsidRPr="007F4C0F">
        <w:t>p</w:t>
      </w:r>
      <w:r>
        <w:t>urchased as an investment</w:t>
      </w:r>
      <w:r w:rsidR="002074FC">
        <w:t>,</w:t>
      </w:r>
      <w:r>
        <w:t xml:space="preserve"> </w:t>
      </w:r>
      <w:r w:rsidRPr="007F4C0F">
        <w:t>such as art</w:t>
      </w:r>
      <w:r>
        <w:t xml:space="preserve">, rugs, antiques, gems, stamps, and rare coins.  </w:t>
      </w:r>
    </w:p>
    <w:p w14:paraId="240D23EF" w14:textId="684AE69A" w:rsidR="00AC40A8" w:rsidRDefault="00945288" w:rsidP="001F3D42">
      <w:pPr>
        <w:ind w:left="720"/>
      </w:pPr>
      <w:r>
        <w:t>However</w:t>
      </w:r>
      <w:r w:rsidR="00AC40A8">
        <w:t xml:space="preserve">, gold, silver, or platinum coins minted by the U.S. government or political subdivision thereof may be </w:t>
      </w:r>
      <w:r w:rsidR="00AC40A8" w:rsidRPr="007F4C0F">
        <w:t>purchased</w:t>
      </w:r>
      <w:r w:rsidR="00AC40A8">
        <w:t xml:space="preserve"> by an IRA if purchased directly from the government. Please note that precious metal bullion is not considered a “collectible” and is an acceptable IRA investment.   </w:t>
      </w:r>
    </w:p>
    <w:p w14:paraId="27284C89" w14:textId="77777777" w:rsidR="00AC40A8" w:rsidRDefault="00AC40A8" w:rsidP="00822DE7">
      <w:pPr>
        <w:numPr>
          <w:ilvl w:val="0"/>
          <w:numId w:val="48"/>
        </w:numPr>
      </w:pPr>
      <w:r w:rsidRPr="00C4184D">
        <w:rPr>
          <w:b/>
          <w:i/>
        </w:rPr>
        <w:t xml:space="preserve">Life insurance may </w:t>
      </w:r>
      <w:r>
        <w:rPr>
          <w:b/>
          <w:i/>
        </w:rPr>
        <w:t>NOT</w:t>
      </w:r>
      <w:r w:rsidRPr="00C4184D">
        <w:rPr>
          <w:b/>
          <w:i/>
        </w:rPr>
        <w:t xml:space="preserve"> be held in an IRA.</w:t>
      </w:r>
    </w:p>
    <w:p w14:paraId="500CF866" w14:textId="77777777" w:rsidR="00AC40A8" w:rsidRDefault="00AC40A8" w:rsidP="001F3D42">
      <w:pPr>
        <w:pStyle w:val="Heading3"/>
      </w:pPr>
      <w:r>
        <w:t>Prohibited Transactions</w:t>
      </w:r>
    </w:p>
    <w:p w14:paraId="1CA25456" w14:textId="1C7D8501" w:rsidR="00AC40A8" w:rsidRDefault="00AC40A8" w:rsidP="001C3493">
      <w:r w:rsidRPr="004B04B1">
        <w:t>Certain transactions in an IRA are prohibited. If an IRA owner</w:t>
      </w:r>
      <w:r>
        <w:t xml:space="preserve"> or </w:t>
      </w:r>
      <w:r w:rsidRPr="004B04B1">
        <w:t>beneficiary</w:t>
      </w:r>
      <w:r>
        <w:t xml:space="preserve"> </w:t>
      </w:r>
      <w:r w:rsidRPr="004B04B1">
        <w:t>engages in a prohibited transaction</w:t>
      </w:r>
      <w:r w:rsidR="002074FC">
        <w:t>,</w:t>
      </w:r>
      <w:r w:rsidRPr="004B04B1">
        <w:t xml:space="preserve"> </w:t>
      </w:r>
      <w:r>
        <w:t>then immediate income taxation and potential prematur</w:t>
      </w:r>
      <w:r w:rsidR="00945288">
        <w:t>e distribution penalty</w:t>
      </w:r>
      <w:r>
        <w:t xml:space="preserve"> will result. Examples of </w:t>
      </w:r>
      <w:r>
        <w:rPr>
          <w:b/>
          <w:i/>
        </w:rPr>
        <w:t>prohibited transactions</w:t>
      </w:r>
      <w:r>
        <w:t xml:space="preserve"> include the following transactions between the IRA owner and the IRA: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ook w:val="04A0" w:firstRow="1" w:lastRow="0" w:firstColumn="1" w:lastColumn="0" w:noHBand="0" w:noVBand="1"/>
      </w:tblPr>
      <w:tblGrid>
        <w:gridCol w:w="6930"/>
      </w:tblGrid>
      <w:tr w:rsidR="00AC40A8" w14:paraId="3AB5CE80" w14:textId="77777777" w:rsidTr="001F3D42">
        <w:trPr>
          <w:jc w:val="center"/>
        </w:trPr>
        <w:tc>
          <w:tcPr>
            <w:tcW w:w="6930" w:type="dxa"/>
            <w:shd w:val="clear" w:color="auto" w:fill="CCCCCC"/>
          </w:tcPr>
          <w:p w14:paraId="1A8A18FF" w14:textId="77777777" w:rsidR="00AC40A8" w:rsidRDefault="00AC40A8" w:rsidP="00822DE7">
            <w:pPr>
              <w:numPr>
                <w:ilvl w:val="0"/>
                <w:numId w:val="44"/>
              </w:numPr>
            </w:pPr>
            <w:r>
              <w:t>Borrowing money from the IRA</w:t>
            </w:r>
          </w:p>
          <w:p w14:paraId="3EEDB97E" w14:textId="77777777" w:rsidR="00AC40A8" w:rsidRDefault="00AC40A8" w:rsidP="00822DE7">
            <w:pPr>
              <w:numPr>
                <w:ilvl w:val="0"/>
                <w:numId w:val="44"/>
              </w:numPr>
            </w:pPr>
            <w:r>
              <w:t>Selling property to the IRA</w:t>
            </w:r>
          </w:p>
          <w:p w14:paraId="40F1DBDC" w14:textId="77777777" w:rsidR="00AC40A8" w:rsidRDefault="00AC40A8" w:rsidP="00822DE7">
            <w:pPr>
              <w:numPr>
                <w:ilvl w:val="0"/>
                <w:numId w:val="44"/>
              </w:numPr>
            </w:pPr>
            <w:r>
              <w:t>Receiving unreasonable compensation for managing the IRA</w:t>
            </w:r>
          </w:p>
          <w:p w14:paraId="198C4C88" w14:textId="77777777" w:rsidR="00AC40A8" w:rsidRDefault="00AC40A8" w:rsidP="00822DE7">
            <w:pPr>
              <w:numPr>
                <w:ilvl w:val="0"/>
                <w:numId w:val="44"/>
              </w:numPr>
            </w:pPr>
            <w:r>
              <w:t>Using the IRA as security for a loan</w:t>
            </w:r>
          </w:p>
          <w:p w14:paraId="3660CD6E" w14:textId="77777777" w:rsidR="00AC40A8" w:rsidRPr="00275B02" w:rsidRDefault="00AC40A8" w:rsidP="00822DE7">
            <w:pPr>
              <w:numPr>
                <w:ilvl w:val="0"/>
                <w:numId w:val="44"/>
              </w:numPr>
            </w:pPr>
            <w:r>
              <w:t>Buying property for personal use with IRA funds</w:t>
            </w:r>
          </w:p>
        </w:tc>
      </w:tr>
    </w:tbl>
    <w:p w14:paraId="6BBFE0A9" w14:textId="77777777" w:rsidR="00AC40A8" w:rsidRDefault="00AC40A8" w:rsidP="004344CA">
      <w:pPr>
        <w:pStyle w:val="Heading2"/>
      </w:pPr>
    </w:p>
    <w:p w14:paraId="3B1A9D45" w14:textId="77777777" w:rsidR="00AC40A8" w:rsidRDefault="00AC40A8" w:rsidP="004344CA">
      <w:pPr>
        <w:pStyle w:val="Heading2"/>
        <w:rPr>
          <w:rFonts w:eastAsia="Arial Unicode MS"/>
        </w:rPr>
      </w:pPr>
      <w:r>
        <w:br w:type="page"/>
      </w:r>
      <w:r w:rsidRPr="006F172A">
        <w:rPr>
          <w:rFonts w:eastAsia="Arial Unicode MS"/>
        </w:rPr>
        <w:lastRenderedPageBreak/>
        <w:t>Review</w:t>
      </w:r>
      <w:r>
        <w:rPr>
          <w:rFonts w:eastAsia="Arial Unicode MS"/>
        </w:rPr>
        <w:t xml:space="preserve"> Exercise</w:t>
      </w:r>
    </w:p>
    <w:p w14:paraId="07102CDF" w14:textId="77777777" w:rsidR="00AC40A8" w:rsidRPr="006A14F2" w:rsidRDefault="00AC40A8" w:rsidP="006A14F2">
      <w:pPr>
        <w:rPr>
          <w:rFonts w:eastAsia="Arial Unicode MS"/>
        </w:rPr>
      </w:pPr>
      <w:r w:rsidRPr="00E241CD">
        <w:rPr>
          <w:b/>
          <w:color w:val="FF0000"/>
        </w:rPr>
        <w:t>Review your understanding of the preceding pages by answering the following questions.</w:t>
      </w:r>
    </w:p>
    <w:p w14:paraId="12962175" w14:textId="77777777" w:rsidR="00AC40A8" w:rsidRPr="006A14F2" w:rsidRDefault="00AC40A8" w:rsidP="00822DE7">
      <w:pPr>
        <w:numPr>
          <w:ilvl w:val="0"/>
          <w:numId w:val="22"/>
        </w:numPr>
        <w:ind w:left="360"/>
        <w:rPr>
          <w:b/>
          <w:bCs/>
        </w:rPr>
      </w:pPr>
      <w:r w:rsidRPr="006A14F2">
        <w:rPr>
          <w:b/>
          <w:bCs/>
        </w:rPr>
        <w:t>Which of the following statements is true?</w:t>
      </w:r>
    </w:p>
    <w:p w14:paraId="248E530F" w14:textId="77777777" w:rsidR="00AC40A8" w:rsidRPr="004F06B2" w:rsidRDefault="00AC40A8" w:rsidP="00822DE7">
      <w:pPr>
        <w:numPr>
          <w:ilvl w:val="0"/>
          <w:numId w:val="23"/>
        </w:numPr>
      </w:pPr>
      <w:r w:rsidRPr="004F06B2">
        <w:t>Participation in a Traditional IRA is prohibited if modified AGI is above certain limits.</w:t>
      </w:r>
    </w:p>
    <w:p w14:paraId="031519DB" w14:textId="77777777" w:rsidR="00AC40A8" w:rsidRPr="004F06B2" w:rsidRDefault="00AC40A8" w:rsidP="00EC3ACC">
      <w:pPr>
        <w:pStyle w:val="ReviewAnswer"/>
      </w:pPr>
      <w:r w:rsidRPr="00155727">
        <w:rPr>
          <w:rStyle w:val="Strong"/>
        </w:rPr>
        <w:t>Incorrect</w:t>
      </w:r>
      <w:r w:rsidRPr="004F06B2">
        <w:t>.  Participation is not prohibited by a person’s level of modified AGI, although the deductibility of the contribution might be phased out at certain modified AGI levels IF the person is also a participant in a</w:t>
      </w:r>
      <w:r>
        <w:t>n employer-sponsored plan</w:t>
      </w:r>
      <w:r w:rsidRPr="004F06B2">
        <w:t>.  Try again.</w:t>
      </w:r>
    </w:p>
    <w:p w14:paraId="5B8D8AE6" w14:textId="77777777" w:rsidR="00AC40A8" w:rsidRPr="004F06B2" w:rsidRDefault="00AC40A8" w:rsidP="00822DE7">
      <w:pPr>
        <w:numPr>
          <w:ilvl w:val="0"/>
          <w:numId w:val="23"/>
        </w:numPr>
      </w:pPr>
      <w:r w:rsidRPr="004F06B2">
        <w:t>The tax deductibility of contributions to a Traditional IRA is phased out if modified AGI exceeds certain limits.</w:t>
      </w:r>
    </w:p>
    <w:p w14:paraId="60167711" w14:textId="77777777" w:rsidR="00AC40A8" w:rsidRPr="004F06B2" w:rsidRDefault="00AC40A8" w:rsidP="00EC3ACC">
      <w:pPr>
        <w:pStyle w:val="ReviewAnswer"/>
      </w:pPr>
      <w:r w:rsidRPr="00155727">
        <w:rPr>
          <w:rStyle w:val="Strong"/>
        </w:rPr>
        <w:t>Incorrect</w:t>
      </w:r>
      <w:r w:rsidRPr="004F06B2">
        <w:t xml:space="preserve">.  The tax deductibility of contributions is contingent on two factors: modified AGI and whether an individual and/or the spouse is also a participant in an </w:t>
      </w:r>
      <w:r>
        <w:t>employer-sponsored plan</w:t>
      </w:r>
      <w:r w:rsidRPr="004F06B2">
        <w:t>. Try again.</w:t>
      </w:r>
    </w:p>
    <w:p w14:paraId="58E2AC07" w14:textId="77777777" w:rsidR="00AC40A8" w:rsidRPr="004F06B2" w:rsidRDefault="00AC40A8" w:rsidP="00822DE7">
      <w:pPr>
        <w:numPr>
          <w:ilvl w:val="0"/>
          <w:numId w:val="23"/>
        </w:numPr>
      </w:pPr>
      <w:r w:rsidRPr="004F06B2">
        <w:t xml:space="preserve">An employee is prohibited from participating in a Roth IRA if the employee also participates in an </w:t>
      </w:r>
      <w:r>
        <w:t>employer-sponsored plan</w:t>
      </w:r>
      <w:r w:rsidRPr="004F06B2">
        <w:t>.</w:t>
      </w:r>
    </w:p>
    <w:p w14:paraId="0AEE751E" w14:textId="77777777" w:rsidR="00AC40A8" w:rsidRPr="004F06B2" w:rsidRDefault="00AC40A8" w:rsidP="00EC3ACC">
      <w:pPr>
        <w:pStyle w:val="ReviewAnswer"/>
      </w:pPr>
      <w:r w:rsidRPr="00155727">
        <w:rPr>
          <w:rStyle w:val="Strong"/>
        </w:rPr>
        <w:t>Incorrect</w:t>
      </w:r>
      <w:r w:rsidRPr="004F06B2">
        <w:t xml:space="preserve">.  Participation in an </w:t>
      </w:r>
      <w:r>
        <w:t>employer-sponsored plan</w:t>
      </w:r>
      <w:r w:rsidRPr="004F06B2">
        <w:t xml:space="preserve"> does not prohibit individuals from participation in a Roth IRA.  Try again.</w:t>
      </w:r>
    </w:p>
    <w:p w14:paraId="790FBAF0" w14:textId="77777777" w:rsidR="00AC40A8" w:rsidRPr="002074FC" w:rsidRDefault="00AC40A8" w:rsidP="00822DE7">
      <w:pPr>
        <w:numPr>
          <w:ilvl w:val="0"/>
          <w:numId w:val="23"/>
        </w:numPr>
        <w:rPr>
          <w:rStyle w:val="Strong"/>
        </w:rPr>
      </w:pPr>
      <w:r w:rsidRPr="002074FC">
        <w:rPr>
          <w:rStyle w:val="Strong"/>
        </w:rPr>
        <w:t>Neither level of modified AGI nor participation in an employer-sponsored plan can prohibit an individual with earned income from making a contribution to a Traditional IRA.</w:t>
      </w:r>
    </w:p>
    <w:p w14:paraId="6B838E7C" w14:textId="77777777" w:rsidR="00AC40A8" w:rsidRPr="004F06B2" w:rsidRDefault="00AC40A8" w:rsidP="00EC3ACC">
      <w:pPr>
        <w:pStyle w:val="ReviewAnswer"/>
      </w:pPr>
      <w:r w:rsidRPr="00155727">
        <w:rPr>
          <w:rStyle w:val="Strong"/>
        </w:rPr>
        <w:t>Correct</w:t>
      </w:r>
      <w:r w:rsidRPr="004F06B2">
        <w:t xml:space="preserve">.  Anyone with taxable compensation can make a contribution to an IRA, although these factors may have bearing on the deductibility of the contribution. </w:t>
      </w:r>
    </w:p>
    <w:p w14:paraId="30FE0A48" w14:textId="77777777" w:rsidR="00AC40A8" w:rsidRPr="006A14F2" w:rsidRDefault="00AC40A8" w:rsidP="00822DE7">
      <w:pPr>
        <w:numPr>
          <w:ilvl w:val="0"/>
          <w:numId w:val="22"/>
        </w:numPr>
        <w:ind w:left="360"/>
        <w:rPr>
          <w:b/>
          <w:bCs/>
        </w:rPr>
      </w:pPr>
      <w:r w:rsidRPr="006A14F2">
        <w:rPr>
          <w:b/>
        </w:rPr>
        <w:t>Generally speaking, an individual must be under age 70½ to make a contribution to a Roth IRA.</w:t>
      </w:r>
    </w:p>
    <w:p w14:paraId="1CDD40E7" w14:textId="77777777" w:rsidR="00AC40A8" w:rsidRPr="00874838" w:rsidRDefault="00AC40A8" w:rsidP="00822DE7">
      <w:pPr>
        <w:numPr>
          <w:ilvl w:val="0"/>
          <w:numId w:val="11"/>
        </w:numPr>
      </w:pPr>
      <w:r w:rsidRPr="00874838">
        <w:t>True</w:t>
      </w:r>
    </w:p>
    <w:p w14:paraId="6F0FA21A" w14:textId="77777777" w:rsidR="00AC40A8" w:rsidRPr="00874838" w:rsidRDefault="00AC40A8" w:rsidP="00EC3ACC">
      <w:pPr>
        <w:pStyle w:val="ReviewAnswer"/>
      </w:pPr>
      <w:r w:rsidRPr="00874838">
        <w:rPr>
          <w:rStyle w:val="Strong"/>
        </w:rPr>
        <w:t>Incorrect</w:t>
      </w:r>
      <w:r w:rsidRPr="00874838">
        <w:t>. This is only true for the Traditional IRA.</w:t>
      </w:r>
    </w:p>
    <w:p w14:paraId="45CAA486" w14:textId="77777777" w:rsidR="00AC40A8" w:rsidRPr="00874838" w:rsidRDefault="00AC40A8" w:rsidP="00822DE7">
      <w:pPr>
        <w:numPr>
          <w:ilvl w:val="0"/>
          <w:numId w:val="11"/>
        </w:numPr>
      </w:pPr>
      <w:r w:rsidRPr="00D60A38">
        <w:rPr>
          <w:rStyle w:val="Strong"/>
        </w:rPr>
        <w:t>False</w:t>
      </w:r>
    </w:p>
    <w:p w14:paraId="0A1683DF" w14:textId="77777777" w:rsidR="00AC40A8" w:rsidRPr="00874838" w:rsidRDefault="00AC40A8" w:rsidP="00EC3ACC">
      <w:pPr>
        <w:pStyle w:val="ReviewAnswer"/>
      </w:pPr>
      <w:r w:rsidRPr="00874838">
        <w:rPr>
          <w:rStyle w:val="Strong"/>
        </w:rPr>
        <w:t>Correct</w:t>
      </w:r>
      <w:r w:rsidRPr="00874838">
        <w:t>. This is only true for the Traditional IRA.</w:t>
      </w:r>
    </w:p>
    <w:p w14:paraId="1CCDB7AA" w14:textId="48BBA984" w:rsidR="00AC40A8" w:rsidRPr="006A14F2" w:rsidRDefault="00AC40A8" w:rsidP="00822DE7">
      <w:pPr>
        <w:numPr>
          <w:ilvl w:val="0"/>
          <w:numId w:val="22"/>
        </w:numPr>
        <w:ind w:left="360"/>
        <w:rPr>
          <w:b/>
          <w:bCs/>
        </w:rPr>
      </w:pPr>
      <w:r w:rsidRPr="006A14F2">
        <w:rPr>
          <w:b/>
          <w:bCs/>
        </w:rPr>
        <w:t xml:space="preserve">For </w:t>
      </w:r>
      <w:r w:rsidR="002D2503">
        <w:rPr>
          <w:b/>
          <w:bCs/>
        </w:rPr>
        <w:t>2016</w:t>
      </w:r>
      <w:r w:rsidRPr="006A14F2">
        <w:rPr>
          <w:b/>
          <w:bCs/>
        </w:rPr>
        <w:t>, the maximum contribution an individual aged 58 can make into a Traditional or Roth IRA is:</w:t>
      </w:r>
    </w:p>
    <w:p w14:paraId="1B0BAA56" w14:textId="77777777" w:rsidR="00AC40A8" w:rsidRPr="00B34D8F" w:rsidRDefault="00AC40A8" w:rsidP="00822DE7">
      <w:pPr>
        <w:numPr>
          <w:ilvl w:val="0"/>
          <w:numId w:val="11"/>
        </w:numPr>
      </w:pPr>
      <w:r w:rsidRPr="00B34D8F">
        <w:t>$2,500</w:t>
      </w:r>
    </w:p>
    <w:p w14:paraId="299253D9" w14:textId="77777777" w:rsidR="00AC40A8" w:rsidRPr="00B34D8F" w:rsidRDefault="00AC40A8" w:rsidP="00EC3ACC">
      <w:pPr>
        <w:pStyle w:val="ReviewAnswer"/>
      </w:pPr>
      <w:r w:rsidRPr="00EF213D">
        <w:rPr>
          <w:rStyle w:val="Strong"/>
        </w:rPr>
        <w:t>Incorrect</w:t>
      </w:r>
      <w:r w:rsidRPr="00B34D8F">
        <w:t>.  Try again.</w:t>
      </w:r>
    </w:p>
    <w:p w14:paraId="6DA784EB" w14:textId="4313E016" w:rsidR="00AC40A8" w:rsidRPr="00B34D8F" w:rsidRDefault="00AC40A8" w:rsidP="00822DE7">
      <w:pPr>
        <w:numPr>
          <w:ilvl w:val="0"/>
          <w:numId w:val="11"/>
        </w:numPr>
      </w:pPr>
      <w:r w:rsidRPr="00B34D8F">
        <w:t>$5,</w:t>
      </w:r>
      <w:r>
        <w:t>5</w:t>
      </w:r>
      <w:r w:rsidRPr="00B34D8F">
        <w:t>00</w:t>
      </w:r>
    </w:p>
    <w:p w14:paraId="4EA32A73" w14:textId="77777777" w:rsidR="00AC40A8" w:rsidRPr="00B34D8F" w:rsidRDefault="00AC40A8" w:rsidP="00EC3ACC">
      <w:pPr>
        <w:pStyle w:val="ReviewAnswer"/>
      </w:pPr>
      <w:r w:rsidRPr="00EF213D">
        <w:rPr>
          <w:rStyle w:val="Strong"/>
        </w:rPr>
        <w:t>Incorrect</w:t>
      </w:r>
      <w:r w:rsidRPr="00B34D8F">
        <w:t>.  Try again.</w:t>
      </w:r>
    </w:p>
    <w:p w14:paraId="64A05A03" w14:textId="77777777" w:rsidR="00AC40A8" w:rsidRPr="00D60A38" w:rsidRDefault="00AC40A8" w:rsidP="00822DE7">
      <w:pPr>
        <w:numPr>
          <w:ilvl w:val="0"/>
          <w:numId w:val="11"/>
        </w:numPr>
        <w:rPr>
          <w:rStyle w:val="Strong"/>
        </w:rPr>
      </w:pPr>
      <w:r w:rsidRPr="00D60A38">
        <w:rPr>
          <w:rStyle w:val="Strong"/>
        </w:rPr>
        <w:t>$6,</w:t>
      </w:r>
      <w:r>
        <w:rPr>
          <w:rStyle w:val="Strong"/>
        </w:rPr>
        <w:t>5</w:t>
      </w:r>
      <w:r w:rsidRPr="00D60A38">
        <w:rPr>
          <w:rStyle w:val="Strong"/>
        </w:rPr>
        <w:t>00</w:t>
      </w:r>
    </w:p>
    <w:p w14:paraId="76AA15EE" w14:textId="5F90087D" w:rsidR="00AC40A8" w:rsidRPr="00B34D8F" w:rsidRDefault="00AC40A8" w:rsidP="00EC3ACC">
      <w:pPr>
        <w:pStyle w:val="ReviewAnswer"/>
      </w:pPr>
      <w:r w:rsidRPr="00EF213D">
        <w:rPr>
          <w:rStyle w:val="Strong"/>
        </w:rPr>
        <w:t>Correct</w:t>
      </w:r>
      <w:r w:rsidRPr="00B34D8F">
        <w:t>.  For individuals aged 50 or over, the maximum contribution is $5,</w:t>
      </w:r>
      <w:r>
        <w:t>5</w:t>
      </w:r>
      <w:r w:rsidRPr="00B34D8F">
        <w:t>00</w:t>
      </w:r>
      <w:r w:rsidR="00F43F29">
        <w:t xml:space="preserve"> </w:t>
      </w:r>
      <w:r w:rsidRPr="00B34D8F">
        <w:t>plus the catch-up contribution of $1,000.</w:t>
      </w:r>
    </w:p>
    <w:p w14:paraId="76183A6D" w14:textId="77777777" w:rsidR="00AC40A8" w:rsidRPr="00B34D8F" w:rsidRDefault="00AC40A8" w:rsidP="00822DE7">
      <w:pPr>
        <w:numPr>
          <w:ilvl w:val="0"/>
          <w:numId w:val="11"/>
        </w:numPr>
      </w:pPr>
      <w:r w:rsidRPr="00B34D8F">
        <w:t>$7,</w:t>
      </w:r>
      <w:r>
        <w:t>5</w:t>
      </w:r>
      <w:r w:rsidRPr="00B34D8F">
        <w:t>00</w:t>
      </w:r>
    </w:p>
    <w:p w14:paraId="1A866841" w14:textId="77777777" w:rsidR="00AC40A8" w:rsidRPr="00B34D8F" w:rsidRDefault="00AC40A8" w:rsidP="00EC3ACC">
      <w:pPr>
        <w:pStyle w:val="ReviewAnswer"/>
      </w:pPr>
      <w:r w:rsidRPr="00EF213D">
        <w:rPr>
          <w:rStyle w:val="Strong"/>
        </w:rPr>
        <w:t>Incorrect</w:t>
      </w:r>
      <w:r w:rsidRPr="00B34D8F">
        <w:t>.  Try again.</w:t>
      </w:r>
    </w:p>
    <w:p w14:paraId="315A3472" w14:textId="77777777" w:rsidR="00AC40A8" w:rsidRPr="006A14F2" w:rsidRDefault="00AC40A8" w:rsidP="00822DE7">
      <w:pPr>
        <w:numPr>
          <w:ilvl w:val="0"/>
          <w:numId w:val="22"/>
        </w:numPr>
        <w:ind w:left="360"/>
        <w:rPr>
          <w:b/>
          <w:bCs/>
        </w:rPr>
      </w:pPr>
      <w:r w:rsidRPr="006A14F2">
        <w:rPr>
          <w:b/>
        </w:rPr>
        <w:lastRenderedPageBreak/>
        <w:t xml:space="preserve">Julie is trying to determine if she is eligible to make an IRA contribution, but she is not sure which sources of her income are considered “taxable compensation.” She gives you a list of her income sources for the current year and you point out which one is NOT “taxable </w:t>
      </w:r>
      <w:r>
        <w:rPr>
          <w:b/>
        </w:rPr>
        <w:t>compensation</w:t>
      </w:r>
      <w:r w:rsidRPr="006A14F2">
        <w:rPr>
          <w:b/>
        </w:rPr>
        <w:t>” for purposes of qualifying for an IRA. It is:</w:t>
      </w:r>
    </w:p>
    <w:p w14:paraId="6C9AC10B" w14:textId="77777777" w:rsidR="00AC40A8" w:rsidRPr="006C7757" w:rsidRDefault="00AC40A8" w:rsidP="00822DE7">
      <w:pPr>
        <w:numPr>
          <w:ilvl w:val="0"/>
          <w:numId w:val="11"/>
        </w:numPr>
      </w:pPr>
      <w:r w:rsidRPr="006C7757">
        <w:t>Salary from employment of $30,000.</w:t>
      </w:r>
    </w:p>
    <w:p w14:paraId="07ECB5B7" w14:textId="77777777" w:rsidR="00AC40A8" w:rsidRPr="006C7757" w:rsidRDefault="00AC40A8" w:rsidP="00EC3ACC">
      <w:pPr>
        <w:pStyle w:val="ReviewAnswer"/>
      </w:pPr>
      <w:r w:rsidRPr="006C7757">
        <w:rPr>
          <w:rStyle w:val="Strong"/>
        </w:rPr>
        <w:t>Incorrect</w:t>
      </w:r>
      <w:r w:rsidRPr="006C7757">
        <w:t xml:space="preserve">. Salary is taxable compensation. </w:t>
      </w:r>
      <w:r w:rsidRPr="006C7757">
        <w:rPr>
          <w:rFonts w:eastAsia="Arial Unicode MS"/>
        </w:rPr>
        <w:t>Try again.</w:t>
      </w:r>
    </w:p>
    <w:p w14:paraId="1F03E48E" w14:textId="77777777" w:rsidR="00AC40A8" w:rsidRPr="006C7757" w:rsidRDefault="00AC40A8" w:rsidP="00822DE7">
      <w:pPr>
        <w:numPr>
          <w:ilvl w:val="0"/>
          <w:numId w:val="11"/>
        </w:numPr>
        <w:rPr>
          <w:rFonts w:eastAsia="Arial Unicode MS"/>
        </w:rPr>
      </w:pPr>
      <w:r w:rsidRPr="006C7757">
        <w:t>Alimony of $12,000 from her ex-husband</w:t>
      </w:r>
    </w:p>
    <w:p w14:paraId="7363E277" w14:textId="77777777" w:rsidR="00AC40A8" w:rsidRPr="006C7757" w:rsidRDefault="00AC40A8" w:rsidP="00EC3ACC">
      <w:pPr>
        <w:pStyle w:val="ReviewAnswer"/>
      </w:pPr>
      <w:r w:rsidRPr="006C47BA">
        <w:rPr>
          <w:rStyle w:val="Strong"/>
        </w:rPr>
        <w:t>Incorrect</w:t>
      </w:r>
      <w:r w:rsidRPr="006C7757">
        <w:t xml:space="preserve">. Alimony is </w:t>
      </w:r>
      <w:r>
        <w:t xml:space="preserve">considered </w:t>
      </w:r>
      <w:r w:rsidRPr="006C7757">
        <w:t xml:space="preserve">taxable compensation. </w:t>
      </w:r>
      <w:r w:rsidRPr="006C7757">
        <w:rPr>
          <w:rFonts w:eastAsia="Arial Unicode MS"/>
        </w:rPr>
        <w:t>Try again.</w:t>
      </w:r>
    </w:p>
    <w:p w14:paraId="59F3E8FD" w14:textId="77777777" w:rsidR="00AC40A8" w:rsidRPr="00EC3ACC" w:rsidRDefault="00AC40A8" w:rsidP="00822DE7">
      <w:pPr>
        <w:numPr>
          <w:ilvl w:val="0"/>
          <w:numId w:val="11"/>
        </w:numPr>
        <w:rPr>
          <w:rStyle w:val="Strong"/>
        </w:rPr>
      </w:pPr>
      <w:r w:rsidRPr="00EC3ACC">
        <w:rPr>
          <w:rStyle w:val="Strong"/>
        </w:rPr>
        <w:t>$3,500 of interest from municipal bonds.</w:t>
      </w:r>
    </w:p>
    <w:p w14:paraId="7D3E1231" w14:textId="77777777" w:rsidR="00AC40A8" w:rsidRPr="006C7757" w:rsidRDefault="00AC40A8" w:rsidP="00EC3ACC">
      <w:pPr>
        <w:pStyle w:val="ReviewAnswer"/>
      </w:pPr>
      <w:r w:rsidRPr="006E6250">
        <w:rPr>
          <w:rStyle w:val="Strong"/>
        </w:rPr>
        <w:t>Correct</w:t>
      </w:r>
      <w:r w:rsidRPr="006C7757">
        <w:t>. Earnings and profits from property are not taxable compensation.</w:t>
      </w:r>
    </w:p>
    <w:p w14:paraId="514CCB4D" w14:textId="0A0E822F" w:rsidR="00AC40A8" w:rsidRPr="006A14F2" w:rsidRDefault="00AC40A8" w:rsidP="00822DE7">
      <w:pPr>
        <w:numPr>
          <w:ilvl w:val="0"/>
          <w:numId w:val="22"/>
        </w:numPr>
        <w:ind w:left="360"/>
        <w:rPr>
          <w:b/>
          <w:bCs/>
        </w:rPr>
      </w:pPr>
      <w:r w:rsidRPr="006A14F2">
        <w:rPr>
          <w:b/>
          <w:bCs/>
        </w:rPr>
        <w:t>Jack and Jackie are married and file jointly. Both are 35. They will jointly receive $98,000 this year (</w:t>
      </w:r>
      <w:r w:rsidR="002D2503">
        <w:rPr>
          <w:b/>
          <w:bCs/>
        </w:rPr>
        <w:t>2016</w:t>
      </w:r>
      <w:r w:rsidRPr="006A14F2">
        <w:rPr>
          <w:b/>
          <w:bCs/>
        </w:rPr>
        <w:t>) in dividends and interest from investments. Jackie has started an interior design business and will have a net profit of $2,500. Jack does a little consulting and will have a net profit of $6,500. Jack want</w:t>
      </w:r>
      <w:r>
        <w:rPr>
          <w:b/>
          <w:bCs/>
        </w:rPr>
        <w:t>s</w:t>
      </w:r>
      <w:r w:rsidRPr="006A14F2">
        <w:rPr>
          <w:b/>
          <w:bCs/>
        </w:rPr>
        <w:t xml:space="preserve"> to put </w:t>
      </w:r>
      <w:r>
        <w:rPr>
          <w:b/>
          <w:bCs/>
        </w:rPr>
        <w:t>the</w:t>
      </w:r>
      <w:r w:rsidRPr="006A14F2">
        <w:rPr>
          <w:b/>
          <w:bCs/>
        </w:rPr>
        <w:t xml:space="preserve"> maximum contribution into a Roth IRA for Jackie and whatever else he can contribute into a Roth for himself. What would the two contributions be for </w:t>
      </w:r>
      <w:r w:rsidR="002D2503">
        <w:rPr>
          <w:b/>
          <w:bCs/>
        </w:rPr>
        <w:t>2016</w:t>
      </w:r>
      <w:r w:rsidRPr="006A14F2">
        <w:rPr>
          <w:b/>
          <w:bCs/>
        </w:rPr>
        <w:t>?</w:t>
      </w:r>
    </w:p>
    <w:p w14:paraId="0A201939" w14:textId="77777777" w:rsidR="00AC40A8" w:rsidRPr="00172A9A" w:rsidRDefault="00AC40A8" w:rsidP="00822DE7">
      <w:pPr>
        <w:numPr>
          <w:ilvl w:val="0"/>
          <w:numId w:val="11"/>
        </w:numPr>
        <w:rPr>
          <w:rFonts w:eastAsia="Arial Unicode MS"/>
        </w:rPr>
      </w:pPr>
      <w:r w:rsidRPr="00172A9A">
        <w:rPr>
          <w:rFonts w:eastAsia="Arial Unicode MS"/>
        </w:rPr>
        <w:t>$4,500 to Jackie’s IRA, $4,500 to Jack’s IRA</w:t>
      </w:r>
    </w:p>
    <w:p w14:paraId="0C7467CB" w14:textId="77777777" w:rsidR="00AC40A8" w:rsidRPr="00172A9A" w:rsidRDefault="00AC40A8" w:rsidP="00EC3ACC">
      <w:pPr>
        <w:pStyle w:val="ReviewAnswer"/>
        <w:rPr>
          <w:rFonts w:eastAsia="Arial Unicode MS"/>
        </w:rPr>
      </w:pPr>
      <w:r w:rsidRPr="009471DC">
        <w:rPr>
          <w:rStyle w:val="Strong"/>
          <w:rFonts w:eastAsia="Arial Unicode MS"/>
        </w:rPr>
        <w:t>Incorrect</w:t>
      </w:r>
      <w:r w:rsidRPr="00172A9A">
        <w:rPr>
          <w:rFonts w:eastAsia="Arial Unicode MS"/>
        </w:rPr>
        <w:t>. Try again.</w:t>
      </w:r>
    </w:p>
    <w:p w14:paraId="68BE802E" w14:textId="1EDF219A" w:rsidR="00AC40A8" w:rsidRPr="00172A9A" w:rsidRDefault="00AC40A8" w:rsidP="00822DE7">
      <w:pPr>
        <w:numPr>
          <w:ilvl w:val="0"/>
          <w:numId w:val="11"/>
        </w:numPr>
        <w:rPr>
          <w:rFonts w:eastAsia="Arial Unicode MS"/>
        </w:rPr>
      </w:pPr>
      <w:r w:rsidRPr="00172A9A">
        <w:rPr>
          <w:rFonts w:eastAsia="Arial Unicode MS"/>
        </w:rPr>
        <w:t>$2,500 to Jackie’s IRA, $5,</w:t>
      </w:r>
      <w:r>
        <w:rPr>
          <w:rFonts w:eastAsia="Arial Unicode MS"/>
        </w:rPr>
        <w:t>5</w:t>
      </w:r>
      <w:r w:rsidRPr="00172A9A">
        <w:rPr>
          <w:rFonts w:eastAsia="Arial Unicode MS"/>
        </w:rPr>
        <w:t>00 to Jack’s IRA</w:t>
      </w:r>
    </w:p>
    <w:p w14:paraId="6F484FB5" w14:textId="77777777" w:rsidR="00AC40A8" w:rsidRPr="00172A9A" w:rsidRDefault="00AC40A8" w:rsidP="00EC3ACC">
      <w:pPr>
        <w:pStyle w:val="ReviewAnswer"/>
        <w:rPr>
          <w:rFonts w:eastAsia="Arial Unicode MS"/>
        </w:rPr>
      </w:pPr>
      <w:r w:rsidRPr="009471DC">
        <w:rPr>
          <w:rStyle w:val="Strong"/>
          <w:rFonts w:eastAsia="Arial Unicode MS"/>
        </w:rPr>
        <w:t>Incorrect</w:t>
      </w:r>
      <w:r w:rsidRPr="00172A9A">
        <w:rPr>
          <w:rFonts w:eastAsia="Arial Unicode MS"/>
        </w:rPr>
        <w:t>. Try again.</w:t>
      </w:r>
    </w:p>
    <w:p w14:paraId="4426BB47" w14:textId="0A10863A" w:rsidR="00AC40A8" w:rsidRPr="00EC3ACC" w:rsidRDefault="00AC40A8" w:rsidP="00822DE7">
      <w:pPr>
        <w:numPr>
          <w:ilvl w:val="0"/>
          <w:numId w:val="11"/>
        </w:numPr>
        <w:rPr>
          <w:rStyle w:val="Strong"/>
          <w:rFonts w:eastAsia="Arial Unicode MS"/>
        </w:rPr>
      </w:pPr>
      <w:r w:rsidRPr="00EC3ACC">
        <w:rPr>
          <w:rStyle w:val="Strong"/>
          <w:rFonts w:eastAsia="Arial Unicode MS"/>
        </w:rPr>
        <w:t>$5,</w:t>
      </w:r>
      <w:r>
        <w:rPr>
          <w:rStyle w:val="Strong"/>
          <w:rFonts w:eastAsia="Arial Unicode MS"/>
        </w:rPr>
        <w:t>5</w:t>
      </w:r>
      <w:r w:rsidRPr="00EC3ACC">
        <w:rPr>
          <w:rStyle w:val="Strong"/>
          <w:rFonts w:eastAsia="Arial Unicode MS"/>
        </w:rPr>
        <w:t>00 to Jackie’s IRA, $</w:t>
      </w:r>
      <w:r>
        <w:rPr>
          <w:rStyle w:val="Strong"/>
          <w:rFonts w:eastAsia="Arial Unicode MS"/>
        </w:rPr>
        <w:t>3</w:t>
      </w:r>
      <w:r w:rsidRPr="00EC3ACC">
        <w:rPr>
          <w:rStyle w:val="Strong"/>
          <w:rFonts w:eastAsia="Arial Unicode MS"/>
        </w:rPr>
        <w:t>,</w:t>
      </w:r>
      <w:r>
        <w:rPr>
          <w:rStyle w:val="Strong"/>
          <w:rFonts w:eastAsia="Arial Unicode MS"/>
        </w:rPr>
        <w:t>5</w:t>
      </w:r>
      <w:r w:rsidRPr="00EC3ACC">
        <w:rPr>
          <w:rStyle w:val="Strong"/>
          <w:rFonts w:eastAsia="Arial Unicode MS"/>
        </w:rPr>
        <w:t>00 to Jack’s IRA</w:t>
      </w:r>
    </w:p>
    <w:p w14:paraId="1CEB7B9F" w14:textId="77777777" w:rsidR="00AC40A8" w:rsidRPr="00172A9A" w:rsidRDefault="00AC40A8" w:rsidP="00EC3ACC">
      <w:pPr>
        <w:pStyle w:val="ReviewAnswer"/>
        <w:rPr>
          <w:rFonts w:eastAsia="Arial Unicode MS"/>
        </w:rPr>
      </w:pPr>
      <w:r w:rsidRPr="009471DC">
        <w:rPr>
          <w:rStyle w:val="Strong"/>
          <w:rFonts w:eastAsia="Arial Unicode MS"/>
        </w:rPr>
        <w:t>Correct</w:t>
      </w:r>
      <w:r w:rsidRPr="00172A9A">
        <w:rPr>
          <w:rFonts w:eastAsia="Arial Unicode MS"/>
        </w:rPr>
        <w:t>. Jackie qualifies for a $2,500 contribution based on her income, but Jack can make a spousal contribution of $</w:t>
      </w:r>
      <w:r>
        <w:rPr>
          <w:rFonts w:eastAsia="Arial Unicode MS"/>
        </w:rPr>
        <w:t>3</w:t>
      </w:r>
      <w:r w:rsidRPr="00172A9A">
        <w:rPr>
          <w:rFonts w:eastAsia="Arial Unicode MS"/>
        </w:rPr>
        <w:t>,</w:t>
      </w:r>
      <w:r>
        <w:rPr>
          <w:rFonts w:eastAsia="Arial Unicode MS"/>
        </w:rPr>
        <w:t>0</w:t>
      </w:r>
      <w:r w:rsidRPr="00172A9A">
        <w:rPr>
          <w:rFonts w:eastAsia="Arial Unicode MS"/>
        </w:rPr>
        <w:t>00 to Jackie’s IRA. Jack has $6,500 of taxable compensation, but he “used up” $</w:t>
      </w:r>
      <w:r>
        <w:rPr>
          <w:rFonts w:eastAsia="Arial Unicode MS"/>
        </w:rPr>
        <w:t>3</w:t>
      </w:r>
      <w:r w:rsidRPr="00172A9A">
        <w:rPr>
          <w:rFonts w:eastAsia="Arial Unicode MS"/>
        </w:rPr>
        <w:t>,</w:t>
      </w:r>
      <w:r>
        <w:rPr>
          <w:rFonts w:eastAsia="Arial Unicode MS"/>
        </w:rPr>
        <w:t>0</w:t>
      </w:r>
      <w:r w:rsidRPr="00172A9A">
        <w:rPr>
          <w:rFonts w:eastAsia="Arial Unicode MS"/>
        </w:rPr>
        <w:t>00 of it to fund Jackie’s IRA. Thus, Jack can contribute a maximum of $</w:t>
      </w:r>
      <w:r>
        <w:rPr>
          <w:rFonts w:eastAsia="Arial Unicode MS"/>
        </w:rPr>
        <w:t>3</w:t>
      </w:r>
      <w:r w:rsidRPr="00172A9A">
        <w:rPr>
          <w:rFonts w:eastAsia="Arial Unicode MS"/>
        </w:rPr>
        <w:t>,</w:t>
      </w:r>
      <w:r>
        <w:rPr>
          <w:rFonts w:eastAsia="Arial Unicode MS"/>
        </w:rPr>
        <w:t>5</w:t>
      </w:r>
      <w:r w:rsidRPr="00172A9A">
        <w:rPr>
          <w:rFonts w:eastAsia="Arial Unicode MS"/>
        </w:rPr>
        <w:t>00 to his IRA.</w:t>
      </w:r>
    </w:p>
    <w:p w14:paraId="10F23AA9" w14:textId="77777777" w:rsidR="00AC40A8" w:rsidRPr="00172A9A" w:rsidRDefault="00AC40A8" w:rsidP="00822DE7">
      <w:pPr>
        <w:numPr>
          <w:ilvl w:val="0"/>
          <w:numId w:val="11"/>
        </w:numPr>
        <w:rPr>
          <w:rFonts w:eastAsia="Arial Unicode MS"/>
        </w:rPr>
      </w:pPr>
      <w:r w:rsidRPr="00172A9A">
        <w:rPr>
          <w:rFonts w:eastAsia="Arial Unicode MS"/>
        </w:rPr>
        <w:t>$2,500 to Jackie’s IRA, $6,500 to Jack’s IRA</w:t>
      </w:r>
    </w:p>
    <w:p w14:paraId="37C12C34" w14:textId="77777777" w:rsidR="00AC40A8" w:rsidRPr="00172A9A" w:rsidRDefault="00AC40A8" w:rsidP="00EC3ACC">
      <w:pPr>
        <w:pStyle w:val="ReviewAnswer"/>
        <w:rPr>
          <w:rFonts w:eastAsia="Arial Unicode MS"/>
        </w:rPr>
      </w:pPr>
      <w:r w:rsidRPr="009471DC">
        <w:rPr>
          <w:rStyle w:val="Strong"/>
          <w:rFonts w:eastAsia="Arial Unicode MS"/>
        </w:rPr>
        <w:t>Incorrect</w:t>
      </w:r>
      <w:r w:rsidRPr="00172A9A">
        <w:rPr>
          <w:rFonts w:eastAsia="Arial Unicode MS"/>
        </w:rPr>
        <w:t>. Try again.</w:t>
      </w:r>
    </w:p>
    <w:p w14:paraId="08C99352" w14:textId="21765615" w:rsidR="00AC40A8" w:rsidRPr="000C36AB" w:rsidRDefault="00AC40A8" w:rsidP="004344CA">
      <w:pPr>
        <w:pStyle w:val="Heading2"/>
      </w:pPr>
      <w:r w:rsidRPr="00E241CD">
        <w:rPr>
          <w:sz w:val="20"/>
          <w:szCs w:val="20"/>
        </w:rPr>
        <w:br w:type="page"/>
      </w:r>
      <w:r>
        <w:lastRenderedPageBreak/>
        <w:t xml:space="preserve">How Much </w:t>
      </w:r>
      <w:r w:rsidRPr="000C36AB">
        <w:t xml:space="preserve">of </w:t>
      </w:r>
      <w:r>
        <w:t xml:space="preserve">a </w:t>
      </w:r>
      <w:r w:rsidRPr="000C36AB">
        <w:t xml:space="preserve">Traditional </w:t>
      </w:r>
      <w:r>
        <w:t>I</w:t>
      </w:r>
      <w:r w:rsidRPr="000C36AB">
        <w:t>RA Contribution</w:t>
      </w:r>
      <w:r>
        <w:t xml:space="preserve"> is Deductible?</w:t>
      </w:r>
    </w:p>
    <w:p w14:paraId="38256EC1" w14:textId="1DBBA243" w:rsidR="00AC40A8" w:rsidRPr="000C36AB" w:rsidRDefault="00AC40A8" w:rsidP="005E3853">
      <w:r w:rsidRPr="000C36AB">
        <w:t xml:space="preserve">Contributions to a Traditional IRA are </w:t>
      </w:r>
      <w:r w:rsidR="003D3E7D">
        <w:t xml:space="preserve">generally, but </w:t>
      </w:r>
      <w:r w:rsidRPr="000C36AB">
        <w:t>not always</w:t>
      </w:r>
      <w:r w:rsidR="00706331">
        <w:t>,</w:t>
      </w:r>
      <w:r w:rsidRPr="000C36AB">
        <w:t xml:space="preserve"> deductible on an individual’s income tax return. The tax deductibility of those contributions is phased out if the individual meets </w:t>
      </w:r>
      <w:r w:rsidRPr="000C36AB">
        <w:rPr>
          <w:b/>
          <w:i/>
        </w:rPr>
        <w:t>two</w:t>
      </w:r>
      <w:r w:rsidRPr="000C36AB">
        <w:t xml:space="preserve"> conditions: </w:t>
      </w:r>
    </w:p>
    <w:p w14:paraId="0F16C446" w14:textId="77777777" w:rsidR="00AC40A8" w:rsidRPr="00434E47" w:rsidRDefault="00AC40A8" w:rsidP="00822DE7">
      <w:pPr>
        <w:numPr>
          <w:ilvl w:val="0"/>
          <w:numId w:val="12"/>
        </w:numPr>
      </w:pPr>
      <w:r w:rsidRPr="00434E47">
        <w:t xml:space="preserve">The individual is an active participant in an </w:t>
      </w:r>
      <w:r w:rsidRPr="00434E47">
        <w:rPr>
          <w:rStyle w:val="Hyperlink"/>
        </w:rPr>
        <w:t xml:space="preserve">employer-sponsored </w:t>
      </w:r>
      <w:r>
        <w:rPr>
          <w:rStyle w:val="Hyperlink"/>
        </w:rPr>
        <w:t xml:space="preserve">retirement </w:t>
      </w:r>
      <w:r w:rsidRPr="00434E47">
        <w:rPr>
          <w:rStyle w:val="Hyperlink"/>
        </w:rPr>
        <w:t>plan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748"/>
      </w:tblGrid>
      <w:tr w:rsidR="00AC40A8" w:rsidRPr="00434E47" w14:paraId="2CA84DE0" w14:textId="77777777" w:rsidTr="001F3D42">
        <w:tc>
          <w:tcPr>
            <w:tcW w:w="8748" w:type="dxa"/>
            <w:shd w:val="clear" w:color="auto" w:fill="D9D9D9"/>
          </w:tcPr>
          <w:p w14:paraId="777462F4" w14:textId="77777777" w:rsidR="00AC40A8" w:rsidRPr="00D542DF" w:rsidRDefault="00AC40A8" w:rsidP="00C3596E">
            <w:pPr>
              <w:rPr>
                <w:rStyle w:val="Hyperlink"/>
                <w:u w:val="none"/>
              </w:rPr>
            </w:pPr>
            <w:r w:rsidRPr="00D542DF">
              <w:rPr>
                <w:rStyle w:val="Hyperlink"/>
                <w:u w:val="none"/>
              </w:rPr>
              <w:t>Employer-Sponsored Retirement Plan</w:t>
            </w:r>
          </w:p>
          <w:p w14:paraId="47052D51" w14:textId="1C5B5E51" w:rsidR="00AC40A8" w:rsidRPr="001F3D42" w:rsidRDefault="00AC40A8" w:rsidP="001F3D42">
            <w:pPr>
              <w:rPr>
                <w:color w:val="000000"/>
              </w:rPr>
            </w:pPr>
            <w:r w:rsidRPr="00434E47">
              <w:rPr>
                <w:color w:val="000000"/>
              </w:rPr>
              <w:t>This category inclu</w:t>
            </w:r>
            <w:r w:rsidR="00706331">
              <w:rPr>
                <w:color w:val="000000"/>
              </w:rPr>
              <w:t xml:space="preserve">des all of the qualified plans - </w:t>
            </w:r>
            <w:r w:rsidRPr="00434E47">
              <w:rPr>
                <w:color w:val="000000"/>
              </w:rPr>
              <w:t>SEP</w:t>
            </w:r>
            <w:r w:rsidR="00706331">
              <w:rPr>
                <w:color w:val="000000"/>
              </w:rPr>
              <w:t xml:space="preserve"> IRAs, SIMPLE IRAs, and 403(b) P</w:t>
            </w:r>
            <w:r w:rsidRPr="00434E47">
              <w:rPr>
                <w:color w:val="000000"/>
              </w:rPr>
              <w:t>lans.</w:t>
            </w:r>
            <w:r>
              <w:rPr>
                <w:color w:val="000000"/>
              </w:rPr>
              <w:t xml:space="preserve"> We will analyze </w:t>
            </w:r>
            <w:r w:rsidR="000F3583">
              <w:rPr>
                <w:color w:val="000000"/>
              </w:rPr>
              <w:t>these</w:t>
            </w:r>
            <w:r>
              <w:rPr>
                <w:color w:val="000000"/>
              </w:rPr>
              <w:t xml:space="preserve"> plans subsequently in this course.</w:t>
            </w:r>
          </w:p>
        </w:tc>
      </w:tr>
    </w:tbl>
    <w:p w14:paraId="4FC04EDC" w14:textId="77777777" w:rsidR="00AC40A8" w:rsidRPr="00434E47" w:rsidRDefault="00AC40A8" w:rsidP="00E54227">
      <w:pPr>
        <w:ind w:left="720"/>
      </w:pPr>
      <w:r w:rsidRPr="00434E47">
        <w:rPr>
          <w:b/>
          <w:bCs/>
        </w:rPr>
        <w:t>AND</w:t>
      </w:r>
    </w:p>
    <w:p w14:paraId="79608E0F" w14:textId="69A4F480" w:rsidR="00BF0428" w:rsidRDefault="000F3583" w:rsidP="003731C1">
      <w:pPr>
        <w:pStyle w:val="CommentText"/>
        <w:ind w:left="720" w:hanging="720"/>
      </w:pPr>
      <w:r>
        <w:t>2.</w:t>
      </w:r>
      <w:r>
        <w:tab/>
      </w:r>
      <w:r w:rsidR="00AC40A8" w:rsidRPr="00434E47">
        <w:t xml:space="preserve">The individual’s </w:t>
      </w:r>
      <w:r w:rsidR="001451B9">
        <w:rPr>
          <w:rStyle w:val="Hyperlink"/>
        </w:rPr>
        <w:t>M</w:t>
      </w:r>
      <w:r w:rsidR="00AC40A8" w:rsidRPr="003731C1">
        <w:rPr>
          <w:rStyle w:val="Hyperlink"/>
        </w:rPr>
        <w:t>odified Adjusted Gross Income (MAGI)</w:t>
      </w:r>
      <w:r w:rsidR="00AC40A8" w:rsidRPr="00434E47">
        <w:t xml:space="preserve"> exceeds specified </w:t>
      </w:r>
      <w:r w:rsidR="008A4FEC">
        <w:t xml:space="preserve">phase-out </w:t>
      </w:r>
      <w:r w:rsidR="00AC40A8" w:rsidRPr="00434E47">
        <w:t>limits</w:t>
      </w:r>
      <w:r w:rsidR="008A4FEC">
        <w:t xml:space="preserve"> (described on the next page)</w:t>
      </w:r>
      <w:r w:rsidR="00AC40A8" w:rsidRPr="00434E47">
        <w:t xml:space="preserve">. </w:t>
      </w:r>
      <w:r>
        <w:tab/>
      </w:r>
    </w:p>
    <w:tbl>
      <w:tblPr>
        <w:tblStyle w:val="TableGrid"/>
        <w:tblW w:w="0" w:type="auto"/>
        <w:tblInd w:w="720" w:type="dxa"/>
        <w:tblBorders>
          <w:insideH w:val="none" w:sz="0" w:space="0" w:color="auto"/>
          <w:insideV w:val="none" w:sz="0" w:space="0" w:color="auto"/>
        </w:tblBorders>
        <w:shd w:val="clear" w:color="auto" w:fill="D9D9D9"/>
        <w:tblLook w:val="04A0" w:firstRow="1" w:lastRow="0" w:firstColumn="1" w:lastColumn="0" w:noHBand="0" w:noVBand="1"/>
      </w:tblPr>
      <w:tblGrid>
        <w:gridCol w:w="8856"/>
      </w:tblGrid>
      <w:tr w:rsidR="00BF0428" w14:paraId="11BA74D4" w14:textId="77777777" w:rsidTr="003731C1">
        <w:trPr>
          <w:trHeight w:val="6470"/>
        </w:trPr>
        <w:tc>
          <w:tcPr>
            <w:tcW w:w="9576" w:type="dxa"/>
            <w:shd w:val="clear" w:color="auto" w:fill="D9D9D9"/>
          </w:tcPr>
          <w:p w14:paraId="7799B07B" w14:textId="77777777" w:rsidR="001451B9" w:rsidRDefault="00BF0428" w:rsidP="00A505F0">
            <w:pPr>
              <w:pStyle w:val="CommentText"/>
              <w:rPr>
                <w:b/>
                <w:color w:val="FF0000"/>
              </w:rPr>
            </w:pPr>
            <w:r w:rsidRPr="003731C1">
              <w:rPr>
                <w:rStyle w:val="Hyperlink"/>
                <w:u w:val="none"/>
              </w:rPr>
              <w:t>Modified Adjusted Gross Income</w:t>
            </w:r>
            <w:r w:rsidR="00483D7E">
              <w:rPr>
                <w:b/>
                <w:color w:val="FF0000"/>
              </w:rPr>
              <w:t xml:space="preserve"> </w:t>
            </w:r>
          </w:p>
          <w:p w14:paraId="63FDD663" w14:textId="4F5AD2B2" w:rsidR="00BF0428" w:rsidRDefault="001451B9" w:rsidP="003731C1">
            <w:pPr>
              <w:rPr>
                <w:color w:val="FF0000"/>
              </w:rPr>
            </w:pPr>
            <w:r>
              <w:rPr>
                <w:b/>
                <w:i/>
              </w:rPr>
              <w:t xml:space="preserve">Modified Adjusted Gross Income </w:t>
            </w:r>
            <w:r w:rsidR="00483D7E" w:rsidRPr="003731C1">
              <w:t xml:space="preserve">is simply gross income reported on the income tax return less </w:t>
            </w:r>
            <w:r w:rsidR="00483D7E" w:rsidRPr="003731C1">
              <w:rPr>
                <w:rStyle w:val="Hyperlink"/>
              </w:rPr>
              <w:t>certain deductions</w:t>
            </w:r>
            <w:r w:rsidR="00483D7E" w:rsidRPr="003731C1">
              <w:t xml:space="preserve"> plus </w:t>
            </w:r>
            <w:r w:rsidR="00483D7E" w:rsidRPr="003731C1">
              <w:rPr>
                <w:rStyle w:val="Hyperlink"/>
              </w:rPr>
              <w:t>certain adjustments</w:t>
            </w:r>
            <w:r w:rsidR="00483D7E" w:rsidRPr="003731C1">
              <w:t>.</w:t>
            </w:r>
            <w:r w:rsidR="00483D7E">
              <w:rPr>
                <w:color w:val="FF0000"/>
              </w:rPr>
              <w:t xml:space="preserve"> </w:t>
            </w: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625"/>
            </w:tblGrid>
            <w:tr w:rsidR="00483D7E" w14:paraId="5AA881B2" w14:textId="77777777" w:rsidTr="003731C1">
              <w:tc>
                <w:tcPr>
                  <w:tcW w:w="8625" w:type="dxa"/>
                  <w:shd w:val="clear" w:color="auto" w:fill="E6E6E6"/>
                </w:tcPr>
                <w:p w14:paraId="3D199BFF" w14:textId="7CF9E84C" w:rsidR="00483D7E" w:rsidRPr="001451B9" w:rsidRDefault="00483D7E" w:rsidP="00483D7E">
                  <w:pPr>
                    <w:pStyle w:val="CommentText"/>
                    <w:rPr>
                      <w:rStyle w:val="Hyperlink"/>
                      <w:u w:val="none"/>
                    </w:rPr>
                  </w:pPr>
                  <w:r w:rsidRPr="003731C1">
                    <w:rPr>
                      <w:rStyle w:val="Hyperlink"/>
                      <w:u w:val="none"/>
                    </w:rPr>
                    <w:t>Certain Deductions</w:t>
                  </w:r>
                </w:p>
                <w:p w14:paraId="15B28736" w14:textId="75B7D7C5" w:rsidR="00483D7E" w:rsidRPr="00A505F0" w:rsidRDefault="00483D7E" w:rsidP="00483D7E">
                  <w:pPr>
                    <w:pStyle w:val="CommentText"/>
                    <w:rPr>
                      <w:rStyle w:val="Hyperlink"/>
                      <w:b w:val="0"/>
                      <w:color w:val="auto"/>
                      <w:u w:val="none"/>
                    </w:rPr>
                  </w:pPr>
                  <w:r>
                    <w:rPr>
                      <w:rStyle w:val="Hyperlink"/>
                      <w:b w:val="0"/>
                      <w:color w:val="auto"/>
                      <w:u w:val="none"/>
                    </w:rPr>
                    <w:t xml:space="preserve">Examples of </w:t>
                  </w:r>
                  <w:r w:rsidRPr="00A505F0">
                    <w:rPr>
                      <w:rStyle w:val="Hyperlink"/>
                      <w:b w:val="0"/>
                      <w:color w:val="auto"/>
                      <w:u w:val="none"/>
                    </w:rPr>
                    <w:t xml:space="preserve">deductions from gross income to arrive at adjusted gross income </w:t>
                  </w:r>
                  <w:r w:rsidR="003B4E25">
                    <w:rPr>
                      <w:rStyle w:val="Hyperlink"/>
                      <w:b w:val="0"/>
                      <w:color w:val="auto"/>
                      <w:u w:val="none"/>
                    </w:rPr>
                    <w:t xml:space="preserve">follow </w:t>
                  </w:r>
                  <w:r w:rsidRPr="00A505F0">
                    <w:rPr>
                      <w:rStyle w:val="Hyperlink"/>
                      <w:b w:val="0"/>
                      <w:color w:val="auto"/>
                      <w:u w:val="none"/>
                    </w:rPr>
                    <w:t>(this is not a complete list of deductions):</w:t>
                  </w:r>
                </w:p>
                <w:p w14:paraId="6D655FAB" w14:textId="77777777" w:rsidR="00483D7E" w:rsidRPr="003731C1" w:rsidRDefault="00483D7E" w:rsidP="003731C1">
                  <w:pPr>
                    <w:pStyle w:val="ListParagraph"/>
                    <w:numPr>
                      <w:ilvl w:val="0"/>
                      <w:numId w:val="11"/>
                    </w:numPr>
                  </w:pPr>
                  <w:r w:rsidRPr="003731C1">
                    <w:t>Health Savings Account (HSA) deductions</w:t>
                  </w:r>
                </w:p>
                <w:p w14:paraId="51D6587B" w14:textId="166D39BD" w:rsidR="00483D7E" w:rsidRPr="003731C1" w:rsidRDefault="00483D7E" w:rsidP="003731C1">
                  <w:pPr>
                    <w:pStyle w:val="ListParagraph"/>
                    <w:numPr>
                      <w:ilvl w:val="0"/>
                      <w:numId w:val="11"/>
                    </w:numPr>
                  </w:pPr>
                  <w:r w:rsidRPr="003731C1">
                    <w:t xml:space="preserve">Self-employed health insurance deduction, a portion of self employment taxes paid, and contributions to self-employment retirement plans </w:t>
                  </w:r>
                </w:p>
                <w:p w14:paraId="40BF19E1" w14:textId="77777777" w:rsidR="00483D7E" w:rsidRPr="003731C1" w:rsidRDefault="00483D7E" w:rsidP="003731C1">
                  <w:pPr>
                    <w:pStyle w:val="ListParagraph"/>
                    <w:numPr>
                      <w:ilvl w:val="0"/>
                      <w:numId w:val="11"/>
                    </w:numPr>
                  </w:pPr>
                  <w:r w:rsidRPr="003731C1">
                    <w:t>Alimony paid (but not child support or settlement)</w:t>
                  </w:r>
                </w:p>
                <w:p w14:paraId="7E50AE97" w14:textId="7844D1E0" w:rsidR="00483D7E" w:rsidRPr="003731C1" w:rsidRDefault="00483D7E" w:rsidP="003731C1">
                  <w:pPr>
                    <w:pStyle w:val="ListParagraph"/>
                    <w:numPr>
                      <w:ilvl w:val="0"/>
                      <w:numId w:val="11"/>
                    </w:numPr>
                  </w:pPr>
                  <w:r w:rsidRPr="003731C1">
                    <w:t xml:space="preserve">Deductible contributions to a </w:t>
                  </w:r>
                  <w:r w:rsidR="001451B9">
                    <w:t>T</w:t>
                  </w:r>
                  <w:r w:rsidRPr="003731C1">
                    <w:t>raditional IRA</w:t>
                  </w:r>
                </w:p>
                <w:p w14:paraId="262E5611" w14:textId="0334767D" w:rsidR="00483D7E" w:rsidRPr="003731C1" w:rsidRDefault="00483D7E" w:rsidP="003731C1">
                  <w:pPr>
                    <w:pStyle w:val="ListParagraph"/>
                    <w:numPr>
                      <w:ilvl w:val="0"/>
                      <w:numId w:val="11"/>
                    </w:numPr>
                    <w:rPr>
                      <w:rStyle w:val="Hyperlink"/>
                    </w:rPr>
                  </w:pPr>
                  <w:r w:rsidRPr="003731C1">
                    <w:t>Student loan interest paid on a qualified student loan for yourself, your spouse or your dependent</w:t>
                  </w:r>
                </w:p>
              </w:tc>
            </w:tr>
          </w:tbl>
          <w:p w14:paraId="1564D631" w14:textId="77777777" w:rsidR="003B4E25" w:rsidRDefault="003B4E25" w:rsidP="003B4E25">
            <w:pPr>
              <w:pStyle w:val="CommentText"/>
              <w:rPr>
                <w:color w:val="FF0000"/>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625"/>
            </w:tblGrid>
            <w:tr w:rsidR="003B4E25" w14:paraId="25F2D9BE" w14:textId="77777777" w:rsidTr="009438C8">
              <w:tc>
                <w:tcPr>
                  <w:tcW w:w="8625" w:type="dxa"/>
                  <w:shd w:val="clear" w:color="auto" w:fill="E6E6E6"/>
                </w:tcPr>
                <w:p w14:paraId="5879DD22" w14:textId="225A2910" w:rsidR="003B4E25" w:rsidRPr="003731C1" w:rsidRDefault="003B4E25" w:rsidP="009438C8">
                  <w:pPr>
                    <w:pStyle w:val="CommentText"/>
                    <w:rPr>
                      <w:rStyle w:val="Hyperlink"/>
                      <w:u w:val="none"/>
                    </w:rPr>
                  </w:pPr>
                  <w:r w:rsidRPr="003731C1">
                    <w:rPr>
                      <w:rStyle w:val="Hyperlink"/>
                      <w:u w:val="none"/>
                    </w:rPr>
                    <w:t>Certain Adjustments</w:t>
                  </w:r>
                </w:p>
                <w:p w14:paraId="22D67C62" w14:textId="697F66F5" w:rsidR="009438C8" w:rsidRDefault="003B4E25" w:rsidP="009438C8">
                  <w:pPr>
                    <w:pStyle w:val="CommentText"/>
                    <w:rPr>
                      <w:rStyle w:val="Hyperlink"/>
                      <w:b w:val="0"/>
                      <w:color w:val="auto"/>
                      <w:u w:val="none"/>
                    </w:rPr>
                  </w:pPr>
                  <w:r>
                    <w:rPr>
                      <w:rStyle w:val="Hyperlink"/>
                      <w:b w:val="0"/>
                      <w:color w:val="auto"/>
                      <w:u w:val="none"/>
                    </w:rPr>
                    <w:t xml:space="preserve">Examples of </w:t>
                  </w:r>
                  <w:r w:rsidR="009438C8">
                    <w:rPr>
                      <w:rStyle w:val="Hyperlink"/>
                      <w:b w:val="0"/>
                      <w:color w:val="auto"/>
                      <w:u w:val="none"/>
                    </w:rPr>
                    <w:t xml:space="preserve">adjustments to AGI to determine </w:t>
                  </w:r>
                  <w:r w:rsidR="006C6C6D">
                    <w:rPr>
                      <w:rStyle w:val="Hyperlink"/>
                      <w:b w:val="0"/>
                      <w:color w:val="auto"/>
                      <w:u w:val="none"/>
                    </w:rPr>
                    <w:t>M</w:t>
                  </w:r>
                  <w:r w:rsidR="009438C8">
                    <w:rPr>
                      <w:rStyle w:val="Hyperlink"/>
                      <w:b w:val="0"/>
                      <w:color w:val="auto"/>
                      <w:u w:val="none"/>
                    </w:rPr>
                    <w:t xml:space="preserve">AGI include the following (this is not a complete list of adjustments). </w:t>
                  </w:r>
                </w:p>
                <w:p w14:paraId="2F230C20" w14:textId="0EB2537C" w:rsidR="009438C8" w:rsidRPr="003731C1" w:rsidRDefault="00F00C68" w:rsidP="003731C1">
                  <w:pPr>
                    <w:pStyle w:val="ListParagraph"/>
                    <w:numPr>
                      <w:ilvl w:val="0"/>
                      <w:numId w:val="104"/>
                    </w:numPr>
                  </w:pPr>
                  <w:r w:rsidRPr="00A505F0">
                    <w:t>D</w:t>
                  </w:r>
                  <w:r w:rsidR="009438C8" w:rsidRPr="003731C1">
                    <w:t xml:space="preserve">eduction claimed for a regular </w:t>
                  </w:r>
                  <w:r w:rsidR="009438C8">
                    <w:t xml:space="preserve">deductible </w:t>
                  </w:r>
                  <w:r w:rsidR="009438C8" w:rsidRPr="003731C1">
                    <w:t>co</w:t>
                  </w:r>
                  <w:r w:rsidR="009438C8" w:rsidRPr="00A505F0">
                    <w:t xml:space="preserve">ntribution to a </w:t>
                  </w:r>
                  <w:r w:rsidR="001451B9">
                    <w:t>T</w:t>
                  </w:r>
                  <w:r w:rsidR="009438C8" w:rsidRPr="00A505F0">
                    <w:t>raditional IRA</w:t>
                  </w:r>
                </w:p>
                <w:p w14:paraId="6E94EDFC" w14:textId="2661DDE8" w:rsidR="009438C8" w:rsidRPr="003731C1" w:rsidRDefault="00F00C68" w:rsidP="003731C1">
                  <w:pPr>
                    <w:pStyle w:val="ListParagraph"/>
                    <w:numPr>
                      <w:ilvl w:val="0"/>
                      <w:numId w:val="104"/>
                    </w:numPr>
                  </w:pPr>
                  <w:r w:rsidRPr="00A505F0">
                    <w:t>D</w:t>
                  </w:r>
                  <w:r w:rsidR="009438C8" w:rsidRPr="00A505F0">
                    <w:t xml:space="preserve">eduction </w:t>
                  </w:r>
                  <w:r w:rsidR="009438C8" w:rsidRPr="003731C1">
                    <w:t>claim</w:t>
                  </w:r>
                  <w:r w:rsidR="009438C8">
                    <w:t>ed</w:t>
                  </w:r>
                  <w:r w:rsidR="009438C8" w:rsidRPr="003731C1">
                    <w:t xml:space="preserve"> for student loan interest</w:t>
                  </w:r>
                </w:p>
                <w:p w14:paraId="50DF5203" w14:textId="77777777" w:rsidR="00F00C68" w:rsidRPr="003731C1" w:rsidRDefault="00F00C68" w:rsidP="003731C1">
                  <w:pPr>
                    <w:pStyle w:val="ListParagraph"/>
                    <w:numPr>
                      <w:ilvl w:val="0"/>
                      <w:numId w:val="104"/>
                    </w:numPr>
                    <w:rPr>
                      <w:b/>
                      <w:color w:val="4F81BD"/>
                      <w:u w:val="single"/>
                    </w:rPr>
                  </w:pPr>
                  <w:r>
                    <w:t>Foreign source income excluded from U.S. income taxation</w:t>
                  </w:r>
                </w:p>
                <w:p w14:paraId="6A10EA21" w14:textId="4F98670D" w:rsidR="003B4E25" w:rsidRPr="003B5B5B" w:rsidRDefault="00F00C68" w:rsidP="003731C1">
                  <w:pPr>
                    <w:pStyle w:val="ListParagraph"/>
                    <w:numPr>
                      <w:ilvl w:val="0"/>
                      <w:numId w:val="104"/>
                    </w:numPr>
                    <w:rPr>
                      <w:rStyle w:val="Hyperlink"/>
                    </w:rPr>
                  </w:pPr>
                  <w:r w:rsidRPr="00A505F0">
                    <w:t xml:space="preserve">Deduction claimed </w:t>
                  </w:r>
                  <w:r>
                    <w:t xml:space="preserve">for </w:t>
                  </w:r>
                  <w:r w:rsidR="003B4E25" w:rsidRPr="003731C1">
                    <w:rPr>
                      <w:color w:val="343F4A"/>
                    </w:rPr>
                    <w:t xml:space="preserve">Health Savings Account (HSA) </w:t>
                  </w:r>
                  <w:r w:rsidRPr="003731C1">
                    <w:rPr>
                      <w:color w:val="343F4A"/>
                    </w:rPr>
                    <w:t xml:space="preserve">contributions </w:t>
                  </w:r>
                </w:p>
              </w:tc>
            </w:tr>
          </w:tbl>
          <w:p w14:paraId="492E5688" w14:textId="00B612DA" w:rsidR="00483D7E" w:rsidRDefault="00483D7E" w:rsidP="00A505F0">
            <w:pPr>
              <w:pStyle w:val="CommentText"/>
              <w:rPr>
                <w:b/>
                <w:color w:val="FF0000"/>
              </w:rPr>
            </w:pPr>
          </w:p>
        </w:tc>
      </w:tr>
    </w:tbl>
    <w:p w14:paraId="1FB8ACAE" w14:textId="7E722333" w:rsidR="003D3E7D" w:rsidRDefault="003D3E7D" w:rsidP="003731C1">
      <w:pPr>
        <w:pStyle w:val="CommentText"/>
      </w:pPr>
      <w:r>
        <w:t>Many of your clients will participate in an employer</w:t>
      </w:r>
      <w:r w:rsidR="00706331">
        <w:t>-</w:t>
      </w:r>
      <w:r>
        <w:t xml:space="preserve">sponsored retirement plan. You need to understand when they can and cannot deduct contributions to a Traditional IRA. Why? If they cannot deduct their Traditional IRA contribution, a Roth IRA may be a better financial choice! For those reasons, the following detailed review is presented. </w:t>
      </w:r>
    </w:p>
    <w:p w14:paraId="7D092CE0" w14:textId="25D9052D" w:rsidR="00AC40A8" w:rsidRPr="00FD6D82" w:rsidRDefault="00AC40A8" w:rsidP="003A21AD">
      <w:pPr>
        <w:rPr>
          <w:b/>
          <w:color w:val="FF0000"/>
        </w:rPr>
      </w:pPr>
      <w:r w:rsidRPr="00BD77D3">
        <w:t xml:space="preserve">The phase-out begins and ends with the following amounts of modified AGI, depending upon the filing status and whether or not both spouses actively participate in an employer-sponsored plan (remember, if a single taxpayer or both spouses (Married Filing Jointly) are NOT participants in an employer-sponsored plan, they can deduct their Traditional IRA </w:t>
      </w:r>
      <w:r w:rsidRPr="00BD77D3">
        <w:lastRenderedPageBreak/>
        <w:t>contributions regardless of how high their income might be):</w:t>
      </w:r>
      <w:r w:rsidR="00FD6D82">
        <w:t xml:space="preserve">  </w:t>
      </w:r>
      <w:r w:rsidR="00FD6D82" w:rsidRPr="00FD6D82">
        <w:rPr>
          <w:b/>
          <w:color w:val="FF0000"/>
        </w:rPr>
        <w:t xml:space="preserve">Click on </w:t>
      </w:r>
      <w:r w:rsidR="007B434C">
        <w:rPr>
          <w:b/>
          <w:color w:val="FF0000"/>
        </w:rPr>
        <w:t xml:space="preserve">the </w:t>
      </w:r>
      <w:r w:rsidR="002D2503">
        <w:rPr>
          <w:b/>
          <w:color w:val="FF0000"/>
        </w:rPr>
        <w:t>2016</w:t>
      </w:r>
      <w:r w:rsidR="00FD6D82" w:rsidRPr="00FD6D82">
        <w:rPr>
          <w:b/>
          <w:color w:val="FF0000"/>
        </w:rPr>
        <w:t xml:space="preserve"> Single or HOH Filer number in chart to learn more.</w:t>
      </w:r>
    </w:p>
    <w:p w14:paraId="640B88B5" w14:textId="2A46E8C0" w:rsidR="00AC40A8" w:rsidRPr="00BD77D3" w:rsidRDefault="00AC40A8" w:rsidP="000830FC">
      <w:pPr>
        <w:jc w:val="center"/>
        <w:rPr>
          <w:rStyle w:val="Strong"/>
        </w:rPr>
      </w:pPr>
      <w:r w:rsidRPr="00BD77D3">
        <w:rPr>
          <w:rStyle w:val="Strong"/>
        </w:rPr>
        <w:t>Tra</w:t>
      </w:r>
      <w:r w:rsidR="00706331">
        <w:rPr>
          <w:rStyle w:val="Strong"/>
        </w:rPr>
        <w:t>ditional IRA Modified AGI Phase-</w:t>
      </w:r>
      <w:r w:rsidRPr="00BD77D3">
        <w:rPr>
          <w:rStyle w:val="Strong"/>
        </w:rPr>
        <w:t>Out of Deductibility</w:t>
      </w:r>
    </w:p>
    <w:tbl>
      <w:tblPr>
        <w:tblW w:w="500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90"/>
        <w:gridCol w:w="1350"/>
        <w:gridCol w:w="1350"/>
        <w:gridCol w:w="1350"/>
        <w:gridCol w:w="1530"/>
        <w:gridCol w:w="1530"/>
        <w:gridCol w:w="1476"/>
      </w:tblGrid>
      <w:tr w:rsidR="00AC40A8" w:rsidRPr="00BD77D3" w14:paraId="27FB6206" w14:textId="77777777" w:rsidTr="002D020B">
        <w:trPr>
          <w:trHeight w:val="448"/>
        </w:trPr>
        <w:tc>
          <w:tcPr>
            <w:tcW w:w="990" w:type="dxa"/>
            <w:shd w:val="clear" w:color="auto" w:fill="auto"/>
          </w:tcPr>
          <w:p w14:paraId="298860FF" w14:textId="77777777" w:rsidR="00AC40A8" w:rsidRPr="00BD77D3" w:rsidRDefault="00AC40A8" w:rsidP="00474357">
            <w:pPr>
              <w:rPr>
                <w:sz w:val="18"/>
                <w:szCs w:val="18"/>
              </w:rPr>
            </w:pPr>
          </w:p>
        </w:tc>
        <w:tc>
          <w:tcPr>
            <w:tcW w:w="4050" w:type="dxa"/>
            <w:gridSpan w:val="3"/>
            <w:shd w:val="clear" w:color="auto" w:fill="BFBA84"/>
          </w:tcPr>
          <w:p w14:paraId="6FFDD6EC" w14:textId="492F64C5" w:rsidR="00AC40A8" w:rsidRPr="00BD77D3" w:rsidRDefault="00706331" w:rsidP="00474357">
            <w:pPr>
              <w:jc w:val="center"/>
              <w:rPr>
                <w:b/>
                <w:sz w:val="18"/>
                <w:szCs w:val="18"/>
              </w:rPr>
            </w:pPr>
            <w:r>
              <w:rPr>
                <w:b/>
                <w:sz w:val="18"/>
                <w:szCs w:val="18"/>
              </w:rPr>
              <w:t>All Parties in Employer-</w:t>
            </w:r>
            <w:r w:rsidR="00AC40A8" w:rsidRPr="00BD77D3">
              <w:rPr>
                <w:b/>
                <w:sz w:val="18"/>
                <w:szCs w:val="18"/>
              </w:rPr>
              <w:t>Sponsored Plan</w:t>
            </w:r>
          </w:p>
        </w:tc>
        <w:tc>
          <w:tcPr>
            <w:tcW w:w="4536" w:type="dxa"/>
            <w:gridSpan w:val="3"/>
            <w:shd w:val="clear" w:color="auto" w:fill="BFBA84"/>
          </w:tcPr>
          <w:p w14:paraId="782B1617" w14:textId="52AFEDEF" w:rsidR="00AC40A8" w:rsidRPr="00BD77D3" w:rsidRDefault="00706331" w:rsidP="00474357">
            <w:pPr>
              <w:jc w:val="center"/>
              <w:rPr>
                <w:b/>
                <w:sz w:val="18"/>
                <w:szCs w:val="18"/>
              </w:rPr>
            </w:pPr>
            <w:r>
              <w:rPr>
                <w:b/>
                <w:sz w:val="18"/>
                <w:szCs w:val="18"/>
              </w:rPr>
              <w:t>Only One Spouse in Employer-</w:t>
            </w:r>
            <w:r w:rsidR="00AC40A8" w:rsidRPr="00BD77D3">
              <w:rPr>
                <w:b/>
                <w:sz w:val="18"/>
                <w:szCs w:val="18"/>
              </w:rPr>
              <w:t>Sponsored Plan</w:t>
            </w:r>
          </w:p>
        </w:tc>
      </w:tr>
      <w:tr w:rsidR="00AC40A8" w:rsidRPr="00BD77D3" w14:paraId="081E6A60" w14:textId="77777777" w:rsidTr="002D020B">
        <w:trPr>
          <w:trHeight w:val="978"/>
        </w:trPr>
        <w:tc>
          <w:tcPr>
            <w:tcW w:w="990" w:type="dxa"/>
            <w:shd w:val="clear" w:color="auto" w:fill="DBD9B9"/>
          </w:tcPr>
          <w:p w14:paraId="71EC48C8" w14:textId="77777777" w:rsidR="00AC40A8" w:rsidRPr="00BD77D3" w:rsidRDefault="00AC40A8" w:rsidP="00474357">
            <w:pPr>
              <w:jc w:val="center"/>
              <w:rPr>
                <w:b/>
                <w:sz w:val="18"/>
                <w:szCs w:val="18"/>
              </w:rPr>
            </w:pPr>
            <w:r w:rsidRPr="00BD77D3">
              <w:rPr>
                <w:b/>
                <w:sz w:val="18"/>
                <w:szCs w:val="18"/>
              </w:rPr>
              <w:t>Year</w:t>
            </w:r>
          </w:p>
        </w:tc>
        <w:tc>
          <w:tcPr>
            <w:tcW w:w="1350" w:type="dxa"/>
            <w:shd w:val="clear" w:color="auto" w:fill="DBD9B9"/>
          </w:tcPr>
          <w:p w14:paraId="10B1213D" w14:textId="77777777" w:rsidR="00AC40A8" w:rsidRPr="00BD77D3" w:rsidRDefault="00AC40A8" w:rsidP="00474357">
            <w:pPr>
              <w:jc w:val="center"/>
              <w:rPr>
                <w:b/>
                <w:sz w:val="18"/>
                <w:szCs w:val="18"/>
              </w:rPr>
            </w:pPr>
            <w:r w:rsidRPr="00BD77D3">
              <w:rPr>
                <w:b/>
                <w:sz w:val="18"/>
                <w:szCs w:val="18"/>
              </w:rPr>
              <w:t>Single or HOH Filer</w:t>
            </w:r>
          </w:p>
        </w:tc>
        <w:tc>
          <w:tcPr>
            <w:tcW w:w="1350" w:type="dxa"/>
            <w:shd w:val="clear" w:color="auto" w:fill="DBD9B9"/>
          </w:tcPr>
          <w:p w14:paraId="7654C8F2" w14:textId="77777777" w:rsidR="00AC40A8" w:rsidRPr="00BD77D3" w:rsidRDefault="00AC40A8" w:rsidP="00474357">
            <w:pPr>
              <w:jc w:val="center"/>
              <w:rPr>
                <w:b/>
                <w:sz w:val="18"/>
                <w:szCs w:val="18"/>
              </w:rPr>
            </w:pPr>
            <w:r w:rsidRPr="00BD77D3">
              <w:rPr>
                <w:b/>
                <w:sz w:val="18"/>
                <w:szCs w:val="18"/>
              </w:rPr>
              <w:t>Married: Filing Jointly</w:t>
            </w:r>
          </w:p>
        </w:tc>
        <w:tc>
          <w:tcPr>
            <w:tcW w:w="1350" w:type="dxa"/>
            <w:shd w:val="clear" w:color="auto" w:fill="DBD9B9"/>
          </w:tcPr>
          <w:p w14:paraId="2DADD710" w14:textId="77777777" w:rsidR="00AC40A8" w:rsidRPr="00BD77D3" w:rsidRDefault="00AC40A8" w:rsidP="00474357">
            <w:pPr>
              <w:jc w:val="center"/>
              <w:rPr>
                <w:b/>
                <w:sz w:val="18"/>
                <w:szCs w:val="18"/>
              </w:rPr>
            </w:pPr>
            <w:r w:rsidRPr="00BD77D3">
              <w:rPr>
                <w:b/>
                <w:sz w:val="18"/>
                <w:szCs w:val="18"/>
              </w:rPr>
              <w:t>Married: Filing Separately</w:t>
            </w:r>
          </w:p>
        </w:tc>
        <w:tc>
          <w:tcPr>
            <w:tcW w:w="1530" w:type="dxa"/>
            <w:shd w:val="clear" w:color="auto" w:fill="DBD9B9"/>
          </w:tcPr>
          <w:p w14:paraId="01205111" w14:textId="77777777" w:rsidR="00AC40A8" w:rsidRPr="00BD77D3" w:rsidRDefault="00AC40A8" w:rsidP="00474357">
            <w:pPr>
              <w:jc w:val="center"/>
              <w:rPr>
                <w:b/>
                <w:sz w:val="18"/>
                <w:szCs w:val="18"/>
              </w:rPr>
            </w:pPr>
            <w:r w:rsidRPr="00BD77D3">
              <w:rPr>
                <w:b/>
                <w:sz w:val="18"/>
                <w:szCs w:val="18"/>
              </w:rPr>
              <w:t>Participating Spouse Filing Jointly</w:t>
            </w:r>
          </w:p>
        </w:tc>
        <w:tc>
          <w:tcPr>
            <w:tcW w:w="1530" w:type="dxa"/>
            <w:shd w:val="clear" w:color="auto" w:fill="DBD9B9"/>
          </w:tcPr>
          <w:p w14:paraId="4FD29AE5" w14:textId="77777777" w:rsidR="00AC40A8" w:rsidRPr="00BD77D3" w:rsidRDefault="00AC40A8" w:rsidP="00474357">
            <w:pPr>
              <w:jc w:val="center"/>
              <w:rPr>
                <w:b/>
                <w:sz w:val="18"/>
                <w:szCs w:val="18"/>
              </w:rPr>
            </w:pPr>
            <w:r w:rsidRPr="00BD77D3">
              <w:rPr>
                <w:b/>
                <w:sz w:val="18"/>
                <w:szCs w:val="18"/>
              </w:rPr>
              <w:t>Non-Participating Spouse Filing Jointly</w:t>
            </w:r>
          </w:p>
        </w:tc>
        <w:tc>
          <w:tcPr>
            <w:tcW w:w="1476" w:type="dxa"/>
            <w:shd w:val="clear" w:color="auto" w:fill="DBD9B9"/>
          </w:tcPr>
          <w:p w14:paraId="5D8D12FD" w14:textId="77777777" w:rsidR="00AC40A8" w:rsidRPr="00BD77D3" w:rsidRDefault="00AC40A8" w:rsidP="00474357">
            <w:pPr>
              <w:jc w:val="center"/>
              <w:rPr>
                <w:b/>
                <w:sz w:val="18"/>
                <w:szCs w:val="18"/>
              </w:rPr>
            </w:pPr>
            <w:r w:rsidRPr="00BD77D3">
              <w:rPr>
                <w:b/>
                <w:sz w:val="18"/>
                <w:szCs w:val="18"/>
              </w:rPr>
              <w:t>Either Spouse Filing Separately</w:t>
            </w:r>
          </w:p>
        </w:tc>
      </w:tr>
      <w:tr w:rsidR="00AC40A8" w:rsidRPr="00BD77D3" w14:paraId="3D1290F2" w14:textId="77777777" w:rsidTr="002D020B">
        <w:trPr>
          <w:trHeight w:val="448"/>
        </w:trPr>
        <w:tc>
          <w:tcPr>
            <w:tcW w:w="990" w:type="dxa"/>
            <w:shd w:val="clear" w:color="auto" w:fill="E7E6CF"/>
          </w:tcPr>
          <w:p w14:paraId="11E39F06" w14:textId="00D0368B" w:rsidR="00AC40A8" w:rsidRPr="00AD3B81" w:rsidRDefault="002D2503" w:rsidP="00DF06DA">
            <w:r>
              <w:rPr>
                <w:color w:val="000000"/>
              </w:rPr>
              <w:t>2016</w:t>
            </w:r>
          </w:p>
        </w:tc>
        <w:tc>
          <w:tcPr>
            <w:tcW w:w="1350" w:type="dxa"/>
            <w:shd w:val="clear" w:color="auto" w:fill="E7E6CF"/>
          </w:tcPr>
          <w:p w14:paraId="64585ADB" w14:textId="178429A2" w:rsidR="00AC40A8" w:rsidRPr="003731C1" w:rsidRDefault="00AC40A8" w:rsidP="003731C1">
            <w:pPr>
              <w:rPr>
                <w:rStyle w:val="Hyperlink"/>
                <w:b w:val="0"/>
                <w:color w:val="000000" w:themeColor="text1"/>
              </w:rPr>
            </w:pPr>
            <w:r w:rsidRPr="003731C1">
              <w:rPr>
                <w:rStyle w:val="Hyperlink"/>
                <w:b w:val="0"/>
                <w:color w:val="000000" w:themeColor="text1"/>
              </w:rPr>
              <w:t>$6</w:t>
            </w:r>
            <w:r w:rsidR="00046CB6" w:rsidRPr="003731C1">
              <w:rPr>
                <w:rStyle w:val="Hyperlink"/>
                <w:b w:val="0"/>
                <w:color w:val="000000" w:themeColor="text1"/>
              </w:rPr>
              <w:t>1</w:t>
            </w:r>
            <w:r w:rsidRPr="003731C1">
              <w:rPr>
                <w:rStyle w:val="Hyperlink"/>
                <w:b w:val="0"/>
                <w:color w:val="000000" w:themeColor="text1"/>
              </w:rPr>
              <w:t>,000-$7</w:t>
            </w:r>
            <w:r w:rsidR="00046CB6" w:rsidRPr="003731C1">
              <w:rPr>
                <w:rStyle w:val="Hyperlink"/>
                <w:b w:val="0"/>
                <w:color w:val="000000" w:themeColor="text1"/>
              </w:rPr>
              <w:t>1</w:t>
            </w:r>
            <w:r w:rsidRPr="003731C1">
              <w:rPr>
                <w:rStyle w:val="Hyperlink"/>
                <w:b w:val="0"/>
                <w:color w:val="000000" w:themeColor="text1"/>
              </w:rPr>
              <w:t>,000</w:t>
            </w:r>
          </w:p>
        </w:tc>
        <w:tc>
          <w:tcPr>
            <w:tcW w:w="1350" w:type="dxa"/>
            <w:shd w:val="clear" w:color="auto" w:fill="E7E6CF"/>
          </w:tcPr>
          <w:p w14:paraId="2CA26DCF" w14:textId="181743E0" w:rsidR="00AC40A8" w:rsidRPr="00AD3B81" w:rsidRDefault="00AC40A8" w:rsidP="00046CB6">
            <w:r w:rsidRPr="00AD3B81">
              <w:rPr>
                <w:color w:val="000000"/>
              </w:rPr>
              <w:t>$</w:t>
            </w:r>
            <w:r w:rsidR="00046CB6" w:rsidRPr="00AD3B81">
              <w:rPr>
                <w:color w:val="000000"/>
              </w:rPr>
              <w:t>9</w:t>
            </w:r>
            <w:r w:rsidR="00046CB6">
              <w:rPr>
                <w:color w:val="000000"/>
              </w:rPr>
              <w:t>8</w:t>
            </w:r>
            <w:r w:rsidRPr="00AD3B81">
              <w:rPr>
                <w:color w:val="000000"/>
              </w:rPr>
              <w:t>,000-$</w:t>
            </w:r>
            <w:r w:rsidR="00046CB6" w:rsidRPr="00AD3B81">
              <w:rPr>
                <w:color w:val="000000"/>
              </w:rPr>
              <w:t>11</w:t>
            </w:r>
            <w:r w:rsidR="00046CB6">
              <w:rPr>
                <w:color w:val="000000"/>
              </w:rPr>
              <w:t>8</w:t>
            </w:r>
            <w:r w:rsidRPr="00AD3B81">
              <w:rPr>
                <w:color w:val="000000"/>
              </w:rPr>
              <w:t>,000</w:t>
            </w:r>
          </w:p>
        </w:tc>
        <w:tc>
          <w:tcPr>
            <w:tcW w:w="1350" w:type="dxa"/>
            <w:shd w:val="clear" w:color="auto" w:fill="E7E6CF"/>
          </w:tcPr>
          <w:p w14:paraId="6E5B6767" w14:textId="77777777" w:rsidR="00AC40A8" w:rsidRPr="00AD3B81" w:rsidRDefault="00AC40A8" w:rsidP="00474357">
            <w:r w:rsidRPr="00AD3B81">
              <w:t>$0-$10,000</w:t>
            </w:r>
          </w:p>
        </w:tc>
        <w:tc>
          <w:tcPr>
            <w:tcW w:w="1530" w:type="dxa"/>
            <w:shd w:val="clear" w:color="auto" w:fill="E7E6CF"/>
          </w:tcPr>
          <w:p w14:paraId="439AC604" w14:textId="4F93A897" w:rsidR="00AC40A8" w:rsidRPr="00AD3B81" w:rsidRDefault="00046CB6" w:rsidP="000B7AD7">
            <w:r w:rsidRPr="00AD3B81">
              <w:rPr>
                <w:color w:val="000000"/>
              </w:rPr>
              <w:t>$9</w:t>
            </w:r>
            <w:r>
              <w:rPr>
                <w:color w:val="000000"/>
              </w:rPr>
              <w:t>8</w:t>
            </w:r>
            <w:r w:rsidRPr="00AD3B81">
              <w:rPr>
                <w:color w:val="000000"/>
              </w:rPr>
              <w:t>,000-$11</w:t>
            </w:r>
            <w:r>
              <w:rPr>
                <w:color w:val="000000"/>
              </w:rPr>
              <w:t>8</w:t>
            </w:r>
            <w:r w:rsidRPr="00AD3B81">
              <w:rPr>
                <w:color w:val="000000"/>
              </w:rPr>
              <w:t>,000</w:t>
            </w:r>
          </w:p>
        </w:tc>
        <w:tc>
          <w:tcPr>
            <w:tcW w:w="1530" w:type="dxa"/>
            <w:shd w:val="clear" w:color="auto" w:fill="E7E6CF"/>
          </w:tcPr>
          <w:p w14:paraId="23AB5B00" w14:textId="3F9684E1" w:rsidR="00AC40A8" w:rsidRPr="00AD3B81" w:rsidRDefault="00AC40A8" w:rsidP="00A505F0">
            <w:r w:rsidRPr="00AD3B81">
              <w:t>$</w:t>
            </w:r>
            <w:r w:rsidR="00A505F0" w:rsidRPr="00AD3B81">
              <w:t>18</w:t>
            </w:r>
            <w:r w:rsidR="00A505F0">
              <w:t>4</w:t>
            </w:r>
            <w:r w:rsidRPr="00AD3B81">
              <w:t>,000-$19</w:t>
            </w:r>
            <w:r w:rsidR="00A505F0">
              <w:t>4</w:t>
            </w:r>
            <w:r w:rsidRPr="00AD3B81">
              <w:t>,000</w:t>
            </w:r>
          </w:p>
        </w:tc>
        <w:tc>
          <w:tcPr>
            <w:tcW w:w="1476" w:type="dxa"/>
            <w:shd w:val="clear" w:color="auto" w:fill="E7E6CF"/>
          </w:tcPr>
          <w:p w14:paraId="7FCED6C7" w14:textId="77777777" w:rsidR="00AC40A8" w:rsidRPr="00BD77D3" w:rsidRDefault="00AC40A8" w:rsidP="00474357">
            <w:r w:rsidRPr="00AD3B81">
              <w:t>$0-$10,000</w:t>
            </w:r>
          </w:p>
        </w:tc>
      </w:tr>
      <w:tr w:rsidR="00AC40A8" w:rsidRPr="00BD77D3" w14:paraId="7B06DC01" w14:textId="77777777" w:rsidTr="002D020B">
        <w:trPr>
          <w:trHeight w:val="433"/>
        </w:trPr>
        <w:tc>
          <w:tcPr>
            <w:tcW w:w="990" w:type="dxa"/>
            <w:shd w:val="clear" w:color="auto" w:fill="E7E6CF"/>
          </w:tcPr>
          <w:p w14:paraId="0C4F691C" w14:textId="0C748F3F" w:rsidR="00AC40A8" w:rsidRPr="00BD77D3" w:rsidRDefault="00AC40A8" w:rsidP="00DF06DA">
            <w:pPr>
              <w:rPr>
                <w:color w:val="000000"/>
              </w:rPr>
            </w:pPr>
            <w:r w:rsidRPr="00BD77D3">
              <w:rPr>
                <w:color w:val="000000"/>
              </w:rPr>
              <w:t>201</w:t>
            </w:r>
            <w:r w:rsidR="00A505F0">
              <w:rPr>
                <w:color w:val="000000"/>
              </w:rPr>
              <w:t>5</w:t>
            </w:r>
          </w:p>
        </w:tc>
        <w:tc>
          <w:tcPr>
            <w:tcW w:w="1350" w:type="dxa"/>
            <w:shd w:val="clear" w:color="auto" w:fill="E7E6CF"/>
          </w:tcPr>
          <w:p w14:paraId="5D801ECD" w14:textId="2E00D9BC" w:rsidR="00AC40A8" w:rsidRPr="003731C1" w:rsidRDefault="00A505F0" w:rsidP="00E073D8">
            <w:pPr>
              <w:jc w:val="center"/>
              <w:rPr>
                <w:rStyle w:val="Hyperlink"/>
              </w:rPr>
            </w:pPr>
            <w:r w:rsidRPr="001451B9">
              <w:rPr>
                <w:rStyle w:val="Hyperlink"/>
              </w:rPr>
              <w:t>$61,000-$71,000</w:t>
            </w:r>
          </w:p>
        </w:tc>
        <w:tc>
          <w:tcPr>
            <w:tcW w:w="1350" w:type="dxa"/>
            <w:shd w:val="clear" w:color="auto" w:fill="E7E6CF"/>
          </w:tcPr>
          <w:p w14:paraId="172A9131" w14:textId="31FE4EA6" w:rsidR="00AC40A8" w:rsidRPr="00BD77D3" w:rsidRDefault="00A505F0" w:rsidP="00046CB6">
            <w:pPr>
              <w:rPr>
                <w:color w:val="000000"/>
              </w:rPr>
            </w:pPr>
            <w:r w:rsidRPr="00AD3B81">
              <w:rPr>
                <w:color w:val="000000"/>
              </w:rPr>
              <w:t>$9</w:t>
            </w:r>
            <w:r>
              <w:rPr>
                <w:color w:val="000000"/>
              </w:rPr>
              <w:t>8</w:t>
            </w:r>
            <w:r w:rsidRPr="00AD3B81">
              <w:rPr>
                <w:color w:val="000000"/>
              </w:rPr>
              <w:t>,000-$11</w:t>
            </w:r>
            <w:r>
              <w:rPr>
                <w:color w:val="000000"/>
              </w:rPr>
              <w:t>8</w:t>
            </w:r>
            <w:r w:rsidRPr="00AD3B81">
              <w:rPr>
                <w:color w:val="000000"/>
              </w:rPr>
              <w:t>,000</w:t>
            </w:r>
          </w:p>
        </w:tc>
        <w:tc>
          <w:tcPr>
            <w:tcW w:w="1350" w:type="dxa"/>
            <w:shd w:val="clear" w:color="auto" w:fill="E7E6CF"/>
          </w:tcPr>
          <w:p w14:paraId="5710BBCC" w14:textId="77777777" w:rsidR="00AC40A8" w:rsidRPr="00BD77D3" w:rsidRDefault="00AC40A8" w:rsidP="00474357">
            <w:r w:rsidRPr="00BD77D3">
              <w:t>$0-$10,000</w:t>
            </w:r>
          </w:p>
        </w:tc>
        <w:tc>
          <w:tcPr>
            <w:tcW w:w="1530" w:type="dxa"/>
            <w:shd w:val="clear" w:color="auto" w:fill="E7E6CF"/>
          </w:tcPr>
          <w:p w14:paraId="38016763" w14:textId="5F2F233B" w:rsidR="00AC40A8" w:rsidRPr="00BD77D3" w:rsidRDefault="00A505F0" w:rsidP="00DF06DA">
            <w:pPr>
              <w:rPr>
                <w:color w:val="000000"/>
              </w:rPr>
            </w:pPr>
            <w:r w:rsidRPr="00AD3B81">
              <w:rPr>
                <w:color w:val="000000"/>
              </w:rPr>
              <w:t>$9</w:t>
            </w:r>
            <w:r>
              <w:rPr>
                <w:color w:val="000000"/>
              </w:rPr>
              <w:t>8</w:t>
            </w:r>
            <w:r w:rsidRPr="00AD3B81">
              <w:rPr>
                <w:color w:val="000000"/>
              </w:rPr>
              <w:t>,000-$11</w:t>
            </w:r>
            <w:r>
              <w:rPr>
                <w:color w:val="000000"/>
              </w:rPr>
              <w:t>8</w:t>
            </w:r>
            <w:r w:rsidRPr="00AD3B81">
              <w:rPr>
                <w:color w:val="000000"/>
              </w:rPr>
              <w:t>,000</w:t>
            </w:r>
          </w:p>
        </w:tc>
        <w:tc>
          <w:tcPr>
            <w:tcW w:w="1530" w:type="dxa"/>
            <w:shd w:val="clear" w:color="auto" w:fill="E7E6CF"/>
          </w:tcPr>
          <w:p w14:paraId="28E8187C" w14:textId="7BD2989F" w:rsidR="00AC40A8" w:rsidRPr="00BD77D3" w:rsidRDefault="00A505F0" w:rsidP="002F26D6">
            <w:r w:rsidRPr="00AD3B81">
              <w:t>$18</w:t>
            </w:r>
            <w:r>
              <w:t>3</w:t>
            </w:r>
            <w:r w:rsidRPr="00AD3B81">
              <w:t>,000-$19</w:t>
            </w:r>
            <w:r>
              <w:t>3</w:t>
            </w:r>
            <w:r w:rsidRPr="00AD3B81">
              <w:t>,000</w:t>
            </w:r>
          </w:p>
        </w:tc>
        <w:tc>
          <w:tcPr>
            <w:tcW w:w="1476" w:type="dxa"/>
            <w:shd w:val="clear" w:color="auto" w:fill="E7E6CF"/>
          </w:tcPr>
          <w:p w14:paraId="6B000684" w14:textId="77777777" w:rsidR="00AC40A8" w:rsidRPr="00BD77D3" w:rsidRDefault="00AC40A8" w:rsidP="00474357">
            <w:r w:rsidRPr="00BD77D3">
              <w:t>$0-$10,000</w:t>
            </w:r>
          </w:p>
        </w:tc>
      </w:tr>
    </w:tbl>
    <w:p w14:paraId="5132FB7D" w14:textId="77777777" w:rsidR="00AC40A8" w:rsidRPr="00BD77D3" w:rsidRDefault="00AC40A8" w:rsidP="005B5227">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AC40A8" w:rsidRPr="00BD77D3" w14:paraId="29AB67F5" w14:textId="77777777" w:rsidTr="005B5227">
        <w:tc>
          <w:tcPr>
            <w:tcW w:w="9576" w:type="dxa"/>
            <w:shd w:val="clear" w:color="auto" w:fill="D9D9D9"/>
          </w:tcPr>
          <w:p w14:paraId="2BE6BE42" w14:textId="59361661" w:rsidR="00AC40A8" w:rsidRPr="00BD77D3" w:rsidRDefault="00AC40A8" w:rsidP="005B5227">
            <w:pPr>
              <w:rPr>
                <w:b/>
                <w:color w:val="4F81BD"/>
              </w:rPr>
            </w:pPr>
            <w:r w:rsidRPr="00BD77D3">
              <w:rPr>
                <w:b/>
                <w:color w:val="4F81BD"/>
              </w:rPr>
              <w:t>Single - $6</w:t>
            </w:r>
            <w:r w:rsidR="006163FB">
              <w:rPr>
                <w:b/>
                <w:color w:val="4F81BD"/>
              </w:rPr>
              <w:t>1</w:t>
            </w:r>
            <w:r w:rsidRPr="00BD77D3">
              <w:rPr>
                <w:b/>
                <w:color w:val="4F81BD"/>
              </w:rPr>
              <w:t>,000-$7</w:t>
            </w:r>
            <w:r w:rsidR="006163FB">
              <w:rPr>
                <w:b/>
                <w:color w:val="4F81BD"/>
              </w:rPr>
              <w:t>1</w:t>
            </w:r>
            <w:r w:rsidRPr="00BD77D3">
              <w:rPr>
                <w:b/>
                <w:color w:val="4F81BD"/>
              </w:rPr>
              <w:t>,000 (</w:t>
            </w:r>
            <w:r w:rsidR="002D2503">
              <w:rPr>
                <w:b/>
                <w:color w:val="4F81BD"/>
              </w:rPr>
              <w:t>2016</w:t>
            </w:r>
            <w:r w:rsidRPr="00BD77D3">
              <w:rPr>
                <w:b/>
                <w:color w:val="4F81BD"/>
              </w:rPr>
              <w:t>)</w:t>
            </w:r>
          </w:p>
          <w:p w14:paraId="4E1DA744" w14:textId="68A38B59" w:rsidR="00AC40A8" w:rsidRPr="00BD77D3" w:rsidRDefault="00907841" w:rsidP="005B5227">
            <w:r>
              <w:t>As an example, a</w:t>
            </w:r>
            <w:r w:rsidR="00AC40A8" w:rsidRPr="00BD77D3">
              <w:t xml:space="preserve"> single, 34</w:t>
            </w:r>
            <w:r w:rsidR="004507AE">
              <w:t>-</w:t>
            </w:r>
            <w:r w:rsidR="00AC40A8" w:rsidRPr="00BD77D3">
              <w:t xml:space="preserve">year-old </w:t>
            </w:r>
            <w:r w:rsidR="00AC40A8">
              <w:t>client</w:t>
            </w:r>
            <w:r w:rsidR="00AC40A8" w:rsidRPr="00BD77D3">
              <w:t xml:space="preserve"> is an active participant in an employer-sponsored plan. If, in </w:t>
            </w:r>
            <w:r w:rsidR="002D2503">
              <w:t>2016</w:t>
            </w:r>
            <w:r w:rsidR="00AC40A8" w:rsidRPr="00BD77D3">
              <w:t>, this person makes a $2,000 contribution to their IRA, then:</w:t>
            </w:r>
          </w:p>
          <w:p w14:paraId="62A6CBDE" w14:textId="77777777" w:rsidR="00AC40A8" w:rsidRPr="00BD77D3" w:rsidRDefault="00AC40A8" w:rsidP="00822DE7">
            <w:pPr>
              <w:numPr>
                <w:ilvl w:val="0"/>
                <w:numId w:val="11"/>
              </w:numPr>
            </w:pPr>
            <w:r w:rsidRPr="00BD77D3">
              <w:t>With modified AGI of $45,000, the $2,000 contribution would be fully deductible.</w:t>
            </w:r>
          </w:p>
          <w:p w14:paraId="33E800A1" w14:textId="760AB5D6" w:rsidR="00AC40A8" w:rsidRPr="00BD77D3" w:rsidRDefault="00AC40A8" w:rsidP="00822DE7">
            <w:pPr>
              <w:numPr>
                <w:ilvl w:val="0"/>
                <w:numId w:val="11"/>
              </w:numPr>
            </w:pPr>
            <w:r w:rsidRPr="00BD77D3">
              <w:t>With modified AGI of $6</w:t>
            </w:r>
            <w:r w:rsidR="008234BC">
              <w:t>7</w:t>
            </w:r>
            <w:r w:rsidRPr="00BD77D3">
              <w:t xml:space="preserve">,000, the $2,000 contribution would </w:t>
            </w:r>
            <w:r>
              <w:t xml:space="preserve">generate an $800 deduction calculated as follows.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AC40A8" w14:paraId="621972B0" w14:textId="77777777" w:rsidTr="00235F9B">
              <w:tc>
                <w:tcPr>
                  <w:tcW w:w="9345" w:type="dxa"/>
                  <w:shd w:val="clear" w:color="auto" w:fill="FFFF99"/>
                </w:tcPr>
                <w:p w14:paraId="666CF96D" w14:textId="59603D71" w:rsidR="00AC40A8" w:rsidRPr="00AD3B81" w:rsidRDefault="00AC40A8" w:rsidP="00AD3B81">
                  <w:r w:rsidRPr="00AD3B81">
                    <w:t>To the extent a client</w:t>
                  </w:r>
                  <w:r>
                    <w:t>’s modified AGI</w:t>
                  </w:r>
                  <w:r w:rsidRPr="00AD3B81">
                    <w:t xml:space="preserve"> encroaches into the phase</w:t>
                  </w:r>
                  <w:r w:rsidR="00706331">
                    <w:t>-</w:t>
                  </w:r>
                  <w:r w:rsidRPr="00AD3B81">
                    <w:t>out range, a corresponding percentage of the deduction is lost.</w:t>
                  </w:r>
                </w:p>
                <w:p w14:paraId="7DA9BBBC" w14:textId="6525CF63" w:rsidR="00AC40A8" w:rsidRPr="00AD3B81" w:rsidRDefault="00706331" w:rsidP="000A006A">
                  <w:r>
                    <w:t>The phase-</w:t>
                  </w:r>
                  <w:r w:rsidR="00AC40A8" w:rsidRPr="00AD3B81">
                    <w:t>out range of $10,000 occurs from $6</w:t>
                  </w:r>
                  <w:r w:rsidR="008234BC">
                    <w:t>1</w:t>
                  </w:r>
                  <w:r w:rsidR="00AC40A8" w:rsidRPr="00AD3B81">
                    <w:t>,000 to $7</w:t>
                  </w:r>
                  <w:r w:rsidR="008234BC">
                    <w:t>1</w:t>
                  </w:r>
                  <w:r w:rsidR="00AC40A8" w:rsidRPr="00AD3B81">
                    <w:t>,000 (</w:t>
                  </w:r>
                  <w:r w:rsidR="002D2503">
                    <w:t>2016</w:t>
                  </w:r>
                  <w:r w:rsidR="00AC40A8" w:rsidRPr="00AD3B81">
                    <w:t>).</w:t>
                  </w:r>
                </w:p>
                <w:p w14:paraId="73942623" w14:textId="58592EA4" w:rsidR="00AC40A8" w:rsidRPr="00AD3B81" w:rsidRDefault="00AC40A8" w:rsidP="00AD3B81">
                  <w:r w:rsidRPr="00AD3B81">
                    <w:t>The client has a modified AGI of $6</w:t>
                  </w:r>
                  <w:r w:rsidR="008234BC">
                    <w:t>7</w:t>
                  </w:r>
                  <w:r w:rsidRPr="00AD3B81">
                    <w:t>,000, which encroaches int</w:t>
                  </w:r>
                  <w:r w:rsidR="00706331">
                    <w:t>o the phase-</w:t>
                  </w:r>
                  <w:r>
                    <w:t>out range by $6</w:t>
                  </w:r>
                  <w:r w:rsidRPr="00AD3B81">
                    <w:t xml:space="preserve">,000.  </w:t>
                  </w:r>
                </w:p>
                <w:p w14:paraId="1587FCE3" w14:textId="59B7E06F" w:rsidR="00AC40A8" w:rsidRDefault="00AC40A8" w:rsidP="00822DE7">
                  <w:pPr>
                    <w:numPr>
                      <w:ilvl w:val="0"/>
                      <w:numId w:val="49"/>
                    </w:numPr>
                  </w:pPr>
                  <w:r>
                    <w:t>$6,000/$10,000 = 60% enc</w:t>
                  </w:r>
                  <w:r w:rsidR="00706331">
                    <w:t>roachment into the phase-</w:t>
                  </w:r>
                  <w:r>
                    <w:t>out range</w:t>
                  </w:r>
                  <w:r w:rsidRPr="00AD3B81">
                    <w:t xml:space="preserve">  </w:t>
                  </w:r>
                </w:p>
                <w:p w14:paraId="1CFD40CC" w14:textId="7E29DC62" w:rsidR="00AC40A8" w:rsidRDefault="00AC40A8" w:rsidP="00822DE7">
                  <w:pPr>
                    <w:numPr>
                      <w:ilvl w:val="0"/>
                      <w:numId w:val="49"/>
                    </w:numPr>
                  </w:pPr>
                  <w:r w:rsidRPr="00AD3B81">
                    <w:t>Therefore</w:t>
                  </w:r>
                  <w:r w:rsidR="00706331">
                    <w:t>,</w:t>
                  </w:r>
                  <w:r w:rsidRPr="00AD3B81">
                    <w:t xml:space="preserve"> </w:t>
                  </w:r>
                  <w:r>
                    <w:t>6</w:t>
                  </w:r>
                  <w:r w:rsidRPr="00AD3B81">
                    <w:t xml:space="preserve">0% of the deductibility is lost.  </w:t>
                  </w:r>
                </w:p>
                <w:p w14:paraId="3AAB8BA8" w14:textId="77777777" w:rsidR="00AC40A8" w:rsidRDefault="00AC40A8" w:rsidP="00822DE7">
                  <w:pPr>
                    <w:numPr>
                      <w:ilvl w:val="0"/>
                      <w:numId w:val="49"/>
                    </w:numPr>
                  </w:pPr>
                  <w:r>
                    <w:t>Consequently, o</w:t>
                  </w:r>
                  <w:r w:rsidRPr="00AD3B81">
                    <w:t xml:space="preserve">nly </w:t>
                  </w:r>
                  <w:r>
                    <w:t>4</w:t>
                  </w:r>
                  <w:r w:rsidRPr="00AD3B81">
                    <w:t xml:space="preserve">0% of the $2,000 </w:t>
                  </w:r>
                  <w:r>
                    <w:t xml:space="preserve">contribution </w:t>
                  </w:r>
                  <w:r w:rsidRPr="00AD3B81">
                    <w:t>is deductible.</w:t>
                  </w:r>
                </w:p>
              </w:tc>
            </w:tr>
          </w:tbl>
          <w:p w14:paraId="0551AECB" w14:textId="77777777" w:rsidR="00AC40A8" w:rsidRPr="00BD77D3" w:rsidRDefault="00AC40A8" w:rsidP="00822DE7">
            <w:pPr>
              <w:numPr>
                <w:ilvl w:val="0"/>
                <w:numId w:val="11"/>
              </w:numPr>
            </w:pPr>
            <w:r w:rsidRPr="00BD77D3">
              <w:t>With modified AGI of $85,000, the $2,000 contribution would not be deductible at all.</w:t>
            </w:r>
          </w:p>
        </w:tc>
      </w:tr>
    </w:tbl>
    <w:p w14:paraId="798528E5" w14:textId="77777777" w:rsidR="00F82C66" w:rsidRPr="00BD77D3" w:rsidRDefault="00F82C66" w:rsidP="005B5227">
      <w:pPr>
        <w:spacing w:before="0" w:after="0"/>
      </w:pPr>
    </w:p>
    <w:p w14:paraId="12D6B8E3" w14:textId="77777777" w:rsidR="00F82C66" w:rsidRDefault="00F82C66">
      <w:pPr>
        <w:spacing w:before="0" w:after="0"/>
        <w:rPr>
          <w:rStyle w:val="Strong"/>
          <w:bCs w:val="0"/>
          <w:color w:val="1F497D"/>
          <w:szCs w:val="26"/>
        </w:rPr>
      </w:pPr>
      <w:r>
        <w:rPr>
          <w:rStyle w:val="Strong"/>
          <w:b w:val="0"/>
        </w:rPr>
        <w:br w:type="page"/>
      </w:r>
    </w:p>
    <w:p w14:paraId="6E8FF44A" w14:textId="047EE2FD" w:rsidR="00AC40A8" w:rsidRPr="00BD77D3" w:rsidRDefault="00AC40A8" w:rsidP="000E1970">
      <w:pPr>
        <w:pStyle w:val="Sub-Headings"/>
        <w:rPr>
          <w:rStyle w:val="Strong"/>
          <w:b/>
        </w:rPr>
      </w:pPr>
      <w:r w:rsidRPr="00BD77D3">
        <w:rPr>
          <w:rStyle w:val="Strong"/>
          <w:b/>
        </w:rPr>
        <w:lastRenderedPageBreak/>
        <w:t>Try It</w:t>
      </w:r>
    </w:p>
    <w:p w14:paraId="239BC068" w14:textId="77777777" w:rsidR="00AC40A8" w:rsidRPr="00BD77D3" w:rsidRDefault="00AC40A8" w:rsidP="005B5227">
      <w:r w:rsidRPr="00BD77D3">
        <w:rPr>
          <w:rStyle w:val="Strong"/>
          <w:color w:val="FF0000"/>
        </w:rPr>
        <w:t>Using the tables above, answer the following questions, being sure to read the responses if you answer incorrectly.</w:t>
      </w:r>
    </w:p>
    <w:p w14:paraId="293123A2" w14:textId="7692050B" w:rsidR="0008473C" w:rsidRPr="004A3077" w:rsidRDefault="0008473C" w:rsidP="00822DE7">
      <w:pPr>
        <w:numPr>
          <w:ilvl w:val="0"/>
          <w:numId w:val="25"/>
        </w:numPr>
        <w:ind w:left="360"/>
        <w:rPr>
          <w:b/>
        </w:rPr>
      </w:pPr>
      <w:r w:rsidRPr="004A3077">
        <w:rPr>
          <w:b/>
        </w:rPr>
        <w:t xml:space="preserve">A married couple, filing jointly, has modified AGI of $88,000 for </w:t>
      </w:r>
      <w:r w:rsidR="002D2503">
        <w:rPr>
          <w:b/>
        </w:rPr>
        <w:t>2016</w:t>
      </w:r>
      <w:r w:rsidRPr="004A3077">
        <w:rPr>
          <w:b/>
        </w:rPr>
        <w:t>. Both are active participants in an employer-sponsored plan.</w:t>
      </w:r>
      <w:r w:rsidRPr="00BD77D3">
        <w:rPr>
          <w:b/>
        </w:rPr>
        <w:t xml:space="preserve"> </w:t>
      </w:r>
      <w:r>
        <w:rPr>
          <w:b/>
        </w:rPr>
        <w:t xml:space="preserve">The wife </w:t>
      </w:r>
      <w:r w:rsidRPr="00BD77D3">
        <w:rPr>
          <w:b/>
        </w:rPr>
        <w:t>make</w:t>
      </w:r>
      <w:r>
        <w:rPr>
          <w:b/>
        </w:rPr>
        <w:t>s</w:t>
      </w:r>
      <w:r w:rsidRPr="00BD77D3">
        <w:rPr>
          <w:b/>
        </w:rPr>
        <w:t xml:space="preserve"> a $5,500 contribution to </w:t>
      </w:r>
      <w:r w:rsidR="00F82C66">
        <w:rPr>
          <w:b/>
        </w:rPr>
        <w:t>her T</w:t>
      </w:r>
      <w:r>
        <w:rPr>
          <w:b/>
        </w:rPr>
        <w:t xml:space="preserve">raditional IRA.  How much of her contribution is deductible? </w:t>
      </w:r>
      <w:r w:rsidRPr="004A3077">
        <w:rPr>
          <w:b/>
        </w:rPr>
        <w:t xml:space="preserve"> </w:t>
      </w:r>
    </w:p>
    <w:p w14:paraId="5D30CD20" w14:textId="358C60FC" w:rsidR="0008473C" w:rsidRPr="004A3077" w:rsidRDefault="0008473C" w:rsidP="00822DE7">
      <w:pPr>
        <w:numPr>
          <w:ilvl w:val="0"/>
          <w:numId w:val="24"/>
        </w:numPr>
        <w:rPr>
          <w:b/>
        </w:rPr>
      </w:pPr>
      <w:r>
        <w:rPr>
          <w:b/>
        </w:rPr>
        <w:t>$5,500</w:t>
      </w:r>
    </w:p>
    <w:p w14:paraId="343A2535" w14:textId="5AD86F68" w:rsidR="0008473C" w:rsidRPr="004A3077" w:rsidRDefault="0008473C" w:rsidP="0008473C">
      <w:pPr>
        <w:pStyle w:val="ReviewAnswer"/>
      </w:pPr>
      <w:r w:rsidRPr="004A3077">
        <w:rPr>
          <w:rStyle w:val="Strong"/>
        </w:rPr>
        <w:t>Correct</w:t>
      </w:r>
      <w:r w:rsidRPr="004A3077">
        <w:t>. The phase-out for this situation takes place when modified AGI is between $9</w:t>
      </w:r>
      <w:r w:rsidR="004F73AD">
        <w:t>8</w:t>
      </w:r>
      <w:r w:rsidRPr="004A3077">
        <w:t>,000 and $11</w:t>
      </w:r>
      <w:r w:rsidR="004F73AD">
        <w:t>8</w:t>
      </w:r>
      <w:r w:rsidRPr="004A3077">
        <w:t>,000</w:t>
      </w:r>
      <w:r w:rsidR="004F73AD">
        <w:t xml:space="preserve"> (</w:t>
      </w:r>
      <w:r w:rsidR="002D2503">
        <w:t>2016</w:t>
      </w:r>
      <w:r w:rsidR="004F73AD">
        <w:t>)</w:t>
      </w:r>
      <w:r w:rsidRPr="004A3077">
        <w:t xml:space="preserve">. Since their modified AGI is $88,000, </w:t>
      </w:r>
      <w:r>
        <w:t xml:space="preserve">her </w:t>
      </w:r>
      <w:r w:rsidRPr="004A3077">
        <w:t xml:space="preserve">contributions are fully deductible. </w:t>
      </w:r>
    </w:p>
    <w:p w14:paraId="35B24144" w14:textId="77777777" w:rsidR="0008473C" w:rsidRPr="004A3077" w:rsidRDefault="0008473C" w:rsidP="00822DE7">
      <w:pPr>
        <w:numPr>
          <w:ilvl w:val="0"/>
          <w:numId w:val="24"/>
        </w:numPr>
      </w:pPr>
      <w:r>
        <w:t>$3,300</w:t>
      </w:r>
    </w:p>
    <w:p w14:paraId="127E8D78" w14:textId="77777777" w:rsidR="0008473C" w:rsidRPr="004A3077" w:rsidRDefault="0008473C" w:rsidP="0008473C">
      <w:pPr>
        <w:pStyle w:val="ReviewAnswer"/>
      </w:pPr>
      <w:r w:rsidRPr="004A3077">
        <w:rPr>
          <w:rStyle w:val="Strong"/>
        </w:rPr>
        <w:t>Incorrect</w:t>
      </w:r>
      <w:r w:rsidRPr="004A3077">
        <w:t>. Try again.</w:t>
      </w:r>
    </w:p>
    <w:p w14:paraId="1C05FE2D" w14:textId="77777777" w:rsidR="0008473C" w:rsidRPr="004A3077" w:rsidRDefault="0008473C" w:rsidP="00822DE7">
      <w:pPr>
        <w:numPr>
          <w:ilvl w:val="0"/>
          <w:numId w:val="24"/>
        </w:numPr>
      </w:pPr>
      <w:r>
        <w:t>$0</w:t>
      </w:r>
    </w:p>
    <w:p w14:paraId="2CF4C610" w14:textId="77777777" w:rsidR="0008473C" w:rsidRPr="004A3077" w:rsidRDefault="0008473C" w:rsidP="0008473C">
      <w:pPr>
        <w:pStyle w:val="ReviewAnswer"/>
      </w:pPr>
      <w:r w:rsidRPr="004A3077">
        <w:rPr>
          <w:rStyle w:val="Strong"/>
        </w:rPr>
        <w:t>Incorrect</w:t>
      </w:r>
      <w:r w:rsidRPr="004A3077">
        <w:t>. Try again.</w:t>
      </w:r>
    </w:p>
    <w:p w14:paraId="455F12C1" w14:textId="3C36BEB9" w:rsidR="0008473C" w:rsidRPr="004A3077" w:rsidRDefault="0008473C" w:rsidP="00822DE7">
      <w:pPr>
        <w:numPr>
          <w:ilvl w:val="0"/>
          <w:numId w:val="25"/>
        </w:numPr>
        <w:ind w:left="360"/>
        <w:rPr>
          <w:b/>
          <w:bCs/>
        </w:rPr>
      </w:pPr>
      <w:r w:rsidRPr="004A3077">
        <w:rPr>
          <w:b/>
          <w:bCs/>
        </w:rPr>
        <w:t xml:space="preserve">In the preceding example, suppose their </w:t>
      </w:r>
      <w:r w:rsidR="002D2503">
        <w:rPr>
          <w:b/>
          <w:bCs/>
        </w:rPr>
        <w:t>2016</w:t>
      </w:r>
      <w:r w:rsidR="00D65817">
        <w:rPr>
          <w:b/>
          <w:bCs/>
        </w:rPr>
        <w:t xml:space="preserve"> </w:t>
      </w:r>
      <w:r w:rsidRPr="004A3077">
        <w:rPr>
          <w:b/>
          <w:bCs/>
        </w:rPr>
        <w:t>modified AGI is $</w:t>
      </w:r>
      <w:r w:rsidR="00D65817">
        <w:rPr>
          <w:b/>
          <w:bCs/>
        </w:rPr>
        <w:t>100</w:t>
      </w:r>
      <w:r w:rsidRPr="004A3077">
        <w:rPr>
          <w:b/>
          <w:bCs/>
        </w:rPr>
        <w:t xml:space="preserve">,000. In this case, </w:t>
      </w:r>
      <w:r>
        <w:rPr>
          <w:b/>
          <w:bCs/>
        </w:rPr>
        <w:t>she may deduct how much of her</w:t>
      </w:r>
      <w:r w:rsidRPr="004A3077">
        <w:rPr>
          <w:b/>
          <w:bCs/>
        </w:rPr>
        <w:t xml:space="preserve"> contribution</w:t>
      </w:r>
      <w:r>
        <w:rPr>
          <w:b/>
          <w:bCs/>
        </w:rPr>
        <w:t>?</w:t>
      </w:r>
      <w:r w:rsidRPr="004A3077">
        <w:rPr>
          <w:b/>
          <w:bCs/>
        </w:rPr>
        <w:t xml:space="preserve"> </w:t>
      </w:r>
    </w:p>
    <w:p w14:paraId="6B5F3FC4" w14:textId="1D48F454" w:rsidR="0008473C" w:rsidRPr="004A3077" w:rsidRDefault="0008473C" w:rsidP="00822DE7">
      <w:pPr>
        <w:numPr>
          <w:ilvl w:val="0"/>
          <w:numId w:val="24"/>
        </w:numPr>
      </w:pPr>
      <w:r>
        <w:t>$5,500</w:t>
      </w:r>
    </w:p>
    <w:p w14:paraId="401E313F" w14:textId="77777777" w:rsidR="0008473C" w:rsidRPr="004A3077" w:rsidRDefault="0008473C" w:rsidP="0008473C">
      <w:pPr>
        <w:pStyle w:val="ReviewAnswer"/>
      </w:pPr>
      <w:r w:rsidRPr="004A3077">
        <w:rPr>
          <w:rStyle w:val="Strong"/>
        </w:rPr>
        <w:t>Incorrect</w:t>
      </w:r>
      <w:r w:rsidRPr="004A3077">
        <w:t>. Try again.</w:t>
      </w:r>
    </w:p>
    <w:p w14:paraId="61541F38" w14:textId="77777777" w:rsidR="0008473C" w:rsidRPr="004A3077" w:rsidRDefault="0008473C" w:rsidP="00822DE7">
      <w:pPr>
        <w:numPr>
          <w:ilvl w:val="0"/>
          <w:numId w:val="24"/>
        </w:numPr>
        <w:rPr>
          <w:b/>
        </w:rPr>
      </w:pPr>
      <w:r>
        <w:rPr>
          <w:b/>
        </w:rPr>
        <w:t>$4,950</w:t>
      </w:r>
    </w:p>
    <w:p w14:paraId="733E7F4F" w14:textId="1B3FA629" w:rsidR="0008473C" w:rsidRPr="004A3077" w:rsidRDefault="0008473C" w:rsidP="0008473C">
      <w:pPr>
        <w:pStyle w:val="ReviewAnswer"/>
      </w:pPr>
      <w:r w:rsidRPr="004A3077">
        <w:rPr>
          <w:rStyle w:val="Strong"/>
        </w:rPr>
        <w:t>Correct</w:t>
      </w:r>
      <w:r w:rsidRPr="004A3077">
        <w:t xml:space="preserve">. The phase-out </w:t>
      </w:r>
      <w:r>
        <w:t>range is $20,000. Thei</w:t>
      </w:r>
      <w:r w:rsidR="00F82C66">
        <w:t>r AGI encroaches into the phase-</w:t>
      </w:r>
      <w:r>
        <w:t>out range by $2,000</w:t>
      </w:r>
      <w:r w:rsidR="003F7449">
        <w:t xml:space="preserve"> in </w:t>
      </w:r>
      <w:r w:rsidR="002D2503">
        <w:t>2016</w:t>
      </w:r>
      <w:r>
        <w:t xml:space="preserve">, which is 10% of the range. She loses deductibility for 10% of the contribution and may deduct 90% of the contribution. </w:t>
      </w:r>
    </w:p>
    <w:p w14:paraId="3FA6DCFB" w14:textId="77777777" w:rsidR="0008473C" w:rsidRPr="004A3077" w:rsidRDefault="0008473C" w:rsidP="00822DE7">
      <w:pPr>
        <w:numPr>
          <w:ilvl w:val="0"/>
          <w:numId w:val="24"/>
        </w:numPr>
      </w:pPr>
      <w:r>
        <w:t>$550</w:t>
      </w:r>
    </w:p>
    <w:p w14:paraId="7F785695" w14:textId="77777777" w:rsidR="0008473C" w:rsidRPr="004A3077" w:rsidRDefault="0008473C" w:rsidP="0008473C">
      <w:pPr>
        <w:pStyle w:val="ReviewAnswer"/>
      </w:pPr>
      <w:r w:rsidRPr="004A3077">
        <w:rPr>
          <w:rStyle w:val="Strong"/>
        </w:rPr>
        <w:t>Incorrect</w:t>
      </w:r>
      <w:r w:rsidRPr="004A3077">
        <w:t>. Try again.</w:t>
      </w:r>
    </w:p>
    <w:p w14:paraId="469E8452" w14:textId="73D63C65" w:rsidR="0008473C" w:rsidRDefault="0008473C" w:rsidP="00822DE7">
      <w:pPr>
        <w:numPr>
          <w:ilvl w:val="0"/>
          <w:numId w:val="25"/>
        </w:numPr>
        <w:ind w:left="360"/>
        <w:rPr>
          <w:b/>
        </w:rPr>
      </w:pPr>
      <w:r w:rsidRPr="00822AAD">
        <w:rPr>
          <w:b/>
        </w:rPr>
        <w:t>Your client Kayla</w:t>
      </w:r>
      <w:r w:rsidR="00F11CC7">
        <w:rPr>
          <w:b/>
        </w:rPr>
        <w:t>, age 39,</w:t>
      </w:r>
      <w:r w:rsidRPr="00822AAD">
        <w:rPr>
          <w:b/>
        </w:rPr>
        <w:t xml:space="preserve"> is a professional real estate developer with average earnings of $800,000 annually</w:t>
      </w:r>
      <w:r>
        <w:rPr>
          <w:b/>
        </w:rPr>
        <w:t xml:space="preserve">. </w:t>
      </w:r>
      <w:r w:rsidRPr="00822AAD">
        <w:rPr>
          <w:b/>
        </w:rPr>
        <w:t>She is self-employed and is not an act</w:t>
      </w:r>
      <w:r w:rsidR="00F82C66">
        <w:rPr>
          <w:b/>
        </w:rPr>
        <w:t>ive participant in an employer-</w:t>
      </w:r>
      <w:r w:rsidRPr="00822AAD">
        <w:rPr>
          <w:b/>
        </w:rPr>
        <w:t>sponsored retirement plan. How much can she contribute t</w:t>
      </w:r>
      <w:r w:rsidR="00F82C66">
        <w:rPr>
          <w:b/>
        </w:rPr>
        <w:t>o a T</w:t>
      </w:r>
      <w:r w:rsidRPr="00822AAD">
        <w:rPr>
          <w:b/>
        </w:rPr>
        <w:t xml:space="preserve">raditional IRA for </w:t>
      </w:r>
      <w:r w:rsidR="002D2503">
        <w:rPr>
          <w:b/>
        </w:rPr>
        <w:t>2016</w:t>
      </w:r>
      <w:r w:rsidRPr="00822AAD">
        <w:rPr>
          <w:b/>
        </w:rPr>
        <w:t xml:space="preserve"> and how much can she deduct?</w:t>
      </w:r>
    </w:p>
    <w:p w14:paraId="4A4710BC" w14:textId="77777777" w:rsidR="0008473C" w:rsidRDefault="0008473C" w:rsidP="00822DE7">
      <w:pPr>
        <w:numPr>
          <w:ilvl w:val="0"/>
          <w:numId w:val="50"/>
        </w:numPr>
      </w:pPr>
      <w:r w:rsidRPr="001F3D42">
        <w:t>$0 contribution and $0 deduction</w:t>
      </w:r>
    </w:p>
    <w:p w14:paraId="2359D90F" w14:textId="77777777" w:rsidR="0008473C" w:rsidRPr="001F3D42" w:rsidRDefault="0008473C" w:rsidP="001F3D42">
      <w:pPr>
        <w:pStyle w:val="ReviewAnswer"/>
        <w:ind w:left="720" w:firstLine="720"/>
      </w:pPr>
      <w:r w:rsidRPr="004A3077">
        <w:rPr>
          <w:rStyle w:val="Strong"/>
        </w:rPr>
        <w:t>Incorrect</w:t>
      </w:r>
      <w:r w:rsidRPr="004A3077">
        <w:t>. Try again.</w:t>
      </w:r>
    </w:p>
    <w:p w14:paraId="48E8E958" w14:textId="43A9C3D9" w:rsidR="0008473C" w:rsidRDefault="0008473C" w:rsidP="00822DE7">
      <w:pPr>
        <w:numPr>
          <w:ilvl w:val="0"/>
          <w:numId w:val="50"/>
        </w:numPr>
      </w:pPr>
      <w:r w:rsidRPr="001F3D42">
        <w:t>$5,500 contribution and $0 deduction</w:t>
      </w:r>
    </w:p>
    <w:p w14:paraId="59B39C5B" w14:textId="77777777" w:rsidR="0022688E" w:rsidRDefault="0022688E" w:rsidP="00822DE7">
      <w:pPr>
        <w:numPr>
          <w:ilvl w:val="0"/>
          <w:numId w:val="50"/>
        </w:numPr>
      </w:pPr>
    </w:p>
    <w:p w14:paraId="2A4CA718" w14:textId="77777777" w:rsidR="0008473C" w:rsidRPr="00111505" w:rsidRDefault="0008473C" w:rsidP="001F3D42">
      <w:pPr>
        <w:pStyle w:val="ReviewAnswer"/>
        <w:ind w:left="720" w:firstLine="720"/>
      </w:pPr>
      <w:r w:rsidRPr="004A3077">
        <w:rPr>
          <w:rStyle w:val="Strong"/>
        </w:rPr>
        <w:t>Incorrect</w:t>
      </w:r>
      <w:r w:rsidRPr="004A3077">
        <w:t>. Try again.</w:t>
      </w:r>
    </w:p>
    <w:p w14:paraId="59B2FA31" w14:textId="5F86E90B" w:rsidR="0008473C" w:rsidRPr="00F82C66" w:rsidRDefault="0008473C" w:rsidP="00822DE7">
      <w:pPr>
        <w:numPr>
          <w:ilvl w:val="0"/>
          <w:numId w:val="50"/>
        </w:numPr>
        <w:rPr>
          <w:b/>
        </w:rPr>
      </w:pPr>
      <w:r w:rsidRPr="00F82C66">
        <w:rPr>
          <w:b/>
        </w:rPr>
        <w:t>$5,500</w:t>
      </w:r>
      <w:r w:rsidR="00F11CC7">
        <w:rPr>
          <w:b/>
        </w:rPr>
        <w:t xml:space="preserve"> </w:t>
      </w:r>
      <w:r w:rsidRPr="00F82C66">
        <w:rPr>
          <w:b/>
        </w:rPr>
        <w:t>contribution and $5,500</w:t>
      </w:r>
      <w:r w:rsidR="00F11CC7">
        <w:rPr>
          <w:b/>
        </w:rPr>
        <w:t xml:space="preserve"> </w:t>
      </w:r>
      <w:r w:rsidRPr="00F82C66">
        <w:rPr>
          <w:b/>
        </w:rPr>
        <w:t>deduction</w:t>
      </w:r>
    </w:p>
    <w:p w14:paraId="423505AA" w14:textId="1C37DFF6" w:rsidR="0008473C" w:rsidRPr="00111505" w:rsidRDefault="0008473C" w:rsidP="001F3D42">
      <w:pPr>
        <w:pStyle w:val="ReviewAnswer"/>
        <w:ind w:left="1440"/>
      </w:pPr>
      <w:r>
        <w:rPr>
          <w:rStyle w:val="Strong"/>
        </w:rPr>
        <w:t>C</w:t>
      </w:r>
      <w:r w:rsidRPr="004A3077">
        <w:rPr>
          <w:rStyle w:val="Strong"/>
        </w:rPr>
        <w:t>orrect</w:t>
      </w:r>
      <w:r w:rsidRPr="004A3077">
        <w:t xml:space="preserve">. </w:t>
      </w:r>
      <w:r>
        <w:t xml:space="preserve">High earnings do not limit the contribution to a </w:t>
      </w:r>
      <w:r w:rsidR="00F82C66">
        <w:t>T</w:t>
      </w:r>
      <w:r>
        <w:t>raditional IRA.  Because she is not an ac</w:t>
      </w:r>
      <w:r w:rsidR="00F82C66">
        <w:t>tive participant in an employer-</w:t>
      </w:r>
      <w:r>
        <w:t>sponsored retirement plan, she may deduct the entire contribution.</w:t>
      </w:r>
    </w:p>
    <w:p w14:paraId="072718C3" w14:textId="77777777" w:rsidR="00AC40A8" w:rsidRPr="00BD77D3" w:rsidRDefault="00AC40A8" w:rsidP="00BC5B93"/>
    <w:p w14:paraId="01EDA7B1" w14:textId="77777777" w:rsidR="00AC40A8" w:rsidRDefault="00AC40A8" w:rsidP="001F3D42">
      <w:pPr>
        <w:pStyle w:val="Heading2"/>
      </w:pPr>
      <w:r w:rsidRPr="00BD77D3">
        <w:rPr>
          <w:sz w:val="24"/>
          <w:szCs w:val="24"/>
        </w:rPr>
        <w:br w:type="page"/>
      </w:r>
      <w:r>
        <w:lastRenderedPageBreak/>
        <w:t>How Does Modified AGI Limit the Roth IRA Contribution?</w:t>
      </w:r>
      <w:r w:rsidRPr="00CA541A">
        <w:t xml:space="preserve"> </w:t>
      </w:r>
    </w:p>
    <w:p w14:paraId="1546E348" w14:textId="4569622F" w:rsidR="00AC40A8" w:rsidRDefault="00AC40A8" w:rsidP="0008473C">
      <w:r>
        <w:t xml:space="preserve">A contribution to a </w:t>
      </w:r>
      <w:r w:rsidR="0008473C">
        <w:t>T</w:t>
      </w:r>
      <w:r>
        <w:t>raditional IRA is always permitted for an individual meeting the age and taxable compensation requirements</w:t>
      </w:r>
      <w:r w:rsidR="00907841">
        <w:t>,</w:t>
      </w:r>
      <w:r>
        <w:t xml:space="preserve"> but the deductibility of the contribution is subject to the “active participant” and “modified AGI phase</w:t>
      </w:r>
      <w:r w:rsidR="0008473C">
        <w:t>-</w:t>
      </w:r>
      <w:r>
        <w:t xml:space="preserve">out” restrictions. </w:t>
      </w:r>
    </w:p>
    <w:p w14:paraId="575DE94F" w14:textId="4597C3FD" w:rsidR="00AC40A8" w:rsidRPr="00BC5B93" w:rsidRDefault="00AC40A8" w:rsidP="008E3F14">
      <w:pPr>
        <w:rPr>
          <w:b/>
        </w:rPr>
      </w:pPr>
      <w:r>
        <w:t>Roth IRAs are different. Even for clients meeting the taxable compensation requirement (there is no age requirement), the ability to make a Roth IRA contribution may be reduced or eliminated based upon modified AGI. The phase</w:t>
      </w:r>
      <w:r w:rsidR="0008473C">
        <w:t>-</w:t>
      </w:r>
      <w:r>
        <w:t xml:space="preserve">out ranges are summarized in the table below.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98"/>
        <w:gridCol w:w="2415"/>
        <w:gridCol w:w="2630"/>
        <w:gridCol w:w="2533"/>
      </w:tblGrid>
      <w:tr w:rsidR="00AC40A8" w:rsidRPr="00604D27" w14:paraId="63814F37" w14:textId="77777777" w:rsidTr="00E01D0F">
        <w:trPr>
          <w:jc w:val="center"/>
        </w:trPr>
        <w:tc>
          <w:tcPr>
            <w:tcW w:w="9576" w:type="dxa"/>
            <w:gridSpan w:val="4"/>
            <w:shd w:val="clear" w:color="auto" w:fill="DBD9B9"/>
          </w:tcPr>
          <w:p w14:paraId="48CC5FBA" w14:textId="7CD7F629" w:rsidR="00AC40A8" w:rsidRPr="00EA3F14" w:rsidRDefault="00AC40A8" w:rsidP="0008473C">
            <w:pPr>
              <w:jc w:val="center"/>
              <w:rPr>
                <w:rStyle w:val="Strong"/>
              </w:rPr>
            </w:pPr>
            <w:r w:rsidRPr="00EA3F14">
              <w:rPr>
                <w:b/>
              </w:rPr>
              <w:t>Modified AGI Phase</w:t>
            </w:r>
            <w:r w:rsidR="0008473C">
              <w:rPr>
                <w:b/>
              </w:rPr>
              <w:t>-</w:t>
            </w:r>
            <w:r w:rsidRPr="00EA3F14">
              <w:rPr>
                <w:b/>
              </w:rPr>
              <w:t>Out of Eligibility to Contribute to a Roth IRA (</w:t>
            </w:r>
            <w:r w:rsidR="002D2503">
              <w:rPr>
                <w:b/>
              </w:rPr>
              <w:t>2016</w:t>
            </w:r>
            <w:r w:rsidRPr="00EA3F14">
              <w:rPr>
                <w:b/>
              </w:rPr>
              <w:t>)*</w:t>
            </w:r>
          </w:p>
        </w:tc>
      </w:tr>
      <w:tr w:rsidR="00AC40A8" w:rsidRPr="00604D27" w14:paraId="18FF97BB" w14:textId="77777777" w:rsidTr="009720E9">
        <w:trPr>
          <w:jc w:val="center"/>
        </w:trPr>
        <w:tc>
          <w:tcPr>
            <w:tcW w:w="1998" w:type="dxa"/>
            <w:shd w:val="clear" w:color="auto" w:fill="DBD9B9"/>
          </w:tcPr>
          <w:p w14:paraId="72C8D95A" w14:textId="040B6C53" w:rsidR="00AC40A8" w:rsidRPr="00C757C7" w:rsidRDefault="002D2503" w:rsidP="009720E9">
            <w:pPr>
              <w:spacing w:before="0" w:after="0"/>
              <w:jc w:val="center"/>
              <w:rPr>
                <w:rStyle w:val="Strong"/>
              </w:rPr>
            </w:pPr>
            <w:r>
              <w:rPr>
                <w:rStyle w:val="Strong"/>
              </w:rPr>
              <w:t>2016</w:t>
            </w:r>
            <w:r w:rsidR="00AC40A8">
              <w:rPr>
                <w:rStyle w:val="Strong"/>
              </w:rPr>
              <w:t xml:space="preserve"> Roth IRA Contribution Eligibility</w:t>
            </w:r>
          </w:p>
        </w:tc>
        <w:tc>
          <w:tcPr>
            <w:tcW w:w="2415" w:type="dxa"/>
            <w:shd w:val="clear" w:color="auto" w:fill="DBD9B9"/>
          </w:tcPr>
          <w:p w14:paraId="2E09A5CE" w14:textId="77777777" w:rsidR="009720E9" w:rsidRDefault="009720E9" w:rsidP="009720E9">
            <w:pPr>
              <w:spacing w:before="0" w:after="0"/>
              <w:jc w:val="center"/>
              <w:rPr>
                <w:rStyle w:val="Strong"/>
              </w:rPr>
            </w:pPr>
          </w:p>
          <w:p w14:paraId="432A9DD6" w14:textId="77777777" w:rsidR="009720E9" w:rsidRDefault="009720E9" w:rsidP="009720E9">
            <w:pPr>
              <w:spacing w:before="0" w:after="0"/>
              <w:jc w:val="center"/>
              <w:rPr>
                <w:rStyle w:val="Strong"/>
              </w:rPr>
            </w:pPr>
          </w:p>
          <w:p w14:paraId="1E4752E0" w14:textId="3B6E50F0" w:rsidR="00AC40A8" w:rsidRPr="00C757C7" w:rsidRDefault="009720E9" w:rsidP="009720E9">
            <w:pPr>
              <w:spacing w:before="0" w:after="0"/>
              <w:jc w:val="center"/>
              <w:rPr>
                <w:rStyle w:val="Strong"/>
              </w:rPr>
            </w:pPr>
            <w:r>
              <w:rPr>
                <w:rStyle w:val="Strong"/>
              </w:rPr>
              <w:t>S</w:t>
            </w:r>
            <w:r w:rsidR="00AC40A8" w:rsidRPr="00C757C7">
              <w:rPr>
                <w:rStyle w:val="Strong"/>
              </w:rPr>
              <w:t xml:space="preserve">ingle Filers </w:t>
            </w:r>
          </w:p>
        </w:tc>
        <w:tc>
          <w:tcPr>
            <w:tcW w:w="2630" w:type="dxa"/>
            <w:shd w:val="clear" w:color="auto" w:fill="DBD9B9"/>
          </w:tcPr>
          <w:p w14:paraId="54F5F7F4" w14:textId="77777777" w:rsidR="009720E9" w:rsidRDefault="009720E9" w:rsidP="009720E9">
            <w:pPr>
              <w:spacing w:before="0" w:after="0"/>
              <w:jc w:val="center"/>
              <w:rPr>
                <w:rStyle w:val="Strong"/>
              </w:rPr>
            </w:pPr>
          </w:p>
          <w:p w14:paraId="7B3623FA" w14:textId="77777777" w:rsidR="009720E9" w:rsidRDefault="009720E9" w:rsidP="009720E9">
            <w:pPr>
              <w:spacing w:before="0" w:after="0"/>
              <w:jc w:val="center"/>
              <w:rPr>
                <w:rStyle w:val="Strong"/>
              </w:rPr>
            </w:pPr>
          </w:p>
          <w:p w14:paraId="3143148C" w14:textId="77777777" w:rsidR="00AC40A8" w:rsidRPr="00C757C7" w:rsidRDefault="00AC40A8" w:rsidP="009720E9">
            <w:pPr>
              <w:spacing w:before="0" w:after="0"/>
              <w:jc w:val="center"/>
              <w:rPr>
                <w:rStyle w:val="Strong"/>
              </w:rPr>
            </w:pPr>
            <w:r w:rsidRPr="00C757C7">
              <w:rPr>
                <w:rStyle w:val="Strong"/>
              </w:rPr>
              <w:t xml:space="preserve">Joint Filers </w:t>
            </w:r>
          </w:p>
        </w:tc>
        <w:tc>
          <w:tcPr>
            <w:tcW w:w="2533" w:type="dxa"/>
            <w:shd w:val="clear" w:color="auto" w:fill="DBD9B9"/>
          </w:tcPr>
          <w:p w14:paraId="670F33F1" w14:textId="77777777" w:rsidR="009720E9" w:rsidRDefault="009720E9" w:rsidP="009720E9">
            <w:pPr>
              <w:spacing w:before="0" w:after="0"/>
              <w:jc w:val="center"/>
              <w:rPr>
                <w:rStyle w:val="Strong"/>
              </w:rPr>
            </w:pPr>
          </w:p>
          <w:p w14:paraId="75780909" w14:textId="77777777" w:rsidR="00AC40A8" w:rsidRPr="00C757C7" w:rsidRDefault="00AC40A8" w:rsidP="009720E9">
            <w:pPr>
              <w:spacing w:before="0" w:after="0"/>
              <w:jc w:val="center"/>
              <w:rPr>
                <w:rStyle w:val="Strong"/>
              </w:rPr>
            </w:pPr>
            <w:r>
              <w:rPr>
                <w:rStyle w:val="Strong"/>
              </w:rPr>
              <w:t>Married Filing Separately</w:t>
            </w:r>
          </w:p>
        </w:tc>
      </w:tr>
      <w:tr w:rsidR="00AC40A8" w:rsidRPr="00604D27" w14:paraId="3C4DEFD1" w14:textId="77777777" w:rsidTr="009720E9">
        <w:trPr>
          <w:jc w:val="center"/>
        </w:trPr>
        <w:tc>
          <w:tcPr>
            <w:tcW w:w="1998" w:type="dxa"/>
            <w:shd w:val="clear" w:color="auto" w:fill="E7E6CF"/>
          </w:tcPr>
          <w:p w14:paraId="206CA558" w14:textId="77777777" w:rsidR="00AC40A8" w:rsidRPr="00604D27" w:rsidRDefault="00AC40A8" w:rsidP="00DB60DA">
            <w:r>
              <w:t>100%</w:t>
            </w:r>
          </w:p>
        </w:tc>
        <w:tc>
          <w:tcPr>
            <w:tcW w:w="2415" w:type="dxa"/>
            <w:shd w:val="clear" w:color="auto" w:fill="E7E6CF"/>
          </w:tcPr>
          <w:p w14:paraId="030FF498" w14:textId="45474F25" w:rsidR="00AC40A8" w:rsidRPr="00604D27" w:rsidRDefault="00AC40A8" w:rsidP="002E0D8A">
            <w:pPr>
              <w:jc w:val="center"/>
            </w:pPr>
            <w:r w:rsidRPr="00C23659">
              <w:rPr>
                <w:rFonts w:ascii="Arial" w:hAnsi="Arial"/>
                <w:szCs w:val="24"/>
              </w:rPr>
              <w:t>Less than $</w:t>
            </w:r>
            <w:r w:rsidR="002E0D8A" w:rsidRPr="00C23659">
              <w:rPr>
                <w:rFonts w:ascii="Arial" w:hAnsi="Arial"/>
                <w:szCs w:val="24"/>
              </w:rPr>
              <w:t>1</w:t>
            </w:r>
            <w:r w:rsidR="002E0D8A">
              <w:rPr>
                <w:rFonts w:ascii="Arial" w:hAnsi="Arial"/>
                <w:szCs w:val="24"/>
              </w:rPr>
              <w:t>1</w:t>
            </w:r>
            <w:r w:rsidR="006A31E2">
              <w:rPr>
                <w:rFonts w:ascii="Arial" w:hAnsi="Arial"/>
                <w:szCs w:val="24"/>
              </w:rPr>
              <w:t>7</w:t>
            </w:r>
            <w:r w:rsidRPr="00C23659">
              <w:rPr>
                <w:rFonts w:ascii="Arial" w:hAnsi="Arial"/>
                <w:szCs w:val="24"/>
              </w:rPr>
              <w:t>,000</w:t>
            </w:r>
          </w:p>
        </w:tc>
        <w:tc>
          <w:tcPr>
            <w:tcW w:w="2630" w:type="dxa"/>
            <w:shd w:val="clear" w:color="auto" w:fill="E7E6CF"/>
          </w:tcPr>
          <w:p w14:paraId="1627139C" w14:textId="5BB4119C" w:rsidR="00AC40A8" w:rsidRPr="00604D27" w:rsidRDefault="00AC40A8" w:rsidP="00960254">
            <w:pPr>
              <w:jc w:val="center"/>
            </w:pPr>
            <w:r>
              <w:rPr>
                <w:rFonts w:ascii="Arial" w:hAnsi="Arial"/>
                <w:szCs w:val="24"/>
              </w:rPr>
              <w:t>L</w:t>
            </w:r>
            <w:r w:rsidRPr="00C23659">
              <w:rPr>
                <w:rFonts w:ascii="Arial" w:hAnsi="Arial"/>
                <w:szCs w:val="24"/>
              </w:rPr>
              <w:t>ess than $</w:t>
            </w:r>
            <w:r w:rsidR="00960254">
              <w:rPr>
                <w:rFonts w:ascii="Arial" w:hAnsi="Arial"/>
                <w:szCs w:val="24"/>
              </w:rPr>
              <w:t>18</w:t>
            </w:r>
            <w:r w:rsidR="008B2F3F">
              <w:rPr>
                <w:rFonts w:ascii="Arial" w:hAnsi="Arial"/>
                <w:szCs w:val="24"/>
              </w:rPr>
              <w:t>4</w:t>
            </w:r>
            <w:r w:rsidRPr="00C23659">
              <w:rPr>
                <w:rFonts w:ascii="Arial" w:hAnsi="Arial"/>
                <w:szCs w:val="24"/>
              </w:rPr>
              <w:t>,000</w:t>
            </w:r>
          </w:p>
        </w:tc>
        <w:tc>
          <w:tcPr>
            <w:tcW w:w="2533" w:type="dxa"/>
            <w:shd w:val="clear" w:color="auto" w:fill="E7E6CF"/>
          </w:tcPr>
          <w:p w14:paraId="7427F77A" w14:textId="77777777" w:rsidR="00AC40A8" w:rsidRDefault="00AC40A8" w:rsidP="00DB60DA">
            <w:pPr>
              <w:jc w:val="center"/>
              <w:rPr>
                <w:rFonts w:ascii="Arial" w:hAnsi="Arial"/>
                <w:szCs w:val="24"/>
              </w:rPr>
            </w:pPr>
            <w:r>
              <w:rPr>
                <w:rFonts w:ascii="Arial" w:hAnsi="Arial"/>
                <w:szCs w:val="24"/>
              </w:rPr>
              <w:t>$0</w:t>
            </w:r>
          </w:p>
        </w:tc>
      </w:tr>
      <w:tr w:rsidR="00AC40A8" w:rsidRPr="00604D27" w14:paraId="0630E3AB" w14:textId="77777777" w:rsidTr="009720E9">
        <w:trPr>
          <w:jc w:val="center"/>
        </w:trPr>
        <w:tc>
          <w:tcPr>
            <w:tcW w:w="1998" w:type="dxa"/>
            <w:shd w:val="clear" w:color="auto" w:fill="E7E6CF"/>
          </w:tcPr>
          <w:p w14:paraId="14F5FF5E" w14:textId="28328DB0" w:rsidR="00AC40A8" w:rsidRPr="00604D27" w:rsidRDefault="00813D5C" w:rsidP="008E3F14">
            <w:pPr>
              <w:rPr>
                <w:b/>
                <w:bCs/>
                <w:snapToGrid w:val="0"/>
              </w:rPr>
            </w:pPr>
            <w:r>
              <w:t>1% - 99%</w:t>
            </w:r>
          </w:p>
        </w:tc>
        <w:tc>
          <w:tcPr>
            <w:tcW w:w="2415" w:type="dxa"/>
            <w:shd w:val="clear" w:color="auto" w:fill="E7E6CF"/>
          </w:tcPr>
          <w:p w14:paraId="3C5275D7" w14:textId="7B65F522" w:rsidR="00AC40A8" w:rsidRPr="00604D27" w:rsidRDefault="00AC40A8" w:rsidP="002E0D8A">
            <w:pPr>
              <w:jc w:val="center"/>
            </w:pPr>
            <w:r w:rsidRPr="00C23659">
              <w:rPr>
                <w:rFonts w:ascii="Arial" w:hAnsi="Arial"/>
                <w:szCs w:val="24"/>
              </w:rPr>
              <w:t>$</w:t>
            </w:r>
            <w:r w:rsidR="002E0D8A" w:rsidRPr="00C23659">
              <w:rPr>
                <w:rFonts w:ascii="Arial" w:hAnsi="Arial"/>
                <w:szCs w:val="24"/>
              </w:rPr>
              <w:t>1</w:t>
            </w:r>
            <w:r w:rsidR="002E0D8A">
              <w:rPr>
                <w:rFonts w:ascii="Arial" w:hAnsi="Arial"/>
                <w:szCs w:val="24"/>
              </w:rPr>
              <w:t>1</w:t>
            </w:r>
            <w:r w:rsidR="006A31E2">
              <w:rPr>
                <w:rFonts w:ascii="Arial" w:hAnsi="Arial"/>
                <w:szCs w:val="24"/>
              </w:rPr>
              <w:t>7</w:t>
            </w:r>
            <w:r w:rsidRPr="00C23659">
              <w:rPr>
                <w:rFonts w:ascii="Arial" w:hAnsi="Arial"/>
                <w:szCs w:val="24"/>
              </w:rPr>
              <w:t>,000 - $</w:t>
            </w:r>
            <w:r w:rsidR="002E0D8A" w:rsidRPr="00C23659">
              <w:rPr>
                <w:rFonts w:ascii="Arial" w:hAnsi="Arial"/>
                <w:szCs w:val="24"/>
              </w:rPr>
              <w:t>1</w:t>
            </w:r>
            <w:r w:rsidR="002E0D8A">
              <w:rPr>
                <w:rFonts w:ascii="Arial" w:hAnsi="Arial"/>
                <w:szCs w:val="24"/>
              </w:rPr>
              <w:t>3</w:t>
            </w:r>
            <w:r w:rsidR="006A31E2">
              <w:rPr>
                <w:rFonts w:ascii="Arial" w:hAnsi="Arial"/>
                <w:szCs w:val="24"/>
              </w:rPr>
              <w:t>2</w:t>
            </w:r>
            <w:r w:rsidRPr="00C23659">
              <w:rPr>
                <w:rFonts w:ascii="Arial" w:hAnsi="Arial"/>
                <w:szCs w:val="24"/>
              </w:rPr>
              <w:t>,000</w:t>
            </w:r>
          </w:p>
        </w:tc>
        <w:tc>
          <w:tcPr>
            <w:tcW w:w="2630" w:type="dxa"/>
            <w:shd w:val="clear" w:color="auto" w:fill="E7E6CF"/>
          </w:tcPr>
          <w:p w14:paraId="427F97E4" w14:textId="2250ECDC" w:rsidR="00AC40A8" w:rsidRPr="00604D27" w:rsidRDefault="00AC40A8" w:rsidP="006A31E2">
            <w:pPr>
              <w:jc w:val="center"/>
            </w:pPr>
            <w:r w:rsidRPr="00C23659">
              <w:rPr>
                <w:rFonts w:ascii="Arial" w:hAnsi="Arial"/>
                <w:szCs w:val="24"/>
              </w:rPr>
              <w:t>$</w:t>
            </w:r>
            <w:r w:rsidR="00960254" w:rsidRPr="00C23659">
              <w:rPr>
                <w:rFonts w:ascii="Arial" w:hAnsi="Arial"/>
                <w:szCs w:val="24"/>
              </w:rPr>
              <w:t>1</w:t>
            </w:r>
            <w:r w:rsidR="00960254">
              <w:rPr>
                <w:rFonts w:ascii="Arial" w:hAnsi="Arial"/>
                <w:szCs w:val="24"/>
              </w:rPr>
              <w:t>8</w:t>
            </w:r>
            <w:r w:rsidR="006A31E2">
              <w:rPr>
                <w:rFonts w:ascii="Arial" w:hAnsi="Arial"/>
                <w:szCs w:val="24"/>
              </w:rPr>
              <w:t>4</w:t>
            </w:r>
            <w:r w:rsidRPr="00C23659">
              <w:rPr>
                <w:rFonts w:ascii="Arial" w:hAnsi="Arial"/>
                <w:szCs w:val="24"/>
              </w:rPr>
              <w:t>,000 - $</w:t>
            </w:r>
            <w:r w:rsidR="006A31E2" w:rsidRPr="00C23659">
              <w:rPr>
                <w:rFonts w:ascii="Arial" w:hAnsi="Arial"/>
                <w:szCs w:val="24"/>
              </w:rPr>
              <w:t>1</w:t>
            </w:r>
            <w:r w:rsidR="006A31E2">
              <w:rPr>
                <w:rFonts w:ascii="Arial" w:hAnsi="Arial"/>
                <w:szCs w:val="24"/>
              </w:rPr>
              <w:t>94</w:t>
            </w:r>
            <w:r w:rsidRPr="00C23659">
              <w:rPr>
                <w:rFonts w:ascii="Arial" w:hAnsi="Arial"/>
                <w:szCs w:val="24"/>
              </w:rPr>
              <w:t xml:space="preserve">,000 </w:t>
            </w:r>
          </w:p>
        </w:tc>
        <w:tc>
          <w:tcPr>
            <w:tcW w:w="2533" w:type="dxa"/>
            <w:shd w:val="clear" w:color="auto" w:fill="E7E6CF"/>
          </w:tcPr>
          <w:p w14:paraId="33F2D70D" w14:textId="77777777" w:rsidR="00AC40A8" w:rsidRPr="00C23659" w:rsidRDefault="00AC40A8" w:rsidP="00DB60DA">
            <w:pPr>
              <w:jc w:val="center"/>
              <w:rPr>
                <w:rFonts w:ascii="Arial" w:hAnsi="Arial"/>
                <w:szCs w:val="24"/>
              </w:rPr>
            </w:pPr>
            <w:r>
              <w:rPr>
                <w:rFonts w:ascii="Arial" w:hAnsi="Arial"/>
                <w:szCs w:val="24"/>
              </w:rPr>
              <w:t>$0 - $10,000</w:t>
            </w:r>
          </w:p>
        </w:tc>
      </w:tr>
      <w:tr w:rsidR="00AC40A8" w:rsidRPr="00604D27" w14:paraId="41CA7E2F" w14:textId="77777777" w:rsidTr="009720E9">
        <w:trPr>
          <w:jc w:val="center"/>
        </w:trPr>
        <w:tc>
          <w:tcPr>
            <w:tcW w:w="1998" w:type="dxa"/>
            <w:shd w:val="clear" w:color="auto" w:fill="E7E6CF"/>
          </w:tcPr>
          <w:p w14:paraId="1C9AD7B6" w14:textId="77777777" w:rsidR="00AC40A8" w:rsidRPr="00604D27" w:rsidRDefault="00AC40A8" w:rsidP="00DB60DA">
            <w:r>
              <w:t>0%</w:t>
            </w:r>
          </w:p>
        </w:tc>
        <w:tc>
          <w:tcPr>
            <w:tcW w:w="2415" w:type="dxa"/>
            <w:shd w:val="clear" w:color="auto" w:fill="E7E6CF"/>
          </w:tcPr>
          <w:p w14:paraId="7B522A9E" w14:textId="159B836C" w:rsidR="00AC40A8" w:rsidRPr="00604D27" w:rsidRDefault="00AC40A8" w:rsidP="002E0D8A">
            <w:pPr>
              <w:jc w:val="center"/>
            </w:pPr>
            <w:r>
              <w:rPr>
                <w:rFonts w:ascii="Arial" w:hAnsi="Arial"/>
                <w:szCs w:val="24"/>
              </w:rPr>
              <w:t>G</w:t>
            </w:r>
            <w:r w:rsidRPr="00C23659">
              <w:rPr>
                <w:rFonts w:ascii="Arial" w:hAnsi="Arial"/>
                <w:szCs w:val="24"/>
              </w:rPr>
              <w:t>reater than $</w:t>
            </w:r>
            <w:r w:rsidR="002E0D8A" w:rsidRPr="00C23659">
              <w:rPr>
                <w:rFonts w:ascii="Arial" w:hAnsi="Arial"/>
                <w:szCs w:val="24"/>
              </w:rPr>
              <w:t>1</w:t>
            </w:r>
            <w:r w:rsidR="002E0D8A">
              <w:rPr>
                <w:rFonts w:ascii="Arial" w:hAnsi="Arial"/>
                <w:szCs w:val="24"/>
              </w:rPr>
              <w:t>3</w:t>
            </w:r>
            <w:r w:rsidR="006A31E2">
              <w:rPr>
                <w:rFonts w:ascii="Arial" w:hAnsi="Arial"/>
                <w:szCs w:val="24"/>
              </w:rPr>
              <w:t>2</w:t>
            </w:r>
            <w:r w:rsidRPr="00C23659">
              <w:rPr>
                <w:rFonts w:ascii="Arial" w:hAnsi="Arial"/>
                <w:szCs w:val="24"/>
              </w:rPr>
              <w:t>,000</w:t>
            </w:r>
          </w:p>
        </w:tc>
        <w:tc>
          <w:tcPr>
            <w:tcW w:w="2630" w:type="dxa"/>
            <w:shd w:val="clear" w:color="auto" w:fill="E7E6CF"/>
          </w:tcPr>
          <w:p w14:paraId="1A39F6DF" w14:textId="0A0D955D" w:rsidR="00AC40A8" w:rsidRPr="00604D27" w:rsidRDefault="00AC40A8" w:rsidP="00960254">
            <w:pPr>
              <w:jc w:val="center"/>
            </w:pPr>
            <w:r>
              <w:rPr>
                <w:rFonts w:ascii="Arial" w:hAnsi="Arial"/>
                <w:szCs w:val="24"/>
              </w:rPr>
              <w:t>G</w:t>
            </w:r>
            <w:r w:rsidRPr="00C23659">
              <w:rPr>
                <w:rFonts w:ascii="Arial" w:hAnsi="Arial"/>
                <w:szCs w:val="24"/>
              </w:rPr>
              <w:t>reater than $</w:t>
            </w:r>
            <w:r w:rsidR="00960254" w:rsidRPr="00C23659">
              <w:rPr>
                <w:rFonts w:ascii="Arial" w:hAnsi="Arial"/>
                <w:szCs w:val="24"/>
              </w:rPr>
              <w:t>1</w:t>
            </w:r>
            <w:r w:rsidR="00960254">
              <w:rPr>
                <w:rFonts w:ascii="Arial" w:hAnsi="Arial"/>
                <w:szCs w:val="24"/>
              </w:rPr>
              <w:t>9</w:t>
            </w:r>
            <w:r w:rsidR="006A31E2">
              <w:rPr>
                <w:rFonts w:ascii="Arial" w:hAnsi="Arial"/>
                <w:szCs w:val="24"/>
              </w:rPr>
              <w:t>4</w:t>
            </w:r>
            <w:r w:rsidRPr="00C23659">
              <w:rPr>
                <w:rFonts w:ascii="Arial" w:hAnsi="Arial"/>
                <w:szCs w:val="24"/>
              </w:rPr>
              <w:t>,000</w:t>
            </w:r>
          </w:p>
        </w:tc>
        <w:tc>
          <w:tcPr>
            <w:tcW w:w="2533" w:type="dxa"/>
            <w:shd w:val="clear" w:color="auto" w:fill="E7E6CF"/>
          </w:tcPr>
          <w:p w14:paraId="3CC08C13" w14:textId="77777777" w:rsidR="00AC40A8" w:rsidRDefault="00AC40A8" w:rsidP="00DB60DA">
            <w:pPr>
              <w:jc w:val="center"/>
              <w:rPr>
                <w:rFonts w:ascii="Arial" w:hAnsi="Arial"/>
                <w:szCs w:val="24"/>
              </w:rPr>
            </w:pPr>
            <w:r>
              <w:rPr>
                <w:rFonts w:ascii="Arial" w:hAnsi="Arial"/>
                <w:szCs w:val="24"/>
              </w:rPr>
              <w:t>Greater than $10,000</w:t>
            </w:r>
          </w:p>
        </w:tc>
      </w:tr>
    </w:tbl>
    <w:p w14:paraId="10579D48" w14:textId="77777777" w:rsidR="00AC40A8" w:rsidRPr="005F6E8B" w:rsidRDefault="00AC40A8" w:rsidP="0008473C">
      <w:pPr>
        <w:rPr>
          <w:i/>
          <w:sz w:val="16"/>
          <w:szCs w:val="16"/>
        </w:rPr>
      </w:pPr>
      <w:r w:rsidRPr="005F6E8B">
        <w:rPr>
          <w:i/>
          <w:sz w:val="16"/>
          <w:szCs w:val="16"/>
        </w:rPr>
        <w:t xml:space="preserve">* </w:t>
      </w:r>
      <w:r>
        <w:rPr>
          <w:i/>
          <w:sz w:val="16"/>
          <w:szCs w:val="16"/>
        </w:rPr>
        <w:t xml:space="preserve">Indexed for inflation in </w:t>
      </w:r>
      <w:r w:rsidRPr="005F6E8B">
        <w:rPr>
          <w:i/>
          <w:sz w:val="16"/>
          <w:szCs w:val="16"/>
        </w:rPr>
        <w:t>$1,000 increments</w:t>
      </w:r>
    </w:p>
    <w:p w14:paraId="0C397C38" w14:textId="77777777" w:rsidR="00AC40A8" w:rsidRDefault="00AC40A8" w:rsidP="00293810">
      <w:r>
        <w:t>If modified AGI falls below the bottom of the phase</w:t>
      </w:r>
      <w:r w:rsidR="0008473C">
        <w:t>-</w:t>
      </w:r>
      <w:r>
        <w:t>out range, then the full Roth IRA contribution is authorized. If modified AGI exceeds the top of the phase</w:t>
      </w:r>
      <w:r w:rsidR="0008473C">
        <w:t>-</w:t>
      </w:r>
      <w:r>
        <w:t xml:space="preserve">out range, then no contribution to a Roth IRA is possible. </w:t>
      </w:r>
    </w:p>
    <w:p w14:paraId="145F3881" w14:textId="1E5E8E72" w:rsidR="00AC40A8" w:rsidRPr="00AD3B81" w:rsidRDefault="00AC40A8" w:rsidP="00EF2163">
      <w:r>
        <w:t xml:space="preserve">Now let us equip you </w:t>
      </w:r>
      <w:r w:rsidR="003C75AC">
        <w:t>to answer the client question “H</w:t>
      </w:r>
      <w:r>
        <w:t>ow much can I contribute if I make more than the minimum but less than the maximum?” Clients with modified</w:t>
      </w:r>
      <w:r w:rsidR="009720E9">
        <w:t xml:space="preserve"> AGI within the phase-</w:t>
      </w:r>
      <w:r>
        <w:t>out ranges are allowed only partial Roth IRA contributions. T</w:t>
      </w:r>
      <w:r w:rsidRPr="00AD3B81">
        <w:t>o the extent a client</w:t>
      </w:r>
      <w:r>
        <w:t>’s modified AGI</w:t>
      </w:r>
      <w:r w:rsidRPr="00AD3B81">
        <w:t xml:space="preserve"> encroaches into the phase</w:t>
      </w:r>
      <w:r w:rsidR="0008473C">
        <w:t>-</w:t>
      </w:r>
      <w:r w:rsidRPr="00AD3B81">
        <w:t xml:space="preserve">out range, a </w:t>
      </w:r>
      <w:r>
        <w:t>corresponding percentage of eligibility i</w:t>
      </w:r>
      <w:r w:rsidRPr="00AD3B81">
        <w:t>s lost.</w:t>
      </w:r>
      <w:r>
        <w:t xml:space="preserve"> </w:t>
      </w:r>
      <w:r w:rsidR="001329B8" w:rsidRPr="009720E9">
        <w:rPr>
          <w:b/>
          <w:color w:val="FF0000"/>
        </w:rPr>
        <w:t>Click</w:t>
      </w:r>
      <w:r w:rsidR="001329B8">
        <w:t xml:space="preserve"> </w:t>
      </w:r>
      <w:r w:rsidR="001329B8" w:rsidRPr="008E3F14">
        <w:rPr>
          <w:rStyle w:val="Hyperlink"/>
        </w:rPr>
        <w:t>here</w:t>
      </w:r>
      <w:r w:rsidR="001329B8">
        <w:t xml:space="preserve"> </w:t>
      </w:r>
      <w:r w:rsidR="001329B8" w:rsidRPr="009720E9">
        <w:rPr>
          <w:b/>
          <w:color w:val="FF0000"/>
        </w:rPr>
        <w:t xml:space="preserve">for an example.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C40A8" w14:paraId="50BA78AC" w14:textId="77777777" w:rsidTr="009720E9">
        <w:tc>
          <w:tcPr>
            <w:tcW w:w="8856" w:type="dxa"/>
            <w:shd w:val="clear" w:color="auto" w:fill="D9D9D9" w:themeFill="background1" w:themeFillShade="D9"/>
          </w:tcPr>
          <w:p w14:paraId="3838C338" w14:textId="74A60871" w:rsidR="009720E9" w:rsidRPr="009720E9" w:rsidRDefault="009720E9" w:rsidP="00EA1A2C">
            <w:pPr>
              <w:rPr>
                <w:b/>
              </w:rPr>
            </w:pPr>
            <w:r w:rsidRPr="009720E9">
              <w:rPr>
                <w:b/>
              </w:rPr>
              <w:t>Example</w:t>
            </w:r>
          </w:p>
          <w:p w14:paraId="4991E094" w14:textId="7D8D1C6C" w:rsidR="003C75AC" w:rsidRDefault="00AC40A8" w:rsidP="00EA1A2C">
            <w:r>
              <w:t>Charlene is age 40, files as a single taxpayer and has a modified AGI of $</w:t>
            </w:r>
            <w:r w:rsidR="00CE4F34">
              <w:t>120</w:t>
            </w:r>
            <w:r>
              <w:t xml:space="preserve">,750 in </w:t>
            </w:r>
            <w:r w:rsidR="002D2503">
              <w:t>2016</w:t>
            </w:r>
            <w:r w:rsidR="003C75AC">
              <w:t xml:space="preserve">. </w:t>
            </w:r>
          </w:p>
          <w:p w14:paraId="7C6176A9" w14:textId="0B7EE42B" w:rsidR="00AC40A8" w:rsidRDefault="003C75AC" w:rsidP="00EA1A2C">
            <w:r>
              <w:t xml:space="preserve">The </w:t>
            </w:r>
            <w:r w:rsidR="00B661BC">
              <w:t>phase-out</w:t>
            </w:r>
            <w:r w:rsidR="00AC40A8">
              <w:t xml:space="preserve"> for her filing status is $15,000 “wide</w:t>
            </w:r>
            <w:r w:rsidR="007D1F67">
              <w:t>,”</w:t>
            </w:r>
            <w:r w:rsidR="00AC40A8">
              <w:t xml:space="preserve"> spanning a range from $</w:t>
            </w:r>
            <w:r w:rsidR="004D13BB">
              <w:t>11</w:t>
            </w:r>
            <w:r w:rsidR="00CE4F34">
              <w:t>7</w:t>
            </w:r>
            <w:r w:rsidR="00AC40A8">
              <w:t xml:space="preserve">,000 through </w:t>
            </w:r>
            <w:r w:rsidR="004D13BB">
              <w:t>13</w:t>
            </w:r>
            <w:r w:rsidR="00CE4F34">
              <w:t>2</w:t>
            </w:r>
            <w:r w:rsidR="00AC40A8">
              <w:t>,000 (</w:t>
            </w:r>
            <w:r w:rsidR="002D2503">
              <w:t>2016</w:t>
            </w:r>
            <w:r w:rsidR="00AC40A8">
              <w:t xml:space="preserve">). Charlene’s modified AGI </w:t>
            </w:r>
            <w:r w:rsidR="009720E9">
              <w:t>exceeds the bottom of the phase-</w:t>
            </w:r>
            <w:r w:rsidR="00AC40A8">
              <w:t>out range by $3,750 ($</w:t>
            </w:r>
            <w:r w:rsidR="00CE4F34">
              <w:t>120</w:t>
            </w:r>
            <w:r w:rsidR="00AC40A8">
              <w:t>,750 – $</w:t>
            </w:r>
            <w:r w:rsidR="004D13BB">
              <w:t>11</w:t>
            </w:r>
            <w:r w:rsidR="00CE4F34">
              <w:t>7</w:t>
            </w:r>
            <w:r w:rsidR="00AC40A8">
              <w:t>,000). Hence, her modified AGI has encroached</w:t>
            </w:r>
            <w:r w:rsidR="00AC40A8" w:rsidRPr="00AD3B81">
              <w:t xml:space="preserve"> int</w:t>
            </w:r>
            <w:r w:rsidR="009720E9">
              <w:t>o the phase-</w:t>
            </w:r>
            <w:r w:rsidR="00AC40A8">
              <w:t xml:space="preserve">out range by $3,750. In percentage terms, the encroachment is $3,750/$15,000, or 25%. </w:t>
            </w:r>
          </w:p>
          <w:p w14:paraId="42123CFC" w14:textId="605E3C11" w:rsidR="00AC40A8" w:rsidRDefault="00AC40A8" w:rsidP="00CE4F34">
            <w:r>
              <w:t>Because her modified AG</w:t>
            </w:r>
            <w:r w:rsidR="009720E9">
              <w:t>I encroaches 25% into the phase-</w:t>
            </w:r>
            <w:r>
              <w:t xml:space="preserve">out range, she must reduce her contribution by 25%. </w:t>
            </w:r>
            <w:r w:rsidR="00CE4F34">
              <w:t>The maximum Roth IRA contribution for an indiv</w:t>
            </w:r>
            <w:r w:rsidR="006C6C6D">
              <w:t>idu</w:t>
            </w:r>
            <w:r w:rsidR="00CE4F34">
              <w:t xml:space="preserve">al younger than age 50 in 2016 is $5,500. </w:t>
            </w:r>
            <w:r>
              <w:t xml:space="preserve">In Charlene’s case, we must reduce her maximum contribution by 25%, which results in a </w:t>
            </w:r>
            <w:r w:rsidR="002D2503">
              <w:t>2016</w:t>
            </w:r>
            <w:r>
              <w:t xml:space="preserve"> maximum Roth IRA contribution </w:t>
            </w:r>
            <w:r w:rsidR="00E75133">
              <w:t>of $4,125 (75% of $5,500</w:t>
            </w:r>
            <w:r>
              <w:t>).</w:t>
            </w:r>
          </w:p>
        </w:tc>
      </w:tr>
    </w:tbl>
    <w:p w14:paraId="255D175A" w14:textId="77777777" w:rsidR="009720E9" w:rsidRDefault="009720E9"/>
    <w:p w14:paraId="26D19EAF" w14:textId="77777777" w:rsidR="009720E9" w:rsidRDefault="009720E9"/>
    <w:p w14:paraId="52C1784A" w14:textId="77777777" w:rsidR="009720E9" w:rsidRDefault="009720E9"/>
    <w:p w14:paraId="47F8C44D" w14:textId="77777777" w:rsidR="00FC3B85" w:rsidRPr="007746E2" w:rsidRDefault="00A630D9" w:rsidP="00FC3B85">
      <w:pPr>
        <w:rPr>
          <w:rFonts w:ascii="Arial" w:hAnsi="Arial"/>
        </w:rPr>
      </w:pPr>
      <w:r>
        <w:rPr>
          <w:noProof/>
          <w:lang w:eastAsia="zh-CN"/>
        </w:rPr>
        <w:lastRenderedPageBreak/>
        <w:drawing>
          <wp:inline distT="0" distB="0" distL="0" distR="0" wp14:anchorId="7D6B5324" wp14:editId="43DBB2EE">
            <wp:extent cx="283210" cy="196215"/>
            <wp:effectExtent l="0" t="0" r="0" b="6985"/>
            <wp:docPr id="13" name="Picture 13"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_tip_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10" cy="196215"/>
                    </a:xfrm>
                    <a:prstGeom prst="rect">
                      <a:avLst/>
                    </a:prstGeom>
                    <a:noFill/>
                    <a:ln>
                      <a:noFill/>
                    </a:ln>
                  </pic:spPr>
                </pic:pic>
              </a:graphicData>
            </a:graphic>
          </wp:inline>
        </w:drawing>
      </w:r>
      <w:r w:rsidR="00FC3B85">
        <w:t xml:space="preserve">  </w:t>
      </w:r>
      <w:r w:rsidR="00FC3B85" w:rsidRPr="007746E2">
        <w:rPr>
          <w:b/>
        </w:rPr>
        <w:t>Planning Tip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FC3B85" w:rsidRPr="00120E33" w14:paraId="76F6CCCB" w14:textId="77777777" w:rsidTr="008E3F14">
        <w:trPr>
          <w:trHeight w:val="5390"/>
        </w:trPr>
        <w:tc>
          <w:tcPr>
            <w:tcW w:w="9576" w:type="dxa"/>
            <w:shd w:val="clear" w:color="auto" w:fill="E7D9CF"/>
          </w:tcPr>
          <w:p w14:paraId="67E3BE39" w14:textId="5855EEBD" w:rsidR="001329B8" w:rsidRPr="00396697" w:rsidRDefault="001329B8">
            <w:r>
              <w:t>There are two potential solutions if your client makes too much money to contribute to a Roth IRA</w:t>
            </w:r>
            <w:r w:rsidR="009720E9">
              <w:t xml:space="preserve"> -</w:t>
            </w:r>
            <w:r>
              <w:t xml:space="preserve"> </w:t>
            </w:r>
            <w:r w:rsidRPr="008E3F14">
              <w:rPr>
                <w:rStyle w:val="Hyperlink"/>
              </w:rPr>
              <w:t>Designated Roth Accounts</w:t>
            </w:r>
            <w:r>
              <w:t xml:space="preserve"> and the </w:t>
            </w:r>
            <w:r w:rsidRPr="008E3F14">
              <w:rPr>
                <w:rStyle w:val="Hyperlink"/>
              </w:rPr>
              <w:t>Backdoor Roth IRA</w:t>
            </w:r>
            <w:r>
              <w:t xml:space="preserve">. </w:t>
            </w:r>
          </w:p>
          <w:tbl>
            <w:tblPr>
              <w:tblStyle w:val="TableGrid"/>
              <w:tblW w:w="0" w:type="auto"/>
              <w:tblLook w:val="04A0" w:firstRow="1" w:lastRow="0" w:firstColumn="1" w:lastColumn="0" w:noHBand="0" w:noVBand="1"/>
            </w:tblPr>
            <w:tblGrid>
              <w:gridCol w:w="9345"/>
            </w:tblGrid>
            <w:tr w:rsidR="001329B8" w14:paraId="7AA68518" w14:textId="77777777" w:rsidTr="009720E9">
              <w:tc>
                <w:tcPr>
                  <w:tcW w:w="9345" w:type="dxa"/>
                  <w:shd w:val="clear" w:color="auto" w:fill="D9D9D9" w:themeFill="background1" w:themeFillShade="D9"/>
                </w:tcPr>
                <w:p w14:paraId="068F23CD" w14:textId="3C5D1EC1" w:rsidR="001329B8" w:rsidRPr="00813D5C" w:rsidRDefault="001329B8" w:rsidP="009720E9">
                  <w:pPr>
                    <w:keepNext/>
                    <w:ind w:hanging="23"/>
                    <w:outlineLvl w:val="4"/>
                    <w:rPr>
                      <w:rStyle w:val="Hyperlink"/>
                      <w:u w:val="none"/>
                    </w:rPr>
                  </w:pPr>
                  <w:r w:rsidRPr="00813D5C">
                    <w:rPr>
                      <w:rStyle w:val="Hyperlink"/>
                      <w:u w:val="none"/>
                    </w:rPr>
                    <w:t>Designated Roth Accounts</w:t>
                  </w:r>
                </w:p>
                <w:p w14:paraId="55A01DDD" w14:textId="76F575B3" w:rsidR="001329B8" w:rsidRDefault="001329B8" w:rsidP="008E3F14">
                  <w:pPr>
                    <w:rPr>
                      <w:rStyle w:val="Strong"/>
                      <w:b w:val="0"/>
                    </w:rPr>
                  </w:pPr>
                  <w:r>
                    <w:rPr>
                      <w:rStyle w:val="Strong"/>
                      <w:b w:val="0"/>
                    </w:rPr>
                    <w:t>Deferrals into a D</w:t>
                  </w:r>
                  <w:r w:rsidRPr="00120E33">
                    <w:rPr>
                      <w:rStyle w:val="Strong"/>
                      <w:b w:val="0"/>
                    </w:rPr>
                    <w:t xml:space="preserve">esignated Roth account </w:t>
                  </w:r>
                  <w:r>
                    <w:rPr>
                      <w:rStyle w:val="Strong"/>
                      <w:b w:val="0"/>
                    </w:rPr>
                    <w:t xml:space="preserve">(DRA) </w:t>
                  </w:r>
                  <w:r w:rsidRPr="00120E33">
                    <w:rPr>
                      <w:rStyle w:val="Strong"/>
                      <w:b w:val="0"/>
                    </w:rPr>
                    <w:t xml:space="preserve">in a 401(k), 403(b), or 457(b) Plan are NOT subject to the </w:t>
                  </w:r>
                  <w:r>
                    <w:rPr>
                      <w:rStyle w:val="Strong"/>
                      <w:b w:val="0"/>
                    </w:rPr>
                    <w:t xml:space="preserve">adjusted gross income </w:t>
                  </w:r>
                  <w:r w:rsidRPr="00120E33">
                    <w:rPr>
                      <w:rStyle w:val="Strong"/>
                      <w:b w:val="0"/>
                    </w:rPr>
                    <w:t>phase-out rules. Just as every sword has two edges, this option slices to your client’s advantage and disadvantage as well. There is no required beginning date for distributions from a Roth IRA</w:t>
                  </w:r>
                  <w:r w:rsidR="009720E9">
                    <w:rPr>
                      <w:rStyle w:val="Strong"/>
                      <w:b w:val="0"/>
                    </w:rPr>
                    <w:t>;</w:t>
                  </w:r>
                  <w:r w:rsidRPr="00120E33">
                    <w:rPr>
                      <w:rStyle w:val="Strong"/>
                      <w:b w:val="0"/>
                    </w:rPr>
                    <w:t xml:space="preserve"> however</w:t>
                  </w:r>
                  <w:r w:rsidR="009720E9">
                    <w:rPr>
                      <w:rStyle w:val="Strong"/>
                      <w:b w:val="0"/>
                    </w:rPr>
                    <w:t>,</w:t>
                  </w:r>
                  <w:r w:rsidRPr="00120E33">
                    <w:rPr>
                      <w:rStyle w:val="Strong"/>
                      <w:b w:val="0"/>
                    </w:rPr>
                    <w:t xml:space="preserve"> there is a required beginning date </w:t>
                  </w:r>
                  <w:r w:rsidR="004F171C">
                    <w:rPr>
                      <w:rStyle w:val="Strong"/>
                      <w:b w:val="0"/>
                    </w:rPr>
                    <w:t>f</w:t>
                  </w:r>
                  <w:r w:rsidRPr="00120E33">
                    <w:rPr>
                      <w:rStyle w:val="Strong"/>
                      <w:b w:val="0"/>
                    </w:rPr>
                    <w:t xml:space="preserve">rom </w:t>
                  </w:r>
                  <w:r>
                    <w:rPr>
                      <w:rStyle w:val="Strong"/>
                      <w:b w:val="0"/>
                    </w:rPr>
                    <w:t xml:space="preserve">DRAs </w:t>
                  </w:r>
                  <w:r w:rsidR="004F171C">
                    <w:rPr>
                      <w:rStyle w:val="Strong"/>
                      <w:b w:val="0"/>
                    </w:rPr>
                    <w:t>in</w:t>
                  </w:r>
                  <w:r>
                    <w:rPr>
                      <w:rStyle w:val="Strong"/>
                      <w:b w:val="0"/>
                    </w:rPr>
                    <w:t xml:space="preserve"> </w:t>
                  </w:r>
                  <w:r w:rsidRPr="00120E33">
                    <w:rPr>
                      <w:rStyle w:val="Strong"/>
                      <w:b w:val="0"/>
                    </w:rPr>
                    <w:t>401(k), 403(b), and 457(b) Plans.</w:t>
                  </w:r>
                </w:p>
              </w:tc>
            </w:tr>
          </w:tbl>
          <w:p w14:paraId="6DF4F2B4" w14:textId="77777777" w:rsidR="001329B8" w:rsidRPr="00396697" w:rsidRDefault="001329B8" w:rsidP="001329B8"/>
          <w:tbl>
            <w:tblPr>
              <w:tblStyle w:val="TableGrid"/>
              <w:tblW w:w="0" w:type="auto"/>
              <w:tblLook w:val="04A0" w:firstRow="1" w:lastRow="0" w:firstColumn="1" w:lastColumn="0" w:noHBand="0" w:noVBand="1"/>
            </w:tblPr>
            <w:tblGrid>
              <w:gridCol w:w="9345"/>
            </w:tblGrid>
            <w:tr w:rsidR="001329B8" w14:paraId="5D1695FC" w14:textId="77777777" w:rsidTr="009720E9">
              <w:tc>
                <w:tcPr>
                  <w:tcW w:w="9345" w:type="dxa"/>
                  <w:shd w:val="clear" w:color="auto" w:fill="D9D9D9" w:themeFill="background1" w:themeFillShade="D9"/>
                </w:tcPr>
                <w:p w14:paraId="3EA908C6" w14:textId="77777777" w:rsidR="001329B8" w:rsidRPr="00813D5C" w:rsidRDefault="001329B8" w:rsidP="001329B8">
                  <w:pPr>
                    <w:rPr>
                      <w:rStyle w:val="Strong"/>
                      <w:b w:val="0"/>
                    </w:rPr>
                  </w:pPr>
                  <w:r w:rsidRPr="00813D5C">
                    <w:rPr>
                      <w:rStyle w:val="Hyperlink"/>
                      <w:u w:val="none"/>
                    </w:rPr>
                    <w:t>Backdoor Roth IRA</w:t>
                  </w:r>
                  <w:r w:rsidRPr="00813D5C">
                    <w:rPr>
                      <w:rStyle w:val="Strong"/>
                      <w:b w:val="0"/>
                    </w:rPr>
                    <w:t xml:space="preserve"> </w:t>
                  </w:r>
                </w:p>
                <w:p w14:paraId="1ED7EFC8" w14:textId="4938C15B" w:rsidR="001329B8" w:rsidRPr="008E3F14" w:rsidRDefault="00616A72" w:rsidP="009720E9">
                  <w:pPr>
                    <w:keepNext/>
                    <w:ind w:hanging="23"/>
                    <w:outlineLvl w:val="4"/>
                    <w:rPr>
                      <w:rStyle w:val="Strong"/>
                      <w:rFonts w:ascii="Helvetica" w:hAnsi="Helvetica" w:cs="Helvetica"/>
                      <w:b w:val="0"/>
                      <w:bCs w:val="0"/>
                      <w:color w:val="1C1C1C"/>
                      <w:sz w:val="28"/>
                      <w:szCs w:val="28"/>
                    </w:rPr>
                  </w:pPr>
                  <w:r>
                    <w:t xml:space="preserve">Here is how to take advantage of the rules that allow conversion of a </w:t>
                  </w:r>
                  <w:r w:rsidR="009720E9">
                    <w:t>T</w:t>
                  </w:r>
                  <w:r>
                    <w:t xml:space="preserve">raditional IRA to a Roth IRA. Your client simply makes a regular contribution to a Traditional IRA. Next, </w:t>
                  </w:r>
                  <w:r w:rsidR="004F171C">
                    <w:t xml:space="preserve">he or she </w:t>
                  </w:r>
                  <w:r>
                    <w:t>immediately convert</w:t>
                  </w:r>
                  <w:r w:rsidR="004F171C">
                    <w:t>s</w:t>
                  </w:r>
                  <w:r>
                    <w:t xml:space="preserve"> the Traditional IRA to a Roth IRA. Voila! Your client now has a Roth IRA. This strategy is not for all clients. Unwanted income taxes will result if your client has other Traditional, SEP, or SIMPLE</w:t>
                  </w:r>
                  <w:r w:rsidR="004F171C">
                    <w:t xml:space="preserve"> IRAs.</w:t>
                  </w:r>
                  <w:r>
                    <w:t xml:space="preserve"> Be sure to involve </w:t>
                  </w:r>
                  <w:r w:rsidR="004F171C">
                    <w:t>your</w:t>
                  </w:r>
                  <w:r>
                    <w:t xml:space="preserve"> client’s CPA, CFP</w:t>
                  </w:r>
                  <w:r w:rsidRPr="008E3F14">
                    <w:rPr>
                      <w:vertAlign w:val="superscript"/>
                    </w:rPr>
                    <w:t>®</w:t>
                  </w:r>
                  <w:r w:rsidR="009127EE">
                    <w:rPr>
                      <w:vertAlign w:val="superscript"/>
                    </w:rPr>
                    <w:t xml:space="preserve"> </w:t>
                  </w:r>
                  <w:r w:rsidR="009127EE">
                    <w:t>professional,</w:t>
                  </w:r>
                  <w:r>
                    <w:t xml:space="preserve"> tax attorney, or other tax professional before this strategy is recommended.</w:t>
                  </w:r>
                </w:p>
              </w:tc>
            </w:tr>
          </w:tbl>
          <w:p w14:paraId="2D8F8BE6" w14:textId="4439CA0B" w:rsidR="00FC3B85" w:rsidRPr="00120E33" w:rsidRDefault="00FC3B85" w:rsidP="008E3F14">
            <w:pPr>
              <w:rPr>
                <w:rStyle w:val="Strong"/>
                <w:b w:val="0"/>
              </w:rPr>
            </w:pPr>
          </w:p>
        </w:tc>
      </w:tr>
    </w:tbl>
    <w:p w14:paraId="751B8A91" w14:textId="77777777" w:rsidR="00AC40A8" w:rsidRPr="006F172A" w:rsidRDefault="00AC40A8" w:rsidP="004344CA">
      <w:pPr>
        <w:pStyle w:val="Heading2"/>
        <w:rPr>
          <w:rFonts w:eastAsia="Arial Unicode MS"/>
        </w:rPr>
      </w:pPr>
      <w:r w:rsidRPr="00096AB1">
        <w:rPr>
          <w:rFonts w:ascii="Times New Roman" w:hAnsi="Times New Roman" w:cs="Times New Roman"/>
          <w:sz w:val="24"/>
          <w:szCs w:val="24"/>
        </w:rPr>
        <w:br w:type="page"/>
      </w:r>
      <w:r w:rsidRPr="007628D5">
        <w:rPr>
          <w:rFonts w:eastAsia="Arial Unicode MS"/>
        </w:rPr>
        <w:lastRenderedPageBreak/>
        <w:t>Review Exercise</w:t>
      </w:r>
    </w:p>
    <w:p w14:paraId="3C9FE293" w14:textId="3DF21CFF" w:rsidR="00AC40A8" w:rsidRPr="00BC5B93" w:rsidRDefault="00AC40A8" w:rsidP="00822DE7">
      <w:pPr>
        <w:numPr>
          <w:ilvl w:val="0"/>
          <w:numId w:val="26"/>
        </w:numPr>
        <w:ind w:left="360"/>
        <w:rPr>
          <w:b/>
        </w:rPr>
      </w:pPr>
      <w:r w:rsidRPr="00BC5B93">
        <w:rPr>
          <w:b/>
        </w:rPr>
        <w:t xml:space="preserve">A single, 30-year-old, unemployed individual has $60,000 of investment income in </w:t>
      </w:r>
      <w:r w:rsidR="002D2503">
        <w:rPr>
          <w:b/>
        </w:rPr>
        <w:t>2016</w:t>
      </w:r>
      <w:r w:rsidRPr="00BC5B93">
        <w:rPr>
          <w:b/>
        </w:rPr>
        <w:t xml:space="preserve">. The most this person can contribute to a Roth IRA account in </w:t>
      </w:r>
      <w:r w:rsidR="002D2503">
        <w:rPr>
          <w:b/>
        </w:rPr>
        <w:t>2016</w:t>
      </w:r>
      <w:r w:rsidRPr="00BC5B93">
        <w:rPr>
          <w:b/>
        </w:rPr>
        <w:t xml:space="preserve"> is:</w:t>
      </w:r>
    </w:p>
    <w:p w14:paraId="5CC3EBA8" w14:textId="77777777" w:rsidR="00AC40A8" w:rsidRPr="00BC5B93" w:rsidRDefault="00AC40A8" w:rsidP="00822DE7">
      <w:pPr>
        <w:numPr>
          <w:ilvl w:val="0"/>
          <w:numId w:val="24"/>
        </w:numPr>
        <w:rPr>
          <w:b/>
        </w:rPr>
      </w:pPr>
      <w:r w:rsidRPr="00BC5B93">
        <w:rPr>
          <w:b/>
        </w:rPr>
        <w:t>$0</w:t>
      </w:r>
    </w:p>
    <w:p w14:paraId="63346618" w14:textId="77777777" w:rsidR="00AC40A8" w:rsidRPr="00B609CB" w:rsidRDefault="00AC40A8" w:rsidP="005120E1">
      <w:pPr>
        <w:pStyle w:val="ReviewAnswer"/>
      </w:pPr>
      <w:r w:rsidRPr="00235FDA">
        <w:rPr>
          <w:rStyle w:val="Strong"/>
        </w:rPr>
        <w:t>Correct</w:t>
      </w:r>
      <w:r w:rsidRPr="00B609CB">
        <w:t>. Remember that a requirement to make a contribution to an IRA is that the owner must have taxable compensation. Since this individual is unemployed and has no taxable compensation, no contribution can be made.</w:t>
      </w:r>
    </w:p>
    <w:p w14:paraId="6C3D8D4B" w14:textId="280A151C" w:rsidR="00AC40A8" w:rsidRPr="00B609CB" w:rsidRDefault="00AC40A8" w:rsidP="00822DE7">
      <w:pPr>
        <w:numPr>
          <w:ilvl w:val="0"/>
          <w:numId w:val="24"/>
        </w:numPr>
      </w:pPr>
      <w:r w:rsidRPr="00B609CB">
        <w:t>A partial contribution under $5,</w:t>
      </w:r>
      <w:r>
        <w:t>5</w:t>
      </w:r>
      <w:r w:rsidRPr="00B609CB">
        <w:t>00</w:t>
      </w:r>
    </w:p>
    <w:p w14:paraId="106269A4" w14:textId="77777777" w:rsidR="00AC40A8" w:rsidRPr="00B609CB" w:rsidRDefault="00AC40A8" w:rsidP="005120E1">
      <w:pPr>
        <w:pStyle w:val="ReviewAnswer"/>
      </w:pPr>
      <w:r w:rsidRPr="00235FDA">
        <w:rPr>
          <w:rStyle w:val="Strong"/>
        </w:rPr>
        <w:t>Incorrect</w:t>
      </w:r>
      <w:r w:rsidRPr="00B609CB">
        <w:t>. Try again.</w:t>
      </w:r>
    </w:p>
    <w:p w14:paraId="2A7B6191" w14:textId="3BE85D33" w:rsidR="00AC40A8" w:rsidRPr="00B609CB" w:rsidRDefault="00AC40A8" w:rsidP="00822DE7">
      <w:pPr>
        <w:numPr>
          <w:ilvl w:val="0"/>
          <w:numId w:val="24"/>
        </w:numPr>
      </w:pPr>
      <w:r w:rsidRPr="00B609CB">
        <w:t>$5,</w:t>
      </w:r>
      <w:r>
        <w:t>5</w:t>
      </w:r>
      <w:r w:rsidRPr="00B609CB">
        <w:t>00</w:t>
      </w:r>
    </w:p>
    <w:p w14:paraId="5A5AB8DD" w14:textId="77777777" w:rsidR="00AC40A8" w:rsidRPr="00B609CB" w:rsidRDefault="00AC40A8" w:rsidP="005120E1">
      <w:pPr>
        <w:pStyle w:val="ReviewAnswer"/>
      </w:pPr>
      <w:r w:rsidRPr="00235FDA">
        <w:rPr>
          <w:rStyle w:val="Strong"/>
        </w:rPr>
        <w:t>Incorrect</w:t>
      </w:r>
      <w:r w:rsidRPr="00B609CB">
        <w:t>. Try again.</w:t>
      </w:r>
    </w:p>
    <w:p w14:paraId="6572D12C" w14:textId="77777777" w:rsidR="00AC40A8" w:rsidRDefault="00AC40A8" w:rsidP="001F3D42">
      <w:pPr>
        <w:rPr>
          <w:b/>
          <w:bCs/>
        </w:rPr>
      </w:pPr>
    </w:p>
    <w:p w14:paraId="00CF6B7E" w14:textId="24E330DA" w:rsidR="00AC40A8" w:rsidRPr="00BC5B93" w:rsidRDefault="00AC40A8" w:rsidP="00822DE7">
      <w:pPr>
        <w:numPr>
          <w:ilvl w:val="0"/>
          <w:numId w:val="26"/>
        </w:numPr>
        <w:ind w:left="360"/>
        <w:rPr>
          <w:b/>
          <w:bCs/>
        </w:rPr>
      </w:pPr>
      <w:r w:rsidRPr="00BC5B93">
        <w:rPr>
          <w:b/>
          <w:bCs/>
        </w:rPr>
        <w:t xml:space="preserve">A married couple, both in their 30’s, file a joint return in </w:t>
      </w:r>
      <w:r w:rsidR="002D2503">
        <w:rPr>
          <w:b/>
          <w:bCs/>
        </w:rPr>
        <w:t>2016</w:t>
      </w:r>
      <w:r w:rsidRPr="00BC5B93">
        <w:rPr>
          <w:b/>
          <w:bCs/>
        </w:rPr>
        <w:t xml:space="preserve"> and have a modified AGI </w:t>
      </w:r>
      <w:r w:rsidR="00EA0848">
        <w:rPr>
          <w:b/>
          <w:bCs/>
        </w:rPr>
        <w:t xml:space="preserve">(MAGI) </w:t>
      </w:r>
      <w:r w:rsidRPr="00BC5B93">
        <w:rPr>
          <w:b/>
          <w:bCs/>
        </w:rPr>
        <w:t>of $</w:t>
      </w:r>
      <w:r w:rsidR="00F53DBA">
        <w:rPr>
          <w:b/>
          <w:bCs/>
        </w:rPr>
        <w:t>225</w:t>
      </w:r>
      <w:r w:rsidRPr="00BC5B93">
        <w:rPr>
          <w:b/>
          <w:bCs/>
        </w:rPr>
        <w:t xml:space="preserve">,000. </w:t>
      </w:r>
      <w:r w:rsidR="00EA0848">
        <w:rPr>
          <w:b/>
          <w:bCs/>
        </w:rPr>
        <w:t>Husband</w:t>
      </w:r>
      <w:r w:rsidR="0021239F">
        <w:rPr>
          <w:b/>
          <w:bCs/>
        </w:rPr>
        <w:t>’</w:t>
      </w:r>
      <w:r w:rsidR="00EA0848">
        <w:rPr>
          <w:b/>
          <w:bCs/>
        </w:rPr>
        <w:t xml:space="preserve">s MAGI is $200,000 while wife’s MAGI is $5,000. </w:t>
      </w:r>
      <w:r w:rsidRPr="00BC5B93">
        <w:rPr>
          <w:b/>
          <w:bCs/>
        </w:rPr>
        <w:t>The husband participates in an employer-sponsored plan; the wife does not. Each has a Roth IRA. Can either of them make a contribution</w:t>
      </w:r>
      <w:r>
        <w:rPr>
          <w:b/>
          <w:bCs/>
        </w:rPr>
        <w:t xml:space="preserve"> for </w:t>
      </w:r>
      <w:r w:rsidR="002D2503">
        <w:rPr>
          <w:b/>
          <w:bCs/>
        </w:rPr>
        <w:t>2016</w:t>
      </w:r>
      <w:r w:rsidRPr="00BC5B93">
        <w:rPr>
          <w:b/>
          <w:bCs/>
        </w:rPr>
        <w:t xml:space="preserve"> to their Roth IRA?</w:t>
      </w:r>
    </w:p>
    <w:p w14:paraId="305B6078" w14:textId="77777777" w:rsidR="00AC40A8" w:rsidRPr="00EB3384" w:rsidRDefault="00AC40A8" w:rsidP="00822DE7">
      <w:pPr>
        <w:numPr>
          <w:ilvl w:val="0"/>
          <w:numId w:val="13"/>
        </w:numPr>
      </w:pPr>
      <w:r w:rsidRPr="00EB3384">
        <w:t>Both can make a contribution.</w:t>
      </w:r>
    </w:p>
    <w:p w14:paraId="3C90AF11" w14:textId="77777777" w:rsidR="00AC40A8" w:rsidRPr="00EB3384" w:rsidRDefault="00AC40A8" w:rsidP="00AD313D">
      <w:pPr>
        <w:pStyle w:val="ReviewAnswer"/>
      </w:pPr>
      <w:r w:rsidRPr="00EB3384">
        <w:rPr>
          <w:rStyle w:val="Strong"/>
        </w:rPr>
        <w:t>Incorrect</w:t>
      </w:r>
      <w:r w:rsidRPr="00EB3384">
        <w:t>. Try again.</w:t>
      </w:r>
    </w:p>
    <w:p w14:paraId="1598EB7E" w14:textId="77777777" w:rsidR="00AC40A8" w:rsidRPr="00EB3384" w:rsidRDefault="00AC40A8" w:rsidP="00822DE7">
      <w:pPr>
        <w:numPr>
          <w:ilvl w:val="0"/>
          <w:numId w:val="13"/>
        </w:numPr>
      </w:pPr>
      <w:r w:rsidRPr="00EB3384">
        <w:t>The husband can make a contribution, but the wife cannot.</w:t>
      </w:r>
    </w:p>
    <w:p w14:paraId="268F0782" w14:textId="77777777" w:rsidR="00AC40A8" w:rsidRPr="00EB3384" w:rsidRDefault="00AC40A8" w:rsidP="00AD313D">
      <w:pPr>
        <w:pStyle w:val="ReviewAnswer"/>
      </w:pPr>
      <w:r w:rsidRPr="00EB3384">
        <w:rPr>
          <w:rStyle w:val="Strong"/>
        </w:rPr>
        <w:t>Incorrect</w:t>
      </w:r>
      <w:r w:rsidRPr="00EB3384">
        <w:t>. Try again.</w:t>
      </w:r>
    </w:p>
    <w:p w14:paraId="581FCBAF" w14:textId="77777777" w:rsidR="00AC40A8" w:rsidRPr="00EB3384" w:rsidRDefault="00AC40A8" w:rsidP="00822DE7">
      <w:pPr>
        <w:numPr>
          <w:ilvl w:val="0"/>
          <w:numId w:val="13"/>
        </w:numPr>
      </w:pPr>
      <w:r w:rsidRPr="00EB3384">
        <w:t>The wife can make a contribution, but the husband cannot.</w:t>
      </w:r>
    </w:p>
    <w:p w14:paraId="56D5E106" w14:textId="77777777" w:rsidR="00AC40A8" w:rsidRPr="00EB3384" w:rsidRDefault="00AC40A8" w:rsidP="00AD313D">
      <w:pPr>
        <w:pStyle w:val="ReviewAnswer"/>
      </w:pPr>
      <w:r w:rsidRPr="00EB3384">
        <w:rPr>
          <w:rStyle w:val="Strong"/>
        </w:rPr>
        <w:t>Incorrect</w:t>
      </w:r>
      <w:r w:rsidRPr="00EB3384">
        <w:t>. Try again.</w:t>
      </w:r>
    </w:p>
    <w:p w14:paraId="662684F6" w14:textId="77777777" w:rsidR="00AC40A8" w:rsidRPr="00BC5B93" w:rsidRDefault="00AC40A8" w:rsidP="00822DE7">
      <w:pPr>
        <w:numPr>
          <w:ilvl w:val="0"/>
          <w:numId w:val="13"/>
        </w:numPr>
        <w:rPr>
          <w:b/>
        </w:rPr>
      </w:pPr>
      <w:r w:rsidRPr="00BC5B93">
        <w:rPr>
          <w:b/>
        </w:rPr>
        <w:t>Neither can make a contribution.</w:t>
      </w:r>
    </w:p>
    <w:p w14:paraId="6EC7ACC7" w14:textId="77777777" w:rsidR="00AC40A8" w:rsidRPr="00EB3384" w:rsidRDefault="00AC40A8" w:rsidP="00AD313D">
      <w:pPr>
        <w:pStyle w:val="ReviewAnswer"/>
      </w:pPr>
      <w:r w:rsidRPr="00BC5B93">
        <w:rPr>
          <w:b/>
        </w:rPr>
        <w:t>Correct</w:t>
      </w:r>
      <w:r w:rsidRPr="00EB3384">
        <w:t xml:space="preserve">. First of all, ignore their participation in an employer-sponsored plan. That only has relevance if we are looking at the deductibility of contributions to a Traditional IRA, not eligibility for making contributions to a Roth IRA. </w:t>
      </w:r>
    </w:p>
    <w:p w14:paraId="7D3C3F35" w14:textId="1C820A93" w:rsidR="00AC40A8" w:rsidRPr="00EB3384" w:rsidRDefault="00AC40A8" w:rsidP="00AD313D">
      <w:pPr>
        <w:pStyle w:val="ReviewAnswer"/>
      </w:pPr>
      <w:r w:rsidRPr="00EB3384">
        <w:t xml:space="preserve">Second, since their modified AGI is over </w:t>
      </w:r>
      <w:r w:rsidR="00F53DBA">
        <w:t xml:space="preserve">the </w:t>
      </w:r>
      <w:r w:rsidR="00516360">
        <w:t>phase-out</w:t>
      </w:r>
      <w:r w:rsidR="00F53DBA">
        <w:t xml:space="preserve"> maximum</w:t>
      </w:r>
      <w:r w:rsidRPr="00EB3384">
        <w:t xml:space="preserve">, neither can make a </w:t>
      </w:r>
      <w:r>
        <w:t xml:space="preserve">Roth IRA </w:t>
      </w:r>
      <w:r w:rsidRPr="00EB3384">
        <w:t>contribution.</w:t>
      </w:r>
    </w:p>
    <w:p w14:paraId="0B51CA45" w14:textId="77777777" w:rsidR="00AC40A8" w:rsidRPr="00BC5B93" w:rsidRDefault="00AC40A8" w:rsidP="00822DE7">
      <w:pPr>
        <w:numPr>
          <w:ilvl w:val="0"/>
          <w:numId w:val="26"/>
        </w:numPr>
        <w:ind w:left="360"/>
        <w:rPr>
          <w:b/>
          <w:bCs/>
        </w:rPr>
      </w:pPr>
      <w:r w:rsidRPr="00BC5B93">
        <w:rPr>
          <w:b/>
        </w:rPr>
        <w:t xml:space="preserve">Using the </w:t>
      </w:r>
      <w:r>
        <w:rPr>
          <w:b/>
        </w:rPr>
        <w:t>figures of the preceding question</w:t>
      </w:r>
      <w:r w:rsidRPr="00BC5B93">
        <w:rPr>
          <w:b/>
        </w:rPr>
        <w:t>, can they make contributions to a Roth IRA if they file separate tax returns?</w:t>
      </w:r>
    </w:p>
    <w:p w14:paraId="5BC96FD6" w14:textId="77777777" w:rsidR="00AC40A8" w:rsidRPr="00BE6686" w:rsidRDefault="00AC40A8" w:rsidP="00822DE7">
      <w:pPr>
        <w:numPr>
          <w:ilvl w:val="0"/>
          <w:numId w:val="13"/>
        </w:numPr>
      </w:pPr>
      <w:r w:rsidRPr="00BE6686">
        <w:t>Both can make a contribution.</w:t>
      </w:r>
    </w:p>
    <w:p w14:paraId="59D45C7A" w14:textId="77777777" w:rsidR="00AC40A8" w:rsidRPr="00BE6686" w:rsidRDefault="00AC40A8" w:rsidP="008914CE">
      <w:pPr>
        <w:pStyle w:val="ReviewAnswer"/>
      </w:pPr>
      <w:r w:rsidRPr="00BE6686">
        <w:rPr>
          <w:rStyle w:val="Strong"/>
        </w:rPr>
        <w:t>Incorrect</w:t>
      </w:r>
      <w:r w:rsidRPr="00BE6686">
        <w:t>. Try again.</w:t>
      </w:r>
    </w:p>
    <w:p w14:paraId="42EC9833" w14:textId="77777777" w:rsidR="00AC40A8" w:rsidRPr="00BE6686" w:rsidRDefault="00AC40A8" w:rsidP="00822DE7">
      <w:pPr>
        <w:numPr>
          <w:ilvl w:val="0"/>
          <w:numId w:val="13"/>
        </w:numPr>
      </w:pPr>
      <w:r w:rsidRPr="00BE6686">
        <w:t>The husband can make a contribution, but the wife cannot.</w:t>
      </w:r>
    </w:p>
    <w:p w14:paraId="0997BB3E" w14:textId="77777777" w:rsidR="00AC40A8" w:rsidRPr="00BE6686" w:rsidRDefault="00AC40A8" w:rsidP="008914CE">
      <w:pPr>
        <w:pStyle w:val="ReviewAnswer"/>
      </w:pPr>
      <w:r w:rsidRPr="00BE6686">
        <w:rPr>
          <w:rStyle w:val="Strong"/>
        </w:rPr>
        <w:t>Incorrect</w:t>
      </w:r>
      <w:r>
        <w:t>. Try again.</w:t>
      </w:r>
    </w:p>
    <w:p w14:paraId="1CF6DD6B" w14:textId="77777777" w:rsidR="00AC40A8" w:rsidRPr="00BC5B93" w:rsidRDefault="00AC40A8" w:rsidP="00822DE7">
      <w:pPr>
        <w:numPr>
          <w:ilvl w:val="0"/>
          <w:numId w:val="13"/>
        </w:numPr>
        <w:rPr>
          <w:b/>
        </w:rPr>
      </w:pPr>
      <w:r w:rsidRPr="00BC5B93">
        <w:rPr>
          <w:b/>
        </w:rPr>
        <w:t>The wife can make a contribution, but the husband cannot.</w:t>
      </w:r>
    </w:p>
    <w:p w14:paraId="45990592" w14:textId="77777777" w:rsidR="00AC40A8" w:rsidRPr="00BE6686" w:rsidRDefault="00AC40A8" w:rsidP="008914CE">
      <w:pPr>
        <w:pStyle w:val="ReviewAnswer"/>
      </w:pPr>
      <w:r w:rsidRPr="00BE6686">
        <w:rPr>
          <w:rStyle w:val="Strong"/>
        </w:rPr>
        <w:t>Correct</w:t>
      </w:r>
      <w:r w:rsidRPr="00BE6686">
        <w:t>. The husband cannot make a contribution since his modified AGI is over $10,000; but the wife can make a partial contribution since her modified AGI is less than $10,000.</w:t>
      </w:r>
    </w:p>
    <w:p w14:paraId="1A77989E" w14:textId="77777777" w:rsidR="00AC40A8" w:rsidRPr="00BE6686" w:rsidRDefault="00AC40A8" w:rsidP="00822DE7">
      <w:pPr>
        <w:numPr>
          <w:ilvl w:val="0"/>
          <w:numId w:val="13"/>
        </w:numPr>
      </w:pPr>
      <w:r w:rsidRPr="00BE6686">
        <w:lastRenderedPageBreak/>
        <w:t>Neither can make a contribution.</w:t>
      </w:r>
    </w:p>
    <w:p w14:paraId="7926B26C" w14:textId="77777777" w:rsidR="00AC40A8" w:rsidRDefault="00AC40A8" w:rsidP="008914CE">
      <w:pPr>
        <w:pStyle w:val="ReviewAnswer"/>
      </w:pPr>
      <w:r w:rsidRPr="00BE6686">
        <w:rPr>
          <w:rStyle w:val="Strong"/>
        </w:rPr>
        <w:t>Incorrect</w:t>
      </w:r>
      <w:r w:rsidRPr="00BE6686">
        <w:t>. Try again.</w:t>
      </w:r>
    </w:p>
    <w:p w14:paraId="5C97CEF2" w14:textId="77777777" w:rsidR="00AC40A8" w:rsidRPr="00BE6686" w:rsidRDefault="00AC40A8" w:rsidP="008914CE">
      <w:pPr>
        <w:spacing w:before="0" w:after="0"/>
      </w:pPr>
    </w:p>
    <w:p w14:paraId="46EB018A" w14:textId="77777777" w:rsidR="00584E04" w:rsidRPr="004344CA" w:rsidRDefault="00CF4009" w:rsidP="00B4733C">
      <w:pPr>
        <w:pStyle w:val="Heading2"/>
      </w:pPr>
      <w:r w:rsidRPr="004344CA">
        <w:br w:type="page"/>
      </w:r>
      <w:r w:rsidR="00584E04" w:rsidRPr="004344CA">
        <w:lastRenderedPageBreak/>
        <w:t>Rollover</w:t>
      </w:r>
      <w:r w:rsidR="00A96798" w:rsidRPr="004344CA">
        <w:t xml:space="preserve">s and </w:t>
      </w:r>
      <w:r w:rsidR="000972A5" w:rsidRPr="004344CA">
        <w:t>Direct</w:t>
      </w:r>
      <w:r w:rsidR="00A96798" w:rsidRPr="004344CA">
        <w:t xml:space="preserve"> Transfers</w:t>
      </w:r>
    </w:p>
    <w:p w14:paraId="40A6ECFD" w14:textId="77777777" w:rsidR="000972A5" w:rsidRDefault="000972A5" w:rsidP="004344CA">
      <w:pPr>
        <w:pStyle w:val="Heading3"/>
      </w:pPr>
      <w:r w:rsidRPr="00974BD7">
        <w:t>Rollovers</w:t>
      </w:r>
    </w:p>
    <w:p w14:paraId="6C4EC3EA" w14:textId="3AD5CF59" w:rsidR="002B5C73" w:rsidRPr="00BD77D3" w:rsidRDefault="000972A5" w:rsidP="002B5C73">
      <w:pPr>
        <w:autoSpaceDE w:val="0"/>
        <w:autoSpaceDN w:val="0"/>
        <w:adjustRightInd w:val="0"/>
      </w:pPr>
      <w:r>
        <w:t>Th</w:t>
      </w:r>
      <w:r w:rsidRPr="003B2AC8">
        <w:t xml:space="preserve">e term “IRA Rollover” </w:t>
      </w:r>
      <w:r w:rsidR="003511A3">
        <w:t>describes</w:t>
      </w:r>
      <w:r w:rsidRPr="003B2AC8">
        <w:t xml:space="preserve"> the process by which an individual receives a distribution from his or her IRA and then rolls over or re-deposits the total amount of the distribution into a different IRA </w:t>
      </w:r>
      <w:r w:rsidR="002B5C73">
        <w:t xml:space="preserve">(or qualified plan) </w:t>
      </w:r>
      <w:r w:rsidRPr="003B2AC8">
        <w:t xml:space="preserve">within 60 days. </w:t>
      </w:r>
      <w:r w:rsidR="00FE01AA">
        <w:t xml:space="preserve">A rollover occurs whenever </w:t>
      </w:r>
      <w:r w:rsidR="006C3E8E" w:rsidRPr="003B2AC8">
        <w:t>the individual has complete control over the funds for a period of time</w:t>
      </w:r>
      <w:r w:rsidR="00FE01AA">
        <w:t>.</w:t>
      </w:r>
      <w:r w:rsidR="006C3E8E">
        <w:t xml:space="preserve"> </w:t>
      </w:r>
      <w:r w:rsidR="00BC20DF">
        <w:t xml:space="preserve">A rollover completed within 60 days is considered a timely rollover. </w:t>
      </w:r>
      <w:r w:rsidR="007F193E">
        <w:t>Timely rollovers do not result in penalty or income tax.</w:t>
      </w:r>
      <w:r w:rsidR="000759F9">
        <w:t xml:space="preserve"> </w:t>
      </w:r>
      <w:r w:rsidR="002B5C73">
        <w:t xml:space="preserve">Effective for </w:t>
      </w:r>
      <w:r w:rsidR="002D2503">
        <w:t>2016</w:t>
      </w:r>
      <w:r w:rsidR="002B5C73">
        <w:t xml:space="preserve">, only one IRA rollover per taxpayer per year is permitted with certain </w:t>
      </w:r>
      <w:r w:rsidR="002B5C73" w:rsidRPr="00235B35">
        <w:rPr>
          <w:rStyle w:val="Hyperlink"/>
        </w:rPr>
        <w:t>exceptions</w:t>
      </w:r>
      <w:r w:rsidR="002B5C7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2B5C73" w:rsidRPr="00BD77D3" w14:paraId="6972BBFE" w14:textId="77777777" w:rsidTr="00FB76EE">
        <w:tc>
          <w:tcPr>
            <w:tcW w:w="9576" w:type="dxa"/>
            <w:shd w:val="clear" w:color="auto" w:fill="D9D9D9"/>
          </w:tcPr>
          <w:p w14:paraId="24BEE24B" w14:textId="77777777" w:rsidR="002B5C73" w:rsidRPr="00BD77D3" w:rsidRDefault="002B5C73" w:rsidP="00FB76EE">
            <w:pPr>
              <w:rPr>
                <w:b/>
                <w:color w:val="4F81BD"/>
              </w:rPr>
            </w:pPr>
            <w:r>
              <w:rPr>
                <w:b/>
                <w:color w:val="4F81BD"/>
              </w:rPr>
              <w:t>Exceptions to One Rollover Per Year Rule</w:t>
            </w:r>
          </w:p>
          <w:p w14:paraId="49FC270B" w14:textId="37804CFE" w:rsidR="002B5C73" w:rsidRPr="00BD77D3" w:rsidRDefault="002B5C73" w:rsidP="003C634E">
            <w:r>
              <w:t xml:space="preserve">An unlimited number of trustee-to-trustee IRA transfers and </w:t>
            </w:r>
            <w:r w:rsidR="00023F90">
              <w:t>T</w:t>
            </w:r>
            <w:r>
              <w:t>raditional IRA to Roth IRA conversions is permitted. Trustee-to-trustee transfers are not technically rollovers.  Traditional IRA conversion to a Roth IRA results in taxable income in the conversion year and hence, additional tax dollars paid to the IRS.</w:t>
            </w:r>
          </w:p>
        </w:tc>
      </w:tr>
    </w:tbl>
    <w:p w14:paraId="1A1F6BAE" w14:textId="501686F0" w:rsidR="006C3E8E" w:rsidRDefault="004F5299" w:rsidP="00116CC5">
      <w:pPr>
        <w:autoSpaceDE w:val="0"/>
        <w:autoSpaceDN w:val="0"/>
        <w:adjustRightInd w:val="0"/>
      </w:pPr>
      <w:r>
        <w:t xml:space="preserve">Rollovers are not limited to only IRA-to-IRA rollovers. </w:t>
      </w:r>
      <w:r w:rsidR="004B23A0">
        <w:t xml:space="preserve">Certain </w:t>
      </w:r>
      <w:r w:rsidR="005F4462">
        <w:t>qualified plan account</w:t>
      </w:r>
      <w:r w:rsidR="004B23A0">
        <w:t>s</w:t>
      </w:r>
      <w:r w:rsidR="005F4462">
        <w:t xml:space="preserve"> </w:t>
      </w:r>
      <w:proofErr w:type="gramStart"/>
      <w:r w:rsidR="005F4462">
        <w:t xml:space="preserve">can </w:t>
      </w:r>
      <w:r w:rsidR="00EC354D">
        <w:t xml:space="preserve"> roll</w:t>
      </w:r>
      <w:proofErr w:type="gramEnd"/>
      <w:r w:rsidR="00963031">
        <w:t xml:space="preserve"> over into an IRA and </w:t>
      </w:r>
      <w:r w:rsidR="004B23A0">
        <w:t xml:space="preserve">certain </w:t>
      </w:r>
      <w:r w:rsidR="00963031">
        <w:t>IRA</w:t>
      </w:r>
      <w:r w:rsidR="004B23A0">
        <w:t>s</w:t>
      </w:r>
      <w:r w:rsidR="00963031">
        <w:t xml:space="preserve"> may generally be roll</w:t>
      </w:r>
      <w:r w:rsidR="00116CC5">
        <w:t>ed</w:t>
      </w:r>
      <w:r w:rsidR="00963031">
        <w:t xml:space="preserve"> over into a qualified plan</w:t>
      </w:r>
      <w:r w:rsidR="00056586">
        <w:t>:</w:t>
      </w:r>
      <w:r w:rsidR="00116CC5">
        <w:t xml:space="preserve"> </w:t>
      </w:r>
      <w:r w:rsidR="00056586">
        <w:t>t</w:t>
      </w:r>
      <w:r w:rsidR="000E4E87">
        <w:t xml:space="preserve">hese rollovers are not subject to the one rollover per taxpayer per year rule. </w:t>
      </w:r>
    </w:p>
    <w:p w14:paraId="4272C229" w14:textId="49D2A597" w:rsidR="00034546" w:rsidRDefault="00963031" w:rsidP="000972A5">
      <w:pPr>
        <w:autoSpaceDE w:val="0"/>
        <w:autoSpaceDN w:val="0"/>
        <w:adjustRightInd w:val="0"/>
      </w:pPr>
      <w:r>
        <w:t xml:space="preserve">There will </w:t>
      </w:r>
      <w:r w:rsidR="00CF6F8C">
        <w:t xml:space="preserve">generally </w:t>
      </w:r>
      <w:r>
        <w:t>b</w:t>
      </w:r>
      <w:r w:rsidR="00116CC5">
        <w:t>e no income tax consequence resulting from</w:t>
      </w:r>
      <w:r>
        <w:t xml:space="preserve"> a rollover as long as pretax funds are rolled over </w:t>
      </w:r>
      <w:r w:rsidR="00116CC5">
        <w:t xml:space="preserve">timely </w:t>
      </w:r>
      <w:r>
        <w:t xml:space="preserve">into pretax accounts or Roth funds are rolled over </w:t>
      </w:r>
      <w:r w:rsidR="00116CC5">
        <w:t xml:space="preserve">timely </w:t>
      </w:r>
      <w:r>
        <w:t xml:space="preserve">into Roth accounts. The chart below </w:t>
      </w:r>
      <w:r w:rsidR="007F0C2D">
        <w:t xml:space="preserve">illustrates </w:t>
      </w:r>
      <w:r w:rsidR="00CF6F8C">
        <w:t xml:space="preserve">selected </w:t>
      </w:r>
      <w:r w:rsidR="00EC354D">
        <w:t>income tax-</w:t>
      </w:r>
      <w:r w:rsidR="007F0C2D">
        <w:t>free rollover opportunities</w:t>
      </w:r>
      <w:r w:rsidR="00CF6F8C">
        <w:t xml:space="preserve"> between IRAs and qualified plans</w:t>
      </w:r>
      <w:r>
        <w:t>.</w:t>
      </w:r>
      <w:r w:rsidR="00CF6F8C">
        <w:t xml:space="preserve"> </w:t>
      </w:r>
    </w:p>
    <w:p w14:paraId="478F7177" w14:textId="5312FE0A" w:rsidR="00963031" w:rsidRDefault="00CF6F8C" w:rsidP="000972A5">
      <w:pPr>
        <w:autoSpaceDE w:val="0"/>
        <w:autoSpaceDN w:val="0"/>
        <w:adjustRightInd w:val="0"/>
      </w:pPr>
      <w:r>
        <w:t>A complete list of permitted rol</w:t>
      </w:r>
      <w:r w:rsidR="006C3E8E">
        <w:t>lovers is available from the IRS</w:t>
      </w:r>
      <w:r w:rsidR="00EC354D">
        <w:t xml:space="preserve"> at the following link: </w:t>
      </w:r>
      <w:r>
        <w:t xml:space="preserve">  </w:t>
      </w:r>
      <w:r w:rsidRPr="00296EB2">
        <w:rPr>
          <w:color w:val="3366FF"/>
          <w:u w:val="single"/>
        </w:rPr>
        <w:t>http://www.irs.gov/pub/irs-tege/rollover_chart.pdf</w:t>
      </w:r>
      <w:r>
        <w:t xml:space="preserve">  </w:t>
      </w:r>
      <w:r w:rsidR="00116CC5">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2781"/>
        <w:gridCol w:w="2610"/>
        <w:gridCol w:w="1791"/>
        <w:gridCol w:w="1791"/>
      </w:tblGrid>
      <w:tr w:rsidR="00767C66" w:rsidRPr="007746E2" w14:paraId="6557139A" w14:textId="77777777" w:rsidTr="007746E2">
        <w:trPr>
          <w:jc w:val="center"/>
        </w:trPr>
        <w:tc>
          <w:tcPr>
            <w:tcW w:w="8973" w:type="dxa"/>
            <w:gridSpan w:val="4"/>
            <w:shd w:val="clear" w:color="auto" w:fill="BFBA84"/>
          </w:tcPr>
          <w:p w14:paraId="6500C283" w14:textId="51EF3725" w:rsidR="00767C66" w:rsidRPr="007746E2" w:rsidRDefault="00EC354D" w:rsidP="007746E2">
            <w:pPr>
              <w:autoSpaceDE w:val="0"/>
              <w:autoSpaceDN w:val="0"/>
              <w:adjustRightInd w:val="0"/>
              <w:spacing w:before="0" w:after="0"/>
              <w:jc w:val="center"/>
              <w:rPr>
                <w:b/>
                <w:sz w:val="18"/>
                <w:szCs w:val="18"/>
              </w:rPr>
            </w:pPr>
            <w:r>
              <w:rPr>
                <w:b/>
                <w:sz w:val="18"/>
                <w:szCs w:val="18"/>
              </w:rPr>
              <w:t>Income Tax-</w:t>
            </w:r>
            <w:r w:rsidR="00767C66" w:rsidRPr="007746E2">
              <w:rPr>
                <w:b/>
                <w:sz w:val="18"/>
                <w:szCs w:val="18"/>
              </w:rPr>
              <w:t>Free Rollovers and Direct Transfers</w:t>
            </w:r>
          </w:p>
          <w:p w14:paraId="69330516" w14:textId="77777777" w:rsidR="00767C66" w:rsidRPr="007746E2" w:rsidRDefault="00767C66" w:rsidP="007746E2">
            <w:pPr>
              <w:autoSpaceDE w:val="0"/>
              <w:autoSpaceDN w:val="0"/>
              <w:adjustRightInd w:val="0"/>
              <w:spacing w:before="0" w:after="0"/>
              <w:jc w:val="center"/>
              <w:rPr>
                <w:b/>
                <w:sz w:val="18"/>
                <w:szCs w:val="18"/>
              </w:rPr>
            </w:pPr>
            <w:r w:rsidRPr="007746E2">
              <w:rPr>
                <w:b/>
                <w:sz w:val="18"/>
                <w:szCs w:val="18"/>
              </w:rPr>
              <w:t>Rollovers Assumed Completed Within 60 days</w:t>
            </w:r>
          </w:p>
        </w:tc>
      </w:tr>
      <w:tr w:rsidR="00AA06A5" w:rsidRPr="007746E2" w14:paraId="30684A9F" w14:textId="77777777" w:rsidTr="007746E2">
        <w:trPr>
          <w:jc w:val="center"/>
        </w:trPr>
        <w:tc>
          <w:tcPr>
            <w:tcW w:w="2781" w:type="dxa"/>
            <w:shd w:val="clear" w:color="auto" w:fill="DBD9B9"/>
          </w:tcPr>
          <w:p w14:paraId="5897E963" w14:textId="77777777" w:rsidR="007746E2" w:rsidRPr="007746E2" w:rsidRDefault="007746E2" w:rsidP="007746E2">
            <w:pPr>
              <w:autoSpaceDE w:val="0"/>
              <w:autoSpaceDN w:val="0"/>
              <w:adjustRightInd w:val="0"/>
              <w:spacing w:before="0" w:after="0"/>
              <w:jc w:val="center"/>
              <w:rPr>
                <w:b/>
                <w:sz w:val="18"/>
                <w:szCs w:val="18"/>
              </w:rPr>
            </w:pPr>
          </w:p>
          <w:p w14:paraId="56E17120" w14:textId="77777777" w:rsidR="00AA06A5" w:rsidRPr="007746E2" w:rsidRDefault="00AA06A5" w:rsidP="007746E2">
            <w:pPr>
              <w:autoSpaceDE w:val="0"/>
              <w:autoSpaceDN w:val="0"/>
              <w:adjustRightInd w:val="0"/>
              <w:spacing w:before="0" w:after="0"/>
              <w:jc w:val="center"/>
              <w:rPr>
                <w:b/>
                <w:sz w:val="18"/>
                <w:szCs w:val="18"/>
              </w:rPr>
            </w:pPr>
            <w:r w:rsidRPr="007746E2">
              <w:rPr>
                <w:b/>
                <w:sz w:val="18"/>
                <w:szCs w:val="18"/>
              </w:rPr>
              <w:t>From</w:t>
            </w:r>
          </w:p>
        </w:tc>
        <w:tc>
          <w:tcPr>
            <w:tcW w:w="2610" w:type="dxa"/>
            <w:shd w:val="clear" w:color="auto" w:fill="DBD9B9"/>
          </w:tcPr>
          <w:p w14:paraId="21BDC3A0" w14:textId="77777777" w:rsidR="007746E2" w:rsidRPr="007746E2" w:rsidRDefault="007746E2" w:rsidP="007746E2">
            <w:pPr>
              <w:autoSpaceDE w:val="0"/>
              <w:autoSpaceDN w:val="0"/>
              <w:adjustRightInd w:val="0"/>
              <w:spacing w:before="0" w:after="0"/>
              <w:jc w:val="center"/>
              <w:rPr>
                <w:b/>
                <w:sz w:val="18"/>
                <w:szCs w:val="18"/>
              </w:rPr>
            </w:pPr>
          </w:p>
          <w:p w14:paraId="0806934A" w14:textId="77777777" w:rsidR="00AA06A5" w:rsidRPr="007746E2" w:rsidRDefault="00AA06A5" w:rsidP="007746E2">
            <w:pPr>
              <w:autoSpaceDE w:val="0"/>
              <w:autoSpaceDN w:val="0"/>
              <w:adjustRightInd w:val="0"/>
              <w:spacing w:before="0" w:after="0"/>
              <w:jc w:val="center"/>
              <w:rPr>
                <w:b/>
                <w:sz w:val="18"/>
                <w:szCs w:val="18"/>
              </w:rPr>
            </w:pPr>
            <w:r w:rsidRPr="007746E2">
              <w:rPr>
                <w:b/>
                <w:sz w:val="18"/>
                <w:szCs w:val="18"/>
              </w:rPr>
              <w:t>To</w:t>
            </w:r>
          </w:p>
        </w:tc>
        <w:tc>
          <w:tcPr>
            <w:tcW w:w="1791" w:type="dxa"/>
            <w:shd w:val="clear" w:color="auto" w:fill="DBD9B9"/>
          </w:tcPr>
          <w:p w14:paraId="7F4D4044" w14:textId="77777777" w:rsidR="00AA06A5" w:rsidRPr="007746E2" w:rsidRDefault="00AA06A5" w:rsidP="007746E2">
            <w:pPr>
              <w:autoSpaceDE w:val="0"/>
              <w:autoSpaceDN w:val="0"/>
              <w:adjustRightInd w:val="0"/>
              <w:spacing w:before="0" w:after="0"/>
              <w:jc w:val="center"/>
              <w:rPr>
                <w:b/>
                <w:sz w:val="18"/>
                <w:szCs w:val="18"/>
              </w:rPr>
            </w:pPr>
            <w:r w:rsidRPr="007746E2">
              <w:rPr>
                <w:b/>
                <w:sz w:val="18"/>
                <w:szCs w:val="18"/>
              </w:rPr>
              <w:t xml:space="preserve">Income Tax Consequence of </w:t>
            </w:r>
            <w:r w:rsidR="00FE01AA" w:rsidRPr="007746E2">
              <w:rPr>
                <w:b/>
                <w:sz w:val="18"/>
                <w:szCs w:val="18"/>
              </w:rPr>
              <w:t xml:space="preserve">Timely </w:t>
            </w:r>
            <w:r w:rsidRPr="007746E2">
              <w:rPr>
                <w:b/>
                <w:sz w:val="18"/>
                <w:szCs w:val="18"/>
              </w:rPr>
              <w:t>Rollover</w:t>
            </w:r>
          </w:p>
        </w:tc>
        <w:tc>
          <w:tcPr>
            <w:tcW w:w="1791" w:type="dxa"/>
            <w:shd w:val="clear" w:color="auto" w:fill="DBD9B9"/>
          </w:tcPr>
          <w:p w14:paraId="51A76E5B" w14:textId="77777777" w:rsidR="007746E2" w:rsidRPr="007746E2" w:rsidRDefault="007746E2" w:rsidP="007746E2">
            <w:pPr>
              <w:autoSpaceDE w:val="0"/>
              <w:autoSpaceDN w:val="0"/>
              <w:adjustRightInd w:val="0"/>
              <w:spacing w:before="0" w:after="0"/>
              <w:jc w:val="center"/>
              <w:rPr>
                <w:b/>
                <w:sz w:val="18"/>
                <w:szCs w:val="18"/>
              </w:rPr>
            </w:pPr>
          </w:p>
          <w:p w14:paraId="1F418A6D" w14:textId="77777777" w:rsidR="00AA06A5" w:rsidRPr="007746E2" w:rsidRDefault="00AA06A5" w:rsidP="007746E2">
            <w:pPr>
              <w:autoSpaceDE w:val="0"/>
              <w:autoSpaceDN w:val="0"/>
              <w:adjustRightInd w:val="0"/>
              <w:spacing w:before="0" w:after="0"/>
              <w:jc w:val="center"/>
              <w:rPr>
                <w:b/>
                <w:sz w:val="18"/>
                <w:szCs w:val="18"/>
              </w:rPr>
            </w:pPr>
            <w:r w:rsidRPr="007746E2">
              <w:rPr>
                <w:b/>
                <w:sz w:val="18"/>
                <w:szCs w:val="18"/>
              </w:rPr>
              <w:t>Notes</w:t>
            </w:r>
          </w:p>
        </w:tc>
      </w:tr>
      <w:tr w:rsidR="00AA06A5" w:rsidRPr="007746E2" w14:paraId="5783D134" w14:textId="77777777" w:rsidTr="007746E2">
        <w:trPr>
          <w:jc w:val="center"/>
        </w:trPr>
        <w:tc>
          <w:tcPr>
            <w:tcW w:w="2781" w:type="dxa"/>
            <w:shd w:val="clear" w:color="auto" w:fill="E7E6CF"/>
          </w:tcPr>
          <w:p w14:paraId="2C037321" w14:textId="77777777" w:rsidR="00AA06A5" w:rsidRPr="007746E2" w:rsidRDefault="00AA06A5" w:rsidP="007746E2">
            <w:pPr>
              <w:autoSpaceDE w:val="0"/>
              <w:autoSpaceDN w:val="0"/>
              <w:adjustRightInd w:val="0"/>
              <w:spacing w:before="0" w:after="0"/>
              <w:rPr>
                <w:sz w:val="18"/>
                <w:szCs w:val="18"/>
                <w:vertAlign w:val="superscript"/>
              </w:rPr>
            </w:pPr>
            <w:r w:rsidRPr="007746E2">
              <w:rPr>
                <w:sz w:val="18"/>
                <w:szCs w:val="18"/>
              </w:rPr>
              <w:t>Designated Roth Account (DRA</w:t>
            </w:r>
            <w:r w:rsidR="00FE01AA" w:rsidRPr="007746E2">
              <w:rPr>
                <w:sz w:val="18"/>
                <w:szCs w:val="18"/>
              </w:rPr>
              <w:t>)</w:t>
            </w:r>
          </w:p>
        </w:tc>
        <w:tc>
          <w:tcPr>
            <w:tcW w:w="2610" w:type="dxa"/>
            <w:shd w:val="clear" w:color="auto" w:fill="E7E6CF"/>
          </w:tcPr>
          <w:p w14:paraId="1B6489C3" w14:textId="77777777" w:rsidR="00AA06A5" w:rsidRPr="007746E2" w:rsidRDefault="00AA06A5" w:rsidP="007746E2">
            <w:pPr>
              <w:autoSpaceDE w:val="0"/>
              <w:autoSpaceDN w:val="0"/>
              <w:adjustRightInd w:val="0"/>
              <w:spacing w:before="0" w:after="0"/>
              <w:rPr>
                <w:sz w:val="18"/>
                <w:szCs w:val="18"/>
              </w:rPr>
            </w:pPr>
            <w:r w:rsidRPr="007746E2">
              <w:rPr>
                <w:sz w:val="18"/>
                <w:szCs w:val="18"/>
              </w:rPr>
              <w:t>Roth IRA</w:t>
            </w:r>
          </w:p>
        </w:tc>
        <w:tc>
          <w:tcPr>
            <w:tcW w:w="1791" w:type="dxa"/>
            <w:shd w:val="clear" w:color="auto" w:fill="E7E6CF"/>
          </w:tcPr>
          <w:p w14:paraId="7B05D055" w14:textId="77777777" w:rsidR="00AA06A5" w:rsidRPr="007746E2" w:rsidRDefault="00AA06A5" w:rsidP="007746E2">
            <w:pPr>
              <w:autoSpaceDE w:val="0"/>
              <w:autoSpaceDN w:val="0"/>
              <w:adjustRightInd w:val="0"/>
              <w:spacing w:before="0" w:after="0"/>
              <w:rPr>
                <w:sz w:val="18"/>
                <w:szCs w:val="18"/>
              </w:rPr>
            </w:pPr>
            <w:r w:rsidRPr="007746E2">
              <w:rPr>
                <w:sz w:val="18"/>
                <w:szCs w:val="18"/>
              </w:rPr>
              <w:t>None</w:t>
            </w:r>
          </w:p>
        </w:tc>
        <w:tc>
          <w:tcPr>
            <w:tcW w:w="1791" w:type="dxa"/>
            <w:shd w:val="clear" w:color="auto" w:fill="E7E6CF"/>
          </w:tcPr>
          <w:p w14:paraId="29164C8F" w14:textId="043CE5A5" w:rsidR="00AA06A5" w:rsidRPr="007746E2" w:rsidRDefault="00AA06A5" w:rsidP="007746E2">
            <w:pPr>
              <w:autoSpaceDE w:val="0"/>
              <w:autoSpaceDN w:val="0"/>
              <w:adjustRightInd w:val="0"/>
              <w:spacing w:before="0" w:after="0"/>
              <w:rPr>
                <w:sz w:val="18"/>
                <w:szCs w:val="18"/>
              </w:rPr>
            </w:pPr>
            <w:r w:rsidRPr="007746E2">
              <w:rPr>
                <w:sz w:val="18"/>
                <w:szCs w:val="18"/>
              </w:rPr>
              <w:t xml:space="preserve">DRAs are found in </w:t>
            </w:r>
            <w:r w:rsidR="00EC354D">
              <w:rPr>
                <w:sz w:val="18"/>
                <w:szCs w:val="18"/>
              </w:rPr>
              <w:t>401(k) P</w:t>
            </w:r>
            <w:r w:rsidR="00FE01AA" w:rsidRPr="007746E2">
              <w:rPr>
                <w:sz w:val="18"/>
                <w:szCs w:val="18"/>
              </w:rPr>
              <w:t xml:space="preserve">lans, </w:t>
            </w:r>
            <w:r w:rsidR="00EC354D">
              <w:rPr>
                <w:sz w:val="18"/>
                <w:szCs w:val="18"/>
              </w:rPr>
              <w:t>403(b) Plans, and 457(b) P</w:t>
            </w:r>
            <w:r w:rsidRPr="007746E2">
              <w:rPr>
                <w:sz w:val="18"/>
                <w:szCs w:val="18"/>
              </w:rPr>
              <w:t>lans</w:t>
            </w:r>
            <w:r w:rsidR="00FE01AA" w:rsidRPr="007746E2">
              <w:rPr>
                <w:sz w:val="18"/>
                <w:szCs w:val="18"/>
              </w:rPr>
              <w:t>.</w:t>
            </w:r>
          </w:p>
        </w:tc>
      </w:tr>
      <w:tr w:rsidR="00AA06A5" w:rsidRPr="007746E2" w14:paraId="654AAA3E" w14:textId="77777777" w:rsidTr="007746E2">
        <w:trPr>
          <w:jc w:val="center"/>
        </w:trPr>
        <w:tc>
          <w:tcPr>
            <w:tcW w:w="2781" w:type="dxa"/>
            <w:shd w:val="clear" w:color="auto" w:fill="E7E6CF"/>
          </w:tcPr>
          <w:p w14:paraId="6632FAC2" w14:textId="77777777" w:rsidR="00AA06A5" w:rsidRPr="007746E2" w:rsidRDefault="00AA06A5" w:rsidP="007746E2">
            <w:pPr>
              <w:autoSpaceDE w:val="0"/>
              <w:autoSpaceDN w:val="0"/>
              <w:adjustRightInd w:val="0"/>
              <w:spacing w:before="0" w:after="0"/>
              <w:rPr>
                <w:sz w:val="18"/>
                <w:szCs w:val="18"/>
              </w:rPr>
            </w:pPr>
            <w:r w:rsidRPr="007746E2">
              <w:rPr>
                <w:sz w:val="18"/>
                <w:szCs w:val="18"/>
              </w:rPr>
              <w:t>Traditional IRA</w:t>
            </w:r>
          </w:p>
        </w:tc>
        <w:tc>
          <w:tcPr>
            <w:tcW w:w="2610" w:type="dxa"/>
            <w:shd w:val="clear" w:color="auto" w:fill="E7E6CF"/>
          </w:tcPr>
          <w:p w14:paraId="4CCAD59E" w14:textId="77777777" w:rsidR="00AA06A5" w:rsidRPr="007746E2" w:rsidRDefault="00AA06A5" w:rsidP="007746E2">
            <w:pPr>
              <w:autoSpaceDE w:val="0"/>
              <w:autoSpaceDN w:val="0"/>
              <w:adjustRightInd w:val="0"/>
              <w:spacing w:before="0" w:after="0"/>
              <w:rPr>
                <w:sz w:val="18"/>
                <w:szCs w:val="18"/>
              </w:rPr>
            </w:pPr>
            <w:r w:rsidRPr="007746E2">
              <w:rPr>
                <w:sz w:val="18"/>
                <w:szCs w:val="18"/>
              </w:rPr>
              <w:t xml:space="preserve">Pretax </w:t>
            </w:r>
            <w:r w:rsidR="00FE01AA" w:rsidRPr="007746E2">
              <w:rPr>
                <w:sz w:val="18"/>
                <w:szCs w:val="18"/>
              </w:rPr>
              <w:t>Qualified Plan Account (non-DRA</w:t>
            </w:r>
            <w:r w:rsidRPr="007746E2">
              <w:rPr>
                <w:sz w:val="18"/>
                <w:szCs w:val="18"/>
              </w:rPr>
              <w:t>)</w:t>
            </w:r>
          </w:p>
        </w:tc>
        <w:tc>
          <w:tcPr>
            <w:tcW w:w="1791" w:type="dxa"/>
            <w:shd w:val="clear" w:color="auto" w:fill="E7E6CF"/>
          </w:tcPr>
          <w:p w14:paraId="1C71F2E1" w14:textId="77777777" w:rsidR="00AA06A5" w:rsidRPr="007746E2" w:rsidRDefault="00AA06A5" w:rsidP="007746E2">
            <w:pPr>
              <w:autoSpaceDE w:val="0"/>
              <w:autoSpaceDN w:val="0"/>
              <w:adjustRightInd w:val="0"/>
              <w:spacing w:before="0" w:after="0"/>
              <w:rPr>
                <w:sz w:val="18"/>
                <w:szCs w:val="18"/>
              </w:rPr>
            </w:pPr>
            <w:r w:rsidRPr="007746E2">
              <w:rPr>
                <w:sz w:val="18"/>
                <w:szCs w:val="18"/>
              </w:rPr>
              <w:t>None</w:t>
            </w:r>
          </w:p>
        </w:tc>
        <w:tc>
          <w:tcPr>
            <w:tcW w:w="1791" w:type="dxa"/>
            <w:shd w:val="clear" w:color="auto" w:fill="E7E6CF"/>
          </w:tcPr>
          <w:p w14:paraId="5A7F6B77" w14:textId="77777777" w:rsidR="00AA06A5" w:rsidRPr="007746E2" w:rsidRDefault="00AA06A5" w:rsidP="007746E2">
            <w:pPr>
              <w:autoSpaceDE w:val="0"/>
              <w:autoSpaceDN w:val="0"/>
              <w:adjustRightInd w:val="0"/>
              <w:spacing w:before="0" w:after="0"/>
              <w:rPr>
                <w:sz w:val="18"/>
                <w:szCs w:val="18"/>
              </w:rPr>
            </w:pPr>
          </w:p>
        </w:tc>
      </w:tr>
      <w:tr w:rsidR="00AA06A5" w:rsidRPr="007746E2" w14:paraId="4A6B6261" w14:textId="77777777" w:rsidTr="007746E2">
        <w:trPr>
          <w:jc w:val="center"/>
        </w:trPr>
        <w:tc>
          <w:tcPr>
            <w:tcW w:w="2781" w:type="dxa"/>
            <w:shd w:val="clear" w:color="auto" w:fill="E7E6CF"/>
          </w:tcPr>
          <w:p w14:paraId="7C71E995" w14:textId="77777777" w:rsidR="00AA06A5" w:rsidRPr="007746E2" w:rsidRDefault="00AA06A5" w:rsidP="007746E2">
            <w:pPr>
              <w:autoSpaceDE w:val="0"/>
              <w:autoSpaceDN w:val="0"/>
              <w:adjustRightInd w:val="0"/>
              <w:spacing w:before="0" w:after="0"/>
              <w:rPr>
                <w:sz w:val="18"/>
                <w:szCs w:val="18"/>
              </w:rPr>
            </w:pPr>
            <w:r w:rsidRPr="007746E2">
              <w:rPr>
                <w:sz w:val="18"/>
                <w:szCs w:val="18"/>
              </w:rPr>
              <w:t>Pretax Qualified</w:t>
            </w:r>
            <w:r w:rsidR="00FE01AA" w:rsidRPr="007746E2">
              <w:rPr>
                <w:sz w:val="18"/>
                <w:szCs w:val="18"/>
              </w:rPr>
              <w:t xml:space="preserve"> Plan Account (non-DRA</w:t>
            </w:r>
            <w:r w:rsidRPr="007746E2">
              <w:rPr>
                <w:sz w:val="18"/>
                <w:szCs w:val="18"/>
              </w:rPr>
              <w:t>)</w:t>
            </w:r>
          </w:p>
        </w:tc>
        <w:tc>
          <w:tcPr>
            <w:tcW w:w="2610" w:type="dxa"/>
            <w:shd w:val="clear" w:color="auto" w:fill="E7E6CF"/>
          </w:tcPr>
          <w:p w14:paraId="391AE9E6" w14:textId="77777777" w:rsidR="00AA06A5" w:rsidRPr="007746E2" w:rsidRDefault="00AA06A5" w:rsidP="007746E2">
            <w:pPr>
              <w:autoSpaceDE w:val="0"/>
              <w:autoSpaceDN w:val="0"/>
              <w:adjustRightInd w:val="0"/>
              <w:spacing w:before="0" w:after="0"/>
              <w:rPr>
                <w:sz w:val="18"/>
                <w:szCs w:val="18"/>
              </w:rPr>
            </w:pPr>
            <w:r w:rsidRPr="007746E2">
              <w:rPr>
                <w:sz w:val="18"/>
                <w:szCs w:val="18"/>
              </w:rPr>
              <w:t>Traditional IRA</w:t>
            </w:r>
          </w:p>
        </w:tc>
        <w:tc>
          <w:tcPr>
            <w:tcW w:w="1791" w:type="dxa"/>
            <w:shd w:val="clear" w:color="auto" w:fill="E7E6CF"/>
          </w:tcPr>
          <w:p w14:paraId="588BDE44" w14:textId="77777777" w:rsidR="00AA06A5" w:rsidRPr="007746E2" w:rsidRDefault="00AA06A5" w:rsidP="007746E2">
            <w:pPr>
              <w:autoSpaceDE w:val="0"/>
              <w:autoSpaceDN w:val="0"/>
              <w:adjustRightInd w:val="0"/>
              <w:spacing w:before="0" w:after="0"/>
              <w:rPr>
                <w:sz w:val="18"/>
                <w:szCs w:val="18"/>
              </w:rPr>
            </w:pPr>
            <w:r w:rsidRPr="007746E2">
              <w:rPr>
                <w:sz w:val="18"/>
                <w:szCs w:val="18"/>
              </w:rPr>
              <w:t>None</w:t>
            </w:r>
          </w:p>
        </w:tc>
        <w:tc>
          <w:tcPr>
            <w:tcW w:w="1791" w:type="dxa"/>
            <w:shd w:val="clear" w:color="auto" w:fill="E7E6CF"/>
          </w:tcPr>
          <w:p w14:paraId="08DABC03" w14:textId="77777777" w:rsidR="00AA06A5" w:rsidRPr="007746E2" w:rsidRDefault="00AA06A5" w:rsidP="007746E2">
            <w:pPr>
              <w:autoSpaceDE w:val="0"/>
              <w:autoSpaceDN w:val="0"/>
              <w:adjustRightInd w:val="0"/>
              <w:spacing w:before="0" w:after="0"/>
              <w:rPr>
                <w:sz w:val="18"/>
                <w:szCs w:val="18"/>
              </w:rPr>
            </w:pPr>
          </w:p>
        </w:tc>
      </w:tr>
    </w:tbl>
    <w:p w14:paraId="14AA1249" w14:textId="303687AF" w:rsidR="000972A5" w:rsidRDefault="007F193E" w:rsidP="007746E2">
      <w:r>
        <w:t xml:space="preserve">Rollovers </w:t>
      </w:r>
      <w:r w:rsidR="00C015BB">
        <w:t xml:space="preserve">may be subject to </w:t>
      </w:r>
      <w:r w:rsidR="00FC31F6">
        <w:t>withholdi</w:t>
      </w:r>
      <w:r w:rsidR="00C015BB">
        <w:t>ng taxes.</w:t>
      </w:r>
      <w:r w:rsidR="00C015BB" w:rsidRPr="00C015BB">
        <w:t xml:space="preserve"> </w:t>
      </w:r>
      <w:r w:rsidR="00FC31F6">
        <w:t>Rollovers from an IRA are technically subject to a 10% withholding</w:t>
      </w:r>
      <w:r w:rsidR="004227A7">
        <w:t>;</w:t>
      </w:r>
      <w:r w:rsidR="00FC31F6">
        <w:t xml:space="preserve"> however</w:t>
      </w:r>
      <w:r w:rsidR="004227A7">
        <w:t>,</w:t>
      </w:r>
      <w:r w:rsidR="00FC31F6">
        <w:t xml:space="preserve"> the IRA owner may elect out of withholding. </w:t>
      </w:r>
      <w:r w:rsidR="0055798E">
        <w:t xml:space="preserve">In contrast, rollovers from </w:t>
      </w:r>
      <w:r w:rsidR="00FC31F6">
        <w:t>a</w:t>
      </w:r>
      <w:r w:rsidR="00C015BB">
        <w:t xml:space="preserve"> qualified plan </w:t>
      </w:r>
      <w:r w:rsidR="0055798E">
        <w:t xml:space="preserve">are subject to a mandatory </w:t>
      </w:r>
      <w:r w:rsidR="00C015BB">
        <w:t xml:space="preserve">20% </w:t>
      </w:r>
      <w:r w:rsidR="0055798E">
        <w:t xml:space="preserve">withholding. </w:t>
      </w:r>
      <w:r w:rsidR="000972A5">
        <w:t xml:space="preserve">This </w:t>
      </w:r>
      <w:r w:rsidR="005C3661">
        <w:t xml:space="preserve">is </w:t>
      </w:r>
      <w:r w:rsidR="000972A5">
        <w:t xml:space="preserve">a trap for the unwary! Your client must re-deposit 100% </w:t>
      </w:r>
      <w:r>
        <w:t xml:space="preserve">of the </w:t>
      </w:r>
      <w:r w:rsidR="00FC31F6">
        <w:t xml:space="preserve">rollover </w:t>
      </w:r>
      <w:r>
        <w:t xml:space="preserve">funds </w:t>
      </w:r>
      <w:r w:rsidR="000972A5">
        <w:t>within 60 days to avoid penalty</w:t>
      </w:r>
      <w:r w:rsidR="007D75B4">
        <w:t xml:space="preserve">. </w:t>
      </w:r>
      <w:r w:rsidR="007746E2" w:rsidRPr="007746E2">
        <w:rPr>
          <w:b/>
          <w:color w:val="FF0000"/>
        </w:rPr>
        <w:t xml:space="preserve">Click </w:t>
      </w:r>
      <w:r w:rsidR="007746E2" w:rsidRPr="007746E2">
        <w:rPr>
          <w:rStyle w:val="Hyperlink"/>
        </w:rPr>
        <w:t>here</w:t>
      </w:r>
      <w:r w:rsidR="007746E2" w:rsidRPr="007746E2">
        <w:rPr>
          <w:b/>
          <w:color w:val="FF0000"/>
        </w:rPr>
        <w:t xml:space="preserve"> for an example.</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576"/>
      </w:tblGrid>
      <w:tr w:rsidR="000972A5" w14:paraId="7539E70A" w14:textId="77777777" w:rsidTr="004227A7">
        <w:tc>
          <w:tcPr>
            <w:tcW w:w="9576" w:type="dxa"/>
            <w:shd w:val="clear" w:color="auto" w:fill="D9D9D9" w:themeFill="background1" w:themeFillShade="D9"/>
          </w:tcPr>
          <w:p w14:paraId="5B8C3556" w14:textId="77777777" w:rsidR="000972A5" w:rsidRPr="001F3D42" w:rsidRDefault="000972A5" w:rsidP="000972A5">
            <w:pPr>
              <w:autoSpaceDE w:val="0"/>
              <w:autoSpaceDN w:val="0"/>
              <w:adjustRightInd w:val="0"/>
              <w:rPr>
                <w:b/>
              </w:rPr>
            </w:pPr>
            <w:r w:rsidRPr="001F3D42">
              <w:rPr>
                <w:b/>
              </w:rPr>
              <w:t xml:space="preserve">20% </w:t>
            </w:r>
            <w:r w:rsidR="008B4631" w:rsidRPr="00BA7A7D">
              <w:rPr>
                <w:b/>
              </w:rPr>
              <w:t>Withholding</w:t>
            </w:r>
            <w:r w:rsidRPr="001F3D42">
              <w:rPr>
                <w:b/>
              </w:rPr>
              <w:t xml:space="preserve"> Trap Example</w:t>
            </w:r>
          </w:p>
          <w:p w14:paraId="2CE714A3" w14:textId="77777777" w:rsidR="000972A5" w:rsidRDefault="000972A5" w:rsidP="000972A5">
            <w:pPr>
              <w:autoSpaceDE w:val="0"/>
              <w:autoSpaceDN w:val="0"/>
              <w:adjustRightInd w:val="0"/>
            </w:pPr>
            <w:r>
              <w:t xml:space="preserve">Robert “Hasty” Smith is your client. Hasty executed a withdrawal from his qualified plan of </w:t>
            </w:r>
            <w:r>
              <w:lastRenderedPageBreak/>
              <w:t>$100,000</w:t>
            </w:r>
            <w:r w:rsidR="007D75B4">
              <w:t xml:space="preserve"> and </w:t>
            </w:r>
            <w:r>
              <w:t xml:space="preserve">the plan </w:t>
            </w:r>
            <w:r w:rsidR="00C113BB">
              <w:t xml:space="preserve">administrator </w:t>
            </w:r>
            <w:r>
              <w:t xml:space="preserve">withheld </w:t>
            </w:r>
            <w:r w:rsidR="00C113BB">
              <w:t xml:space="preserve">a mandatory </w:t>
            </w:r>
            <w:r>
              <w:t>$20,000 for estimated in</w:t>
            </w:r>
            <w:r w:rsidR="005F4462">
              <w:t>come taxes. Hasty received an $80,000 check payable to “Robert Smith</w:t>
            </w:r>
            <w:r>
              <w:t>.</w:t>
            </w:r>
            <w:r w:rsidR="005F4462">
              <w:t>”</w:t>
            </w:r>
            <w:r>
              <w:t xml:space="preserve">  </w:t>
            </w:r>
          </w:p>
          <w:p w14:paraId="380F7660" w14:textId="77777777" w:rsidR="000972A5" w:rsidRDefault="000972A5" w:rsidP="000972A5">
            <w:pPr>
              <w:autoSpaceDE w:val="0"/>
              <w:autoSpaceDN w:val="0"/>
              <w:adjustRightInd w:val="0"/>
            </w:pPr>
            <w:r>
              <w:t xml:space="preserve">Hasty must deposit $100,000 into his IRA within 60 days to avoid penalty. However, </w:t>
            </w:r>
            <w:r w:rsidR="00C113BB">
              <w:t xml:space="preserve">let us </w:t>
            </w:r>
            <w:r w:rsidR="005F4462">
              <w:t xml:space="preserve">assume that </w:t>
            </w:r>
            <w:r>
              <w:t xml:space="preserve">he only deposited $80,000 into his IRA within the </w:t>
            </w:r>
            <w:r w:rsidR="0099226A">
              <w:t>60-day</w:t>
            </w:r>
            <w:r>
              <w:t xml:space="preserve"> window. Hasty must pay a $2,000 penalty (10% of $20,000) because his rollover was $20,000 short.</w:t>
            </w:r>
          </w:p>
          <w:p w14:paraId="443D0D74" w14:textId="77777777" w:rsidR="000972A5" w:rsidRDefault="000972A5" w:rsidP="00077E21">
            <w:pPr>
              <w:autoSpaceDE w:val="0"/>
              <w:autoSpaceDN w:val="0"/>
              <w:adjustRightInd w:val="0"/>
            </w:pPr>
            <w:r>
              <w:t xml:space="preserve">What happens when he files his income tax return? The $20,000 withheld from his qualified plan distribution will </w:t>
            </w:r>
            <w:r w:rsidR="007D75B4">
              <w:t xml:space="preserve">be </w:t>
            </w:r>
            <w:r>
              <w:t xml:space="preserve">counted as a payment of his income taxes and may result in a refund. The $2,000 penalty is </w:t>
            </w:r>
            <w:r w:rsidR="007A7932">
              <w:t>neither deductible nor</w:t>
            </w:r>
            <w:r>
              <w:t xml:space="preserve"> refundable.</w:t>
            </w:r>
          </w:p>
        </w:tc>
      </w:tr>
    </w:tbl>
    <w:p w14:paraId="49616AE9" w14:textId="77777777" w:rsidR="007746E2" w:rsidRPr="007746E2" w:rsidRDefault="007F0C2D" w:rsidP="007746E2">
      <w:pPr>
        <w:rPr>
          <w:rFonts w:ascii="Arial" w:hAnsi="Arial"/>
        </w:rPr>
      </w:pPr>
      <w:r>
        <w:lastRenderedPageBreak/>
        <w:t xml:space="preserve"> </w:t>
      </w:r>
      <w:r w:rsidR="00A630D9">
        <w:rPr>
          <w:noProof/>
          <w:lang w:eastAsia="zh-CN"/>
        </w:rPr>
        <w:drawing>
          <wp:inline distT="0" distB="0" distL="0" distR="0" wp14:anchorId="4FDC260E" wp14:editId="5E6C33D8">
            <wp:extent cx="283210" cy="196215"/>
            <wp:effectExtent l="0" t="0" r="0" b="6985"/>
            <wp:docPr id="14" name="Picture 14"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_tip_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10" cy="196215"/>
                    </a:xfrm>
                    <a:prstGeom prst="rect">
                      <a:avLst/>
                    </a:prstGeom>
                    <a:noFill/>
                    <a:ln>
                      <a:noFill/>
                    </a:ln>
                  </pic:spPr>
                </pic:pic>
              </a:graphicData>
            </a:graphic>
          </wp:inline>
        </w:drawing>
      </w:r>
      <w:r w:rsidR="007746E2">
        <w:t xml:space="preserve">  </w:t>
      </w:r>
      <w:r w:rsidR="007746E2" w:rsidRPr="007746E2">
        <w:rPr>
          <w:b/>
        </w:rPr>
        <w:t>Planning Tip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746E2" w:rsidRPr="00120E33" w14:paraId="3121D6CA" w14:textId="77777777" w:rsidTr="00120E33">
        <w:trPr>
          <w:trHeight w:val="692"/>
        </w:trPr>
        <w:tc>
          <w:tcPr>
            <w:tcW w:w="9576" w:type="dxa"/>
            <w:shd w:val="clear" w:color="auto" w:fill="E7D9CF"/>
          </w:tcPr>
          <w:p w14:paraId="394F4549" w14:textId="77777777" w:rsidR="007746E2" w:rsidRPr="00120E33" w:rsidRDefault="007746E2" w:rsidP="00120E33">
            <w:pPr>
              <w:rPr>
                <w:rStyle w:val="Strong"/>
                <w:b w:val="0"/>
              </w:rPr>
            </w:pPr>
            <w:r>
              <w:t>Avoid this 20% withholding trap by avoiding rollovers. Funds should be transferred using the “direct transfers” approach discussed below.</w:t>
            </w:r>
          </w:p>
        </w:tc>
      </w:tr>
    </w:tbl>
    <w:p w14:paraId="7A39D1FB" w14:textId="77777777" w:rsidR="00457480" w:rsidRDefault="00457480" w:rsidP="00457480">
      <w:pPr>
        <w:pStyle w:val="Heading3"/>
      </w:pPr>
      <w:r>
        <w:t>Direct Transfers</w:t>
      </w:r>
    </w:p>
    <w:p w14:paraId="173978C8" w14:textId="77777777" w:rsidR="00457480" w:rsidRDefault="00457480" w:rsidP="00B4733C">
      <w:r>
        <w:t xml:space="preserve">In stark contrast to the rollover, the </w:t>
      </w:r>
      <w:r w:rsidR="006152F5">
        <w:t xml:space="preserve">qualified </w:t>
      </w:r>
      <w:r>
        <w:t>plan participant or IRA owner never has control of a direct transfer. Literally, the funds are transferred directly from one custodian or trustee to another custodian or trustee.</w:t>
      </w:r>
      <w:r w:rsidR="005F4462">
        <w:t xml:space="preserve"> </w:t>
      </w:r>
      <w:r w:rsidR="006152F5" w:rsidRPr="00B13B1A">
        <w:t xml:space="preserve">The IRA owner </w:t>
      </w:r>
      <w:r w:rsidR="006152F5">
        <w:t xml:space="preserve">or qualified plan participant </w:t>
      </w:r>
      <w:r w:rsidR="006152F5" w:rsidRPr="00B13B1A">
        <w:t>is not permitt</w:t>
      </w:r>
      <w:r w:rsidR="006152F5">
        <w:t xml:space="preserve">ed to control or access the </w:t>
      </w:r>
      <w:r w:rsidR="006152F5" w:rsidRPr="00B13B1A">
        <w:t xml:space="preserve">funds at any time during the transfer.  </w:t>
      </w:r>
    </w:p>
    <w:p w14:paraId="12DB4808" w14:textId="298AC125" w:rsidR="000972A5" w:rsidRDefault="00457480" w:rsidP="00584E04">
      <w:r>
        <w:t>Direct transfers may also be referred to as “direct trustee-to-trustee” transfers or “direct custodian-to-custodian” transfers.</w:t>
      </w:r>
      <w:r w:rsidR="006152F5" w:rsidRPr="006152F5">
        <w:t xml:space="preserve"> </w:t>
      </w:r>
      <w:r w:rsidR="007F0C2D">
        <w:t xml:space="preserve">Unlike rollovers, </w:t>
      </w:r>
      <w:r>
        <w:t xml:space="preserve">there is no income tax withheld in a direct transfer </w:t>
      </w:r>
      <w:r w:rsidR="006152F5">
        <w:t xml:space="preserve">from a qualified plan </w:t>
      </w:r>
      <w:r>
        <w:t xml:space="preserve">and there is no </w:t>
      </w:r>
      <w:r w:rsidR="00767C66">
        <w:t xml:space="preserve">IRS </w:t>
      </w:r>
      <w:r>
        <w:t>limit to the number of direct transfers a client may execute per year.</w:t>
      </w:r>
      <w:r w:rsidR="00ED0BB1">
        <w:t xml:space="preserve"> No income tax is due as a result of a direct transfer. </w:t>
      </w:r>
    </w:p>
    <w:p w14:paraId="0167174D" w14:textId="77777777" w:rsidR="00584E04" w:rsidRPr="00602663" w:rsidRDefault="00584E04" w:rsidP="00584E04"/>
    <w:p w14:paraId="6AF5A7E2" w14:textId="77777777" w:rsidR="000972A5" w:rsidRDefault="000972A5" w:rsidP="00584E04">
      <w:pPr>
        <w:autoSpaceDE w:val="0"/>
        <w:autoSpaceDN w:val="0"/>
        <w:adjustRightInd w:val="0"/>
      </w:pPr>
    </w:p>
    <w:p w14:paraId="6D366ACF" w14:textId="77777777" w:rsidR="000972A5" w:rsidRDefault="000972A5" w:rsidP="00584E04">
      <w:pPr>
        <w:autoSpaceDE w:val="0"/>
        <w:autoSpaceDN w:val="0"/>
        <w:adjustRightInd w:val="0"/>
      </w:pPr>
    </w:p>
    <w:p w14:paraId="5BAC672E" w14:textId="77777777" w:rsidR="00584E04" w:rsidRDefault="00584E04" w:rsidP="00584E04">
      <w:pPr>
        <w:autoSpaceDE w:val="0"/>
        <w:autoSpaceDN w:val="0"/>
        <w:adjustRightInd w:val="0"/>
      </w:pPr>
    </w:p>
    <w:p w14:paraId="7FFF43C5" w14:textId="77777777" w:rsidR="00584E04" w:rsidRDefault="00584E04" w:rsidP="00584E04">
      <w:pPr>
        <w:autoSpaceDE w:val="0"/>
        <w:autoSpaceDN w:val="0"/>
        <w:adjustRightInd w:val="0"/>
        <w:spacing w:before="0" w:after="0"/>
      </w:pPr>
    </w:p>
    <w:p w14:paraId="7ED7EAA0" w14:textId="77777777" w:rsidR="00584E04" w:rsidRDefault="00584E04" w:rsidP="00584E04">
      <w:pPr>
        <w:autoSpaceDE w:val="0"/>
        <w:autoSpaceDN w:val="0"/>
        <w:adjustRightInd w:val="0"/>
        <w:spacing w:before="0" w:after="0"/>
      </w:pPr>
    </w:p>
    <w:p w14:paraId="3C510B50" w14:textId="77777777" w:rsidR="00AC40A8" w:rsidRDefault="005A74F7" w:rsidP="004344CA">
      <w:pPr>
        <w:pStyle w:val="Heading2"/>
      </w:pPr>
      <w:r>
        <w:br w:type="page"/>
      </w:r>
      <w:r w:rsidR="00AC40A8">
        <w:lastRenderedPageBreak/>
        <w:t>Conversion</w:t>
      </w:r>
      <w:r w:rsidR="00972AAD">
        <w:t xml:space="preserve">/Rollover </w:t>
      </w:r>
      <w:r w:rsidR="00AC40A8">
        <w:t>to a Roth IRA</w:t>
      </w:r>
    </w:p>
    <w:p w14:paraId="7573FB1B" w14:textId="77777777" w:rsidR="00E92353" w:rsidRDefault="00E92353" w:rsidP="00E92353">
      <w:pPr>
        <w:rPr>
          <w:b/>
          <w:color w:val="FF0000"/>
        </w:rPr>
      </w:pPr>
    </w:p>
    <w:p w14:paraId="7D7534B7" w14:textId="1FCF0F3A" w:rsidR="00E92353" w:rsidRDefault="00E92353" w:rsidP="00E92353">
      <w:pPr>
        <w:jc w:val="center"/>
        <w:rPr>
          <w:b/>
          <w:color w:val="FF0000"/>
        </w:rPr>
      </w:pPr>
      <w:r>
        <w:rPr>
          <w:b/>
          <w:noProof/>
          <w:color w:val="FF0000"/>
          <w:lang w:eastAsia="zh-CN"/>
        </w:rPr>
        <w:drawing>
          <wp:inline distT="0" distB="0" distL="0" distR="0" wp14:anchorId="05AEA628" wp14:editId="780DC812">
            <wp:extent cx="5308600" cy="2946400"/>
            <wp:effectExtent l="0" t="0" r="0" b="0"/>
            <wp:docPr id="6" name="Picture 1" descr="Description: Macintosh HD:Users:ricktyler:Desktop:Launch_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ricktyler:Desktop:Launch_Vide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600" cy="2946400"/>
                    </a:xfrm>
                    <a:prstGeom prst="rect">
                      <a:avLst/>
                    </a:prstGeom>
                    <a:noFill/>
                    <a:ln>
                      <a:noFill/>
                    </a:ln>
                  </pic:spPr>
                </pic:pic>
              </a:graphicData>
            </a:graphic>
          </wp:inline>
        </w:drawing>
      </w:r>
    </w:p>
    <w:p w14:paraId="14743EB4" w14:textId="77777777" w:rsidR="00E92353" w:rsidRDefault="00E92353" w:rsidP="00E92353">
      <w:pPr>
        <w:jc w:val="center"/>
        <w:rPr>
          <w:b/>
          <w:color w:val="FF0000"/>
        </w:rPr>
      </w:pPr>
    </w:p>
    <w:p w14:paraId="4A963A5C" w14:textId="77777777" w:rsidR="00E92353" w:rsidRDefault="00E92353" w:rsidP="00E92353">
      <w:pPr>
        <w:jc w:val="center"/>
        <w:rPr>
          <w:b/>
          <w:color w:val="FF0000"/>
        </w:rPr>
      </w:pPr>
    </w:p>
    <w:tbl>
      <w:tblPr>
        <w:tblW w:w="91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1E0" w:firstRow="1" w:lastRow="1" w:firstColumn="1" w:lastColumn="1" w:noHBand="0" w:noVBand="0"/>
      </w:tblPr>
      <w:tblGrid>
        <w:gridCol w:w="4590"/>
        <w:gridCol w:w="4590"/>
      </w:tblGrid>
      <w:tr w:rsidR="00E92353" w:rsidRPr="00396697" w14:paraId="2673C03F" w14:textId="77777777" w:rsidTr="000D6599">
        <w:tc>
          <w:tcPr>
            <w:tcW w:w="9180" w:type="dxa"/>
            <w:gridSpan w:val="2"/>
            <w:tcBorders>
              <w:bottom w:val="nil"/>
            </w:tcBorders>
            <w:shd w:val="clear" w:color="auto" w:fill="C4BD97"/>
            <w:vAlign w:val="center"/>
          </w:tcPr>
          <w:p w14:paraId="0049B364" w14:textId="77777777" w:rsidR="00E92353" w:rsidRPr="009B4E97" w:rsidRDefault="00E92353" w:rsidP="00E92353">
            <w:pPr>
              <w:rPr>
                <w:b/>
                <w:bCs/>
                <w:color w:val="000000"/>
              </w:rPr>
            </w:pPr>
            <w:r w:rsidRPr="009B4E97">
              <w:rPr>
                <w:b/>
                <w:bCs/>
                <w:color w:val="000000"/>
              </w:rPr>
              <w:t>Video Script</w:t>
            </w:r>
          </w:p>
        </w:tc>
      </w:tr>
      <w:tr w:rsidR="00E92353" w:rsidRPr="00F2482F" w14:paraId="72C21E57" w14:textId="77777777" w:rsidTr="000D6599">
        <w:tc>
          <w:tcPr>
            <w:tcW w:w="4590" w:type="dxa"/>
            <w:tcBorders>
              <w:top w:val="nil"/>
              <w:right w:val="nil"/>
            </w:tcBorders>
            <w:shd w:val="clear" w:color="auto" w:fill="C4BD97"/>
            <w:vAlign w:val="center"/>
          </w:tcPr>
          <w:p w14:paraId="41A2FE37" w14:textId="77777777" w:rsidR="00E92353" w:rsidRPr="009B4E97" w:rsidRDefault="00E92353" w:rsidP="00E92353">
            <w:pPr>
              <w:jc w:val="center"/>
              <w:rPr>
                <w:rFonts w:eastAsia="MS Mincho"/>
                <w:b/>
                <w:color w:val="FFFFFF"/>
                <w:lang w:eastAsia="ja-JP"/>
              </w:rPr>
            </w:pPr>
            <w:r w:rsidRPr="009B4E97">
              <w:rPr>
                <w:rFonts w:eastAsia="MS Mincho"/>
                <w:b/>
                <w:color w:val="FFFFFF"/>
                <w:lang w:eastAsia="ja-JP"/>
              </w:rPr>
              <w:t>Script</w:t>
            </w:r>
          </w:p>
        </w:tc>
        <w:tc>
          <w:tcPr>
            <w:tcW w:w="4590" w:type="dxa"/>
            <w:tcBorders>
              <w:top w:val="nil"/>
              <w:left w:val="nil"/>
            </w:tcBorders>
            <w:shd w:val="clear" w:color="auto" w:fill="C4BD97"/>
            <w:vAlign w:val="center"/>
          </w:tcPr>
          <w:p w14:paraId="24FF573A" w14:textId="77777777" w:rsidR="00E92353" w:rsidRPr="009B4E97" w:rsidRDefault="00E92353" w:rsidP="00E92353">
            <w:pPr>
              <w:jc w:val="center"/>
              <w:rPr>
                <w:rFonts w:eastAsia="Arial Unicode MS"/>
                <w:b/>
                <w:color w:val="FFFFFF"/>
              </w:rPr>
            </w:pPr>
            <w:r w:rsidRPr="009B4E97">
              <w:rPr>
                <w:rFonts w:eastAsia="Arial Unicode MS"/>
                <w:b/>
                <w:color w:val="FFFFFF"/>
              </w:rPr>
              <w:t>On Screen Text</w:t>
            </w:r>
          </w:p>
        </w:tc>
      </w:tr>
      <w:tr w:rsidR="00E92353" w:rsidRPr="00396697" w14:paraId="1F883C8B" w14:textId="77777777" w:rsidTr="000D6599">
        <w:tc>
          <w:tcPr>
            <w:tcW w:w="4590" w:type="dxa"/>
            <w:shd w:val="clear" w:color="auto" w:fill="EEECE1"/>
          </w:tcPr>
          <w:p w14:paraId="3D48FF8C" w14:textId="40DCF0FC" w:rsidR="00E92353" w:rsidRPr="00813D5C" w:rsidRDefault="00E92353" w:rsidP="00E92353">
            <w:pPr>
              <w:rPr>
                <w:color w:val="0000FF"/>
              </w:rPr>
            </w:pPr>
            <w:r w:rsidRPr="00813D5C">
              <w:rPr>
                <w:color w:val="0000FF"/>
              </w:rPr>
              <w:t xml:space="preserve">When is it a good idea to convert a </w:t>
            </w:r>
            <w:r w:rsidR="000D6599" w:rsidRPr="00813D5C">
              <w:rPr>
                <w:color w:val="0000FF"/>
              </w:rPr>
              <w:t>T</w:t>
            </w:r>
            <w:r w:rsidRPr="00813D5C">
              <w:rPr>
                <w:color w:val="0000FF"/>
              </w:rPr>
              <w:t xml:space="preserve">raditional IRA or qualified plan account to a Roth IRA? </w:t>
            </w:r>
          </w:p>
          <w:p w14:paraId="348061F8" w14:textId="412C039B" w:rsidR="00E92353" w:rsidRPr="00813D5C" w:rsidRDefault="00E92353" w:rsidP="00E92353">
            <w:pPr>
              <w:rPr>
                <w:color w:val="0000FF"/>
              </w:rPr>
            </w:pPr>
            <w:r w:rsidRPr="00813D5C">
              <w:rPr>
                <w:color w:val="0000FF"/>
              </w:rPr>
              <w:t xml:space="preserve">Conventional wisdom tells us that it’s only a question of income tax rates. If income tax rates will be higher in the future than they are today, then your client </w:t>
            </w:r>
            <w:r w:rsidR="00797803" w:rsidRPr="00813D5C">
              <w:rPr>
                <w:color w:val="0000FF"/>
              </w:rPr>
              <w:t xml:space="preserve">probably </w:t>
            </w:r>
            <w:r w:rsidRPr="00813D5C">
              <w:rPr>
                <w:color w:val="0000FF"/>
              </w:rPr>
              <w:t xml:space="preserve">should convert. If income tax rates today are </w:t>
            </w:r>
            <w:r w:rsidR="00B40B70" w:rsidRPr="00813D5C">
              <w:rPr>
                <w:color w:val="0000FF"/>
              </w:rPr>
              <w:t xml:space="preserve">significantly </w:t>
            </w:r>
            <w:r w:rsidRPr="00813D5C">
              <w:rPr>
                <w:color w:val="0000FF"/>
              </w:rPr>
              <w:t xml:space="preserve">higher than expected future rates, then your client </w:t>
            </w:r>
            <w:r w:rsidR="00797803" w:rsidRPr="00813D5C">
              <w:rPr>
                <w:color w:val="0000FF"/>
              </w:rPr>
              <w:t xml:space="preserve">probably </w:t>
            </w:r>
            <w:r w:rsidRPr="00813D5C">
              <w:rPr>
                <w:color w:val="0000FF"/>
              </w:rPr>
              <w:t xml:space="preserve">should not convert. </w:t>
            </w:r>
          </w:p>
          <w:p w14:paraId="3C3B4534" w14:textId="31A4C0E2" w:rsidR="00E92353" w:rsidRPr="00813D5C" w:rsidRDefault="00E92353" w:rsidP="00E92353">
            <w:pPr>
              <w:rPr>
                <w:color w:val="0000FF"/>
              </w:rPr>
            </w:pPr>
            <w:r w:rsidRPr="00813D5C">
              <w:rPr>
                <w:color w:val="0000FF"/>
              </w:rPr>
              <w:t xml:space="preserve">We respectfully suggest that the wisest decision requires a more sophisticated analysis. </w:t>
            </w:r>
            <w:r w:rsidR="006871FA" w:rsidRPr="00813D5C">
              <w:rPr>
                <w:color w:val="0000FF"/>
              </w:rPr>
              <w:t>As you consider the ideas presented in this discussion, you may find that conventional wisdom isn’t wrong</w:t>
            </w:r>
            <w:r w:rsidR="000D6599" w:rsidRPr="00813D5C">
              <w:rPr>
                <w:color w:val="0000FF"/>
              </w:rPr>
              <w:t xml:space="preserve"> - </w:t>
            </w:r>
            <w:r w:rsidR="006871FA" w:rsidRPr="00813D5C">
              <w:rPr>
                <w:color w:val="0000FF"/>
              </w:rPr>
              <w:t xml:space="preserve">it’s merely incomplete! </w:t>
            </w:r>
          </w:p>
          <w:p w14:paraId="1C12DA61" w14:textId="7D3B5521" w:rsidR="00E92353" w:rsidRPr="00813D5C" w:rsidRDefault="00E92353" w:rsidP="00E92353">
            <w:pPr>
              <w:rPr>
                <w:color w:val="0000FF"/>
              </w:rPr>
            </w:pPr>
            <w:r w:rsidRPr="00813D5C">
              <w:rPr>
                <w:color w:val="0000FF"/>
              </w:rPr>
              <w:t xml:space="preserve">For example, consider your own situation. </w:t>
            </w:r>
            <w:r w:rsidRPr="00813D5C">
              <w:rPr>
                <w:color w:val="0000FF"/>
              </w:rPr>
              <w:lastRenderedPageBreak/>
              <w:t>Clearly</w:t>
            </w:r>
            <w:r w:rsidR="000D6599" w:rsidRPr="00813D5C">
              <w:rPr>
                <w:color w:val="0000FF"/>
              </w:rPr>
              <w:t>,</w:t>
            </w:r>
            <w:r w:rsidRPr="00813D5C">
              <w:rPr>
                <w:color w:val="0000FF"/>
              </w:rPr>
              <w:t xml:space="preserve"> you would pay income tax on any untaxed amounts at conversion. But, how will conversion affect other tax issues in the conversion year? Will your adjusted gross income rise so high that you’ll have to pay the 3.8% net investment income tax or lose income tax deductions?</w:t>
            </w:r>
          </w:p>
        </w:tc>
        <w:tc>
          <w:tcPr>
            <w:tcW w:w="4590" w:type="dxa"/>
            <w:shd w:val="clear" w:color="auto" w:fill="EEECE1"/>
          </w:tcPr>
          <w:p w14:paraId="47C11E21" w14:textId="77777777" w:rsidR="00E92353" w:rsidRDefault="00E92353" w:rsidP="00E92353">
            <w:pPr>
              <w:pStyle w:val="ListParagraph"/>
              <w:ind w:left="0"/>
              <w:rPr>
                <w:rFonts w:eastAsia="Arial Unicode MS"/>
                <w:b/>
                <w:color w:val="0000FF"/>
              </w:rPr>
            </w:pPr>
            <w:r w:rsidRPr="00E92353">
              <w:rPr>
                <w:rFonts w:eastAsia="Arial Unicode MS"/>
                <w:b/>
                <w:color w:val="0000FF"/>
              </w:rPr>
              <w:lastRenderedPageBreak/>
              <w:t>When to Convert to a Roth IRA?</w:t>
            </w:r>
          </w:p>
          <w:p w14:paraId="56ADC3A9" w14:textId="77777777" w:rsidR="00045E7F" w:rsidRDefault="00045E7F" w:rsidP="00E92353">
            <w:pPr>
              <w:pStyle w:val="ListParagraph"/>
              <w:ind w:left="0"/>
              <w:rPr>
                <w:rFonts w:eastAsia="Arial Unicode MS"/>
                <w:b/>
                <w:color w:val="0000FF"/>
              </w:rPr>
            </w:pPr>
          </w:p>
          <w:p w14:paraId="633804E8" w14:textId="77777777" w:rsidR="00045E7F" w:rsidRDefault="00045E7F" w:rsidP="00E92353">
            <w:pPr>
              <w:pStyle w:val="ListParagraph"/>
              <w:ind w:left="0"/>
              <w:rPr>
                <w:rFonts w:eastAsia="Arial Unicode MS"/>
                <w:b/>
                <w:color w:val="0000FF"/>
              </w:rPr>
            </w:pPr>
          </w:p>
          <w:p w14:paraId="2BF139BF" w14:textId="77777777" w:rsidR="00045E7F" w:rsidRDefault="00045E7F" w:rsidP="00E92353">
            <w:pPr>
              <w:pStyle w:val="ListParagraph"/>
              <w:ind w:left="0"/>
              <w:rPr>
                <w:rFonts w:eastAsia="Arial Unicode MS"/>
                <w:b/>
                <w:color w:val="0000FF"/>
              </w:rPr>
            </w:pPr>
            <w:r>
              <w:rPr>
                <w:rFonts w:eastAsia="Arial Unicode MS"/>
                <w:b/>
                <w:color w:val="0000FF"/>
              </w:rPr>
              <w:t>Conventional Wisdom – it is all about the tax rates</w:t>
            </w:r>
          </w:p>
          <w:p w14:paraId="3D4153A4" w14:textId="77777777" w:rsidR="00045E7F" w:rsidRDefault="00045E7F" w:rsidP="00E92353">
            <w:pPr>
              <w:pStyle w:val="ListParagraph"/>
              <w:ind w:left="0"/>
              <w:rPr>
                <w:rFonts w:eastAsia="Arial Unicode MS"/>
                <w:b/>
                <w:color w:val="0000FF"/>
              </w:rPr>
            </w:pPr>
          </w:p>
          <w:p w14:paraId="44F7FD59" w14:textId="77777777" w:rsidR="00045E7F" w:rsidRDefault="00045E7F" w:rsidP="00E92353">
            <w:pPr>
              <w:pStyle w:val="ListParagraph"/>
              <w:ind w:left="0"/>
              <w:rPr>
                <w:rFonts w:eastAsia="Arial Unicode MS"/>
                <w:b/>
                <w:color w:val="0000FF"/>
              </w:rPr>
            </w:pPr>
            <w:r>
              <w:rPr>
                <w:rFonts w:eastAsia="Arial Unicode MS"/>
                <w:b/>
                <w:color w:val="0000FF"/>
              </w:rPr>
              <w:t>Wisest decision – requires a more sophisticated analysis</w:t>
            </w:r>
          </w:p>
          <w:p w14:paraId="78BF1DBD" w14:textId="77777777" w:rsidR="00045E7F" w:rsidRDefault="00045E7F" w:rsidP="00E92353">
            <w:pPr>
              <w:pStyle w:val="ListParagraph"/>
              <w:ind w:left="0"/>
              <w:rPr>
                <w:rFonts w:eastAsia="Arial Unicode MS"/>
                <w:b/>
                <w:color w:val="0000FF"/>
              </w:rPr>
            </w:pPr>
          </w:p>
          <w:p w14:paraId="56E4D6C4" w14:textId="77777777" w:rsidR="00045E7F" w:rsidRDefault="00045E7F" w:rsidP="00E92353">
            <w:pPr>
              <w:pStyle w:val="ListParagraph"/>
              <w:ind w:left="0"/>
              <w:rPr>
                <w:rFonts w:eastAsia="Arial Unicode MS"/>
                <w:b/>
                <w:color w:val="0000FF"/>
              </w:rPr>
            </w:pPr>
            <w:r>
              <w:rPr>
                <w:rFonts w:eastAsia="Arial Unicode MS"/>
                <w:b/>
                <w:color w:val="0000FF"/>
              </w:rPr>
              <w:t>Consider Your Own Situation</w:t>
            </w:r>
          </w:p>
          <w:p w14:paraId="1A508EF0" w14:textId="33F103AD" w:rsidR="00045E7F" w:rsidRPr="00045E7F" w:rsidRDefault="00045E7F" w:rsidP="00045E7F">
            <w:pPr>
              <w:pStyle w:val="ListParagraph"/>
              <w:numPr>
                <w:ilvl w:val="0"/>
                <w:numId w:val="13"/>
              </w:numPr>
              <w:rPr>
                <w:rFonts w:eastAsia="Arial Unicode MS"/>
                <w:b/>
                <w:color w:val="0000FF"/>
              </w:rPr>
            </w:pPr>
            <w:r>
              <w:rPr>
                <w:rFonts w:eastAsia="Arial Unicode MS"/>
                <w:b/>
                <w:color w:val="0000FF"/>
              </w:rPr>
              <w:t>Will conversion income cause other tax issues or cause the loss of deductions or credits?</w:t>
            </w:r>
          </w:p>
        </w:tc>
      </w:tr>
    </w:tbl>
    <w:p w14:paraId="1E473A32" w14:textId="4F33D015" w:rsidR="00E92353" w:rsidRDefault="00E92353" w:rsidP="00E92353">
      <w:pPr>
        <w:rPr>
          <w:rFonts w:ascii="Arial" w:hAnsi="Arial"/>
        </w:rPr>
      </w:pPr>
    </w:p>
    <w:p w14:paraId="359CE8CB" w14:textId="10344BD4" w:rsidR="00DA6CBB" w:rsidRPr="00834CAF" w:rsidRDefault="00AC40A8" w:rsidP="004344CA">
      <w:r w:rsidRPr="001F3D42">
        <w:t>This is one of the major decisi</w:t>
      </w:r>
      <w:r w:rsidR="00E22058" w:rsidRPr="00077E21">
        <w:t>ons that clients routinely face and merits a close</w:t>
      </w:r>
      <w:r w:rsidR="00034546">
        <w:t>r</w:t>
      </w:r>
      <w:r w:rsidR="00E22058" w:rsidRPr="00077E21">
        <w:t xml:space="preserve"> examination.</w:t>
      </w:r>
      <w:r w:rsidRPr="001F3D42">
        <w:t xml:space="preserve"> </w:t>
      </w:r>
      <w:r w:rsidR="00D94923">
        <w:t>We will approach this decision a</w:t>
      </w:r>
      <w:r w:rsidR="000D6599">
        <w:t xml:space="preserve">s any other financial decision - </w:t>
      </w:r>
      <w:r w:rsidR="00D94923">
        <w:t xml:space="preserve">by comparing </w:t>
      </w:r>
      <w:r w:rsidR="00E22058">
        <w:t xml:space="preserve">benefits and costs. </w:t>
      </w:r>
      <w:r w:rsidR="00D94923">
        <w:t xml:space="preserve">Specifically, our discussion will </w:t>
      </w:r>
      <w:r w:rsidR="002D2FA7">
        <w:t>begin with an overview followed by an analysis of significant factors in the conversion decision</w:t>
      </w:r>
      <w:r w:rsidR="00D94923">
        <w:t>.</w:t>
      </w:r>
    </w:p>
    <w:p w14:paraId="7C1C6E40" w14:textId="414DD05E" w:rsidR="002D2FA7" w:rsidRDefault="00712C87" w:rsidP="00822DE7">
      <w:pPr>
        <w:numPr>
          <w:ilvl w:val="0"/>
          <w:numId w:val="13"/>
        </w:numPr>
      </w:pPr>
      <w:r>
        <w:t>Overview</w:t>
      </w:r>
      <w:r w:rsidR="00923C07">
        <w:t xml:space="preserve"> </w:t>
      </w:r>
    </w:p>
    <w:p w14:paraId="6CB90EFE" w14:textId="4CF21D12" w:rsidR="00A23A0B" w:rsidRDefault="002D2FA7">
      <w:pPr>
        <w:numPr>
          <w:ilvl w:val="0"/>
          <w:numId w:val="13"/>
        </w:numPr>
      </w:pPr>
      <w:r>
        <w:t>B</w:t>
      </w:r>
      <w:r w:rsidR="00A23A0B">
        <w:t>enefits of conver</w:t>
      </w:r>
      <w:r w:rsidR="00923C07">
        <w:t>sion</w:t>
      </w:r>
    </w:p>
    <w:p w14:paraId="128105F6" w14:textId="38085F6B" w:rsidR="0038573D" w:rsidRDefault="002D2FA7" w:rsidP="00822DE7">
      <w:pPr>
        <w:numPr>
          <w:ilvl w:val="0"/>
          <w:numId w:val="13"/>
        </w:numPr>
      </w:pPr>
      <w:r>
        <w:t>C</w:t>
      </w:r>
      <w:r w:rsidR="00A23A0B">
        <w:t>osts of conversion</w:t>
      </w:r>
      <w:r w:rsidR="00DA6CBB">
        <w:t xml:space="preserve"> </w:t>
      </w:r>
    </w:p>
    <w:p w14:paraId="215C4C7E" w14:textId="6EA81FA0" w:rsidR="002D2FA7" w:rsidRDefault="002D2FA7" w:rsidP="00822DE7">
      <w:pPr>
        <w:numPr>
          <w:ilvl w:val="0"/>
          <w:numId w:val="13"/>
        </w:numPr>
      </w:pPr>
      <w:r>
        <w:t>L</w:t>
      </w:r>
      <w:r w:rsidR="006F5D00">
        <w:t xml:space="preserve">ife expectancy </w:t>
      </w:r>
    </w:p>
    <w:p w14:paraId="7ACE6031" w14:textId="42D23B87" w:rsidR="006E0CB6" w:rsidRDefault="002D2FA7" w:rsidP="00822DE7">
      <w:pPr>
        <w:numPr>
          <w:ilvl w:val="0"/>
          <w:numId w:val="13"/>
        </w:numPr>
      </w:pPr>
      <w:r>
        <w:t>Beneficiary designation</w:t>
      </w:r>
    </w:p>
    <w:p w14:paraId="5E36BDDF" w14:textId="77777777" w:rsidR="00AC40A8" w:rsidRDefault="00AC40A8" w:rsidP="001F3D42">
      <w:pPr>
        <w:pStyle w:val="Heading3"/>
      </w:pPr>
      <w:r w:rsidRPr="00834CAF">
        <w:t>Overvie</w:t>
      </w:r>
      <w:r>
        <w:t>w</w:t>
      </w:r>
    </w:p>
    <w:p w14:paraId="751F005B" w14:textId="77777777" w:rsidR="00AC40A8" w:rsidRDefault="00AC40A8" w:rsidP="00FC3F74">
      <w:r>
        <w:t xml:space="preserve">Your client may convert account balances from a </w:t>
      </w:r>
      <w:r w:rsidRPr="00DE2B9B">
        <w:rPr>
          <w:rStyle w:val="Hyperlink"/>
        </w:rPr>
        <w:t>broad range of account types</w:t>
      </w:r>
      <w:r>
        <w:t xml:space="preserve"> to a Roth IRA. The conversion results in inclusion of any </w:t>
      </w:r>
      <w:r w:rsidRPr="00DE2B9B">
        <w:rPr>
          <w:rStyle w:val="Hyperlink"/>
        </w:rPr>
        <w:t>untaxed amounts</w:t>
      </w:r>
      <w:r>
        <w:t xml:space="preserve"> into income. </w:t>
      </w:r>
    </w:p>
    <w:p w14:paraId="415D95ED" w14:textId="77777777" w:rsidR="00AC40A8" w:rsidRDefault="00AC40A8" w:rsidP="00FC3F7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AC40A8" w14:paraId="56A78391" w14:textId="77777777" w:rsidTr="004A1A31">
        <w:tc>
          <w:tcPr>
            <w:tcW w:w="9576" w:type="dxa"/>
            <w:shd w:val="clear" w:color="auto" w:fill="D9D9D9"/>
          </w:tcPr>
          <w:p w14:paraId="3E4D6A1B" w14:textId="77777777" w:rsidR="00AC40A8" w:rsidRPr="00813D5C" w:rsidRDefault="00AC40A8" w:rsidP="004A1A31">
            <w:pPr>
              <w:rPr>
                <w:rStyle w:val="Hyperlink"/>
                <w:u w:val="none"/>
              </w:rPr>
            </w:pPr>
            <w:r w:rsidRPr="00813D5C">
              <w:rPr>
                <w:rStyle w:val="Hyperlink"/>
                <w:u w:val="none"/>
              </w:rPr>
              <w:t xml:space="preserve">Broad Range of Account Types </w:t>
            </w:r>
          </w:p>
          <w:p w14:paraId="3AEC72D0" w14:textId="62FFBC6A" w:rsidR="00AC40A8" w:rsidRDefault="00AC40A8" w:rsidP="004A1A31">
            <w:r>
              <w:t>The following account types are generally eligible</w:t>
            </w:r>
            <w:r w:rsidR="000D6599">
              <w:t xml:space="preserve"> for conversion into a Roth IRA:</w:t>
            </w:r>
          </w:p>
          <w:p w14:paraId="1BFD69B6" w14:textId="45B8AB4C" w:rsidR="00E22058" w:rsidRDefault="00034546" w:rsidP="00822DE7">
            <w:pPr>
              <w:numPr>
                <w:ilvl w:val="0"/>
                <w:numId w:val="63"/>
              </w:numPr>
            </w:pPr>
            <w:r>
              <w:t xml:space="preserve">Designated </w:t>
            </w:r>
            <w:r w:rsidR="00AC40A8">
              <w:t xml:space="preserve">Roth </w:t>
            </w:r>
            <w:r>
              <w:t xml:space="preserve">Accounts in </w:t>
            </w:r>
            <w:r w:rsidR="00AC40A8">
              <w:t>401(k)</w:t>
            </w:r>
            <w:r>
              <w:t>,</w:t>
            </w:r>
            <w:r w:rsidR="00AC40A8">
              <w:t xml:space="preserve"> Roth 403(b)</w:t>
            </w:r>
            <w:r>
              <w:t xml:space="preserve">, </w:t>
            </w:r>
            <w:r w:rsidR="00AC40A8">
              <w:t>and Roth 457</w:t>
            </w:r>
            <w:r w:rsidR="00E22058">
              <w:t>(b)</w:t>
            </w:r>
            <w:r w:rsidR="00AC40A8">
              <w:t xml:space="preserve"> </w:t>
            </w:r>
            <w:r w:rsidR="000D6599">
              <w:t>P</w:t>
            </w:r>
            <w:r w:rsidR="00B318B8">
              <w:t>lans</w:t>
            </w:r>
          </w:p>
          <w:p w14:paraId="63CD1DEB" w14:textId="77777777" w:rsidR="00AC40A8" w:rsidRDefault="00AC40A8" w:rsidP="00822DE7">
            <w:pPr>
              <w:numPr>
                <w:ilvl w:val="0"/>
                <w:numId w:val="63"/>
              </w:numPr>
            </w:pPr>
            <w:r>
              <w:t>Traditional IRAs</w:t>
            </w:r>
          </w:p>
          <w:p w14:paraId="4F01A00E" w14:textId="77777777" w:rsidR="00AC40A8" w:rsidRDefault="00B318B8" w:rsidP="00822DE7">
            <w:pPr>
              <w:numPr>
                <w:ilvl w:val="0"/>
                <w:numId w:val="63"/>
              </w:numPr>
            </w:pPr>
            <w:r>
              <w:t xml:space="preserve">SEP IRAs and </w:t>
            </w:r>
            <w:r w:rsidR="00AC40A8">
              <w:t xml:space="preserve">SIMPLE IRAs (subject to the </w:t>
            </w:r>
            <w:r w:rsidR="00AC40A8" w:rsidRPr="00DE2B9B">
              <w:rPr>
                <w:rStyle w:val="Hyperlink"/>
              </w:rPr>
              <w:t>two</w:t>
            </w:r>
            <w:r w:rsidR="00AC40A8">
              <w:rPr>
                <w:rStyle w:val="Hyperlink"/>
              </w:rPr>
              <w:t>-</w:t>
            </w:r>
            <w:r w:rsidR="00AC40A8" w:rsidRPr="00DE2B9B">
              <w:rPr>
                <w:rStyle w:val="Hyperlink"/>
              </w:rPr>
              <w:t>year rule</w:t>
            </w:r>
            <w:r w:rsidR="00AC40A8">
              <w:t>)</w:t>
            </w:r>
          </w:p>
          <w:p w14:paraId="0C661135" w14:textId="7ECC5976" w:rsidR="00AC40A8" w:rsidRDefault="00E22058" w:rsidP="00822DE7">
            <w:pPr>
              <w:numPr>
                <w:ilvl w:val="0"/>
                <w:numId w:val="63"/>
              </w:numPr>
            </w:pPr>
            <w:r>
              <w:t xml:space="preserve">Non-Roth Accounts in </w:t>
            </w:r>
            <w:r w:rsidR="00AC40A8">
              <w:t xml:space="preserve">Qualified </w:t>
            </w:r>
            <w:r w:rsidR="000D6599">
              <w:t>P</w:t>
            </w:r>
            <w:r w:rsidR="00AC40A8">
              <w:t>lans</w:t>
            </w:r>
            <w:r w:rsidR="000D6599">
              <w:t xml:space="preserve"> and 403(b) P</w:t>
            </w:r>
            <w:r w:rsidR="00B318B8">
              <w:t>lans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AC40A8" w14:paraId="3C708D91" w14:textId="77777777" w:rsidTr="004A1A31">
              <w:tc>
                <w:tcPr>
                  <w:tcW w:w="9345" w:type="dxa"/>
                  <w:shd w:val="clear" w:color="auto" w:fill="F2F2F2"/>
                </w:tcPr>
                <w:p w14:paraId="42AEC2BF" w14:textId="77777777" w:rsidR="00AC40A8" w:rsidRPr="00813D5C" w:rsidRDefault="00AC40A8" w:rsidP="004A1A31">
                  <w:pPr>
                    <w:rPr>
                      <w:rStyle w:val="Hyperlink"/>
                      <w:u w:val="none"/>
                    </w:rPr>
                  </w:pPr>
                  <w:r w:rsidRPr="00813D5C">
                    <w:rPr>
                      <w:rStyle w:val="Hyperlink"/>
                      <w:u w:val="none"/>
                    </w:rPr>
                    <w:t>Two-Year Rule</w:t>
                  </w:r>
                </w:p>
                <w:p w14:paraId="4571DE78" w14:textId="77777777" w:rsidR="00AC40A8" w:rsidRDefault="00AC40A8" w:rsidP="004A1A31">
                  <w:r>
                    <w:t xml:space="preserve">SIMPLE IRAs may not be converted, transferred, or rolled into a Traditional IRA, Roth IRA, or SEP IRA during the first two years of the SIMPLE IRA. The two-year period begins with the first employer contribution to the employee’s SIMPLE IRA. The two-year rule prevents circumvention of the 25% SIMPLE IRA premature distribution penalty. If conversions of a SIMPLE IRA were allowed during the first two years, taxpayers would merely convert to other accounts in which the premature distribution penalty is only 10%. </w:t>
                  </w:r>
                </w:p>
              </w:tc>
            </w:tr>
          </w:tbl>
          <w:p w14:paraId="44F3C3B3" w14:textId="77777777" w:rsidR="00AC40A8" w:rsidRPr="00275B02" w:rsidRDefault="00AC40A8" w:rsidP="004A1A31">
            <w:pPr>
              <w:ind w:left="720"/>
            </w:pPr>
          </w:p>
        </w:tc>
      </w:tr>
    </w:tbl>
    <w:p w14:paraId="736F2DD6" w14:textId="77777777" w:rsidR="00AC40A8" w:rsidRDefault="00AC40A8" w:rsidP="00FC3F74">
      <w:pPr>
        <w:spacing w:before="0" w:after="0"/>
      </w:pPr>
    </w:p>
    <w:p w14:paraId="0B3E549F" w14:textId="77777777" w:rsidR="00AC40A8" w:rsidRDefault="00AC40A8" w:rsidP="00FC3F7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AC40A8" w14:paraId="457F1CF7" w14:textId="77777777" w:rsidTr="004A1A31">
        <w:tc>
          <w:tcPr>
            <w:tcW w:w="9576" w:type="dxa"/>
            <w:shd w:val="clear" w:color="auto" w:fill="D9D9D9"/>
          </w:tcPr>
          <w:p w14:paraId="7140FE32" w14:textId="77777777" w:rsidR="00AC40A8" w:rsidRPr="00813D5C" w:rsidRDefault="00AC40A8" w:rsidP="004A1A31">
            <w:pPr>
              <w:rPr>
                <w:rStyle w:val="Hyperlink"/>
                <w:u w:val="none"/>
              </w:rPr>
            </w:pPr>
            <w:r w:rsidRPr="00813D5C">
              <w:rPr>
                <w:rStyle w:val="Hyperlink"/>
                <w:u w:val="none"/>
              </w:rPr>
              <w:t xml:space="preserve">Untaxed Amounts </w:t>
            </w:r>
          </w:p>
          <w:p w14:paraId="6564CB55" w14:textId="58905807" w:rsidR="00AC40A8" w:rsidRDefault="00AC40A8" w:rsidP="004A1A31">
            <w:r>
              <w:t xml:space="preserve">In converting </w:t>
            </w:r>
            <w:r w:rsidR="0038573D">
              <w:t xml:space="preserve">pretax </w:t>
            </w:r>
            <w:r>
              <w:t xml:space="preserve">funds to a Roth IRA, </w:t>
            </w:r>
            <w:r w:rsidRPr="00470E9A">
              <w:t xml:space="preserve">the owner is essentially making a withdrawal from </w:t>
            </w:r>
            <w:r w:rsidRPr="00470E9A">
              <w:lastRenderedPageBreak/>
              <w:t>the prior account, usually an early withdrawal</w:t>
            </w:r>
            <w:r w:rsidR="003C164F">
              <w:t xml:space="preserve"> </w:t>
            </w:r>
            <w:r>
              <w:t xml:space="preserve">(premature distribution). </w:t>
            </w:r>
            <w:r w:rsidRPr="00470E9A">
              <w:t>This would normally result in a 10% penalty</w:t>
            </w:r>
            <w:r>
              <w:t xml:space="preserve"> </w:t>
            </w:r>
            <w:r w:rsidRPr="00FF0342">
              <w:t>to the extent of the taxable portion of the conver</w:t>
            </w:r>
            <w:r w:rsidR="003C164F">
              <w:t>ted</w:t>
            </w:r>
            <w:r w:rsidRPr="00FF0342">
              <w:t xml:space="preserve"> funds.</w:t>
            </w:r>
            <w:r w:rsidRPr="00470E9A">
              <w:t xml:space="preserve"> However, no penalty is due if the owner meets the </w:t>
            </w:r>
            <w:r w:rsidRPr="008F3285">
              <w:rPr>
                <w:rStyle w:val="Hyperlink"/>
              </w:rPr>
              <w:t>requirements</w:t>
            </w:r>
            <w:r w:rsidRPr="00470E9A">
              <w:t xml:space="preserve"> in the tax year of the transfer</w:t>
            </w:r>
            <w:r>
              <w:t xml:space="preserve">. </w:t>
            </w:r>
            <w:r w:rsidRPr="00FF6C21">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AC40A8" w14:paraId="5EE51653" w14:textId="77777777" w:rsidTr="004A1A31">
              <w:tc>
                <w:tcPr>
                  <w:tcW w:w="9350" w:type="dxa"/>
                  <w:shd w:val="clear" w:color="auto" w:fill="F2F2F2"/>
                </w:tcPr>
                <w:p w14:paraId="66D96FCA" w14:textId="77777777" w:rsidR="00AC40A8" w:rsidRPr="000D6599" w:rsidRDefault="00AC40A8" w:rsidP="004A1A31">
                  <w:pPr>
                    <w:rPr>
                      <w:rStyle w:val="Hyperlink"/>
                      <w:u w:val="none"/>
                    </w:rPr>
                  </w:pPr>
                  <w:r w:rsidRPr="000D6599">
                    <w:rPr>
                      <w:rStyle w:val="Hyperlink"/>
                      <w:u w:val="none"/>
                    </w:rPr>
                    <w:t xml:space="preserve">Requirements </w:t>
                  </w:r>
                </w:p>
                <w:p w14:paraId="3EA29883" w14:textId="782C558B" w:rsidR="00AC40A8" w:rsidRDefault="00AC40A8" w:rsidP="00822DE7">
                  <w:pPr>
                    <w:numPr>
                      <w:ilvl w:val="0"/>
                      <w:numId w:val="60"/>
                    </w:numPr>
                  </w:pPr>
                  <w:r>
                    <w:t>The conversion is a direct trustee-to-trustee transfer</w:t>
                  </w:r>
                  <w:r w:rsidR="000D6599">
                    <w:t>,</w:t>
                  </w:r>
                  <w:r>
                    <w:t xml:space="preserve"> or </w:t>
                  </w:r>
                </w:p>
                <w:p w14:paraId="7EC1A44A" w14:textId="57DAB16D" w:rsidR="003E547B" w:rsidRDefault="00AC40A8" w:rsidP="00822DE7">
                  <w:pPr>
                    <w:numPr>
                      <w:ilvl w:val="0"/>
                      <w:numId w:val="60"/>
                    </w:numPr>
                  </w:pPr>
                  <w:r>
                    <w:t>If a rollover, the rollover is completed within 60 days</w:t>
                  </w:r>
                  <w:r w:rsidR="000D6599">
                    <w:t>.</w:t>
                  </w:r>
                </w:p>
                <w:p w14:paraId="65C8AEC1" w14:textId="4A978964" w:rsidR="003E547B" w:rsidRPr="00275B02" w:rsidRDefault="003E547B" w:rsidP="000D6599">
                  <w:r>
                    <w:t xml:space="preserve">An unlimited number of trustee-to-trustee transfers </w:t>
                  </w:r>
                  <w:r w:rsidR="000D6599">
                    <w:t>are</w:t>
                  </w:r>
                  <w:r>
                    <w:t xml:space="preserve"> allowed per year. Only one rollover per year is permitted. </w:t>
                  </w:r>
                </w:p>
              </w:tc>
            </w:tr>
          </w:tbl>
          <w:p w14:paraId="159663CB" w14:textId="77777777" w:rsidR="00AC40A8" w:rsidRPr="00275B02" w:rsidRDefault="00AC40A8" w:rsidP="004A1A31"/>
        </w:tc>
      </w:tr>
    </w:tbl>
    <w:p w14:paraId="38870EBE" w14:textId="77777777" w:rsidR="00AC40A8" w:rsidRDefault="00AC40A8" w:rsidP="00FC3F74">
      <w:pPr>
        <w:spacing w:before="0" w:after="0"/>
      </w:pPr>
    </w:p>
    <w:p w14:paraId="304D4ECA" w14:textId="77777777" w:rsidR="0038573D" w:rsidRDefault="0038573D" w:rsidP="00FC3F74">
      <w:pPr>
        <w:spacing w:before="0" w:after="0"/>
      </w:pPr>
      <w:r>
        <w:t>This is how untaxed amounts are included in income for the year of conversion.</w:t>
      </w:r>
    </w:p>
    <w:p w14:paraId="20D464F7" w14:textId="77777777" w:rsidR="00AC40A8" w:rsidRDefault="00AC40A8" w:rsidP="00FC3F7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ook w:val="04A0" w:firstRow="1" w:lastRow="0" w:firstColumn="1" w:lastColumn="0" w:noHBand="0" w:noVBand="1"/>
      </w:tblPr>
      <w:tblGrid>
        <w:gridCol w:w="9576"/>
      </w:tblGrid>
      <w:tr w:rsidR="00AC40A8" w14:paraId="5E3B6B9F" w14:textId="77777777" w:rsidTr="000D6599">
        <w:tc>
          <w:tcPr>
            <w:tcW w:w="9576" w:type="dxa"/>
            <w:shd w:val="clear" w:color="auto" w:fill="FBD4B4" w:themeFill="accent6" w:themeFillTint="66"/>
          </w:tcPr>
          <w:p w14:paraId="0F321972" w14:textId="77777777" w:rsidR="00AC40A8" w:rsidRPr="00FC15DC" w:rsidRDefault="00AC40A8" w:rsidP="004A1A31">
            <w:pPr>
              <w:rPr>
                <w:rStyle w:val="Strong"/>
              </w:rPr>
            </w:pPr>
            <w:r w:rsidRPr="00FC15DC">
              <w:rPr>
                <w:rStyle w:val="Strong"/>
              </w:rPr>
              <w:t>Taxation of Rollovers/Conversions into a Roth IRA</w:t>
            </w:r>
          </w:p>
          <w:p w14:paraId="1006E95B" w14:textId="77777777" w:rsidR="00AC40A8" w:rsidRPr="007A4AD9" w:rsidRDefault="00AC40A8" w:rsidP="004A1A31">
            <w:pPr>
              <w:rPr>
                <w:rStyle w:val="Strong"/>
                <w:i/>
              </w:rPr>
            </w:pPr>
            <w:r w:rsidRPr="007A4AD9">
              <w:rPr>
                <w:rStyle w:val="Strong"/>
                <w:i/>
              </w:rPr>
              <w:t>Taxable Portion includes:</w:t>
            </w:r>
          </w:p>
          <w:p w14:paraId="743311B6" w14:textId="77777777" w:rsidR="00AC40A8" w:rsidRDefault="00AC40A8" w:rsidP="00822DE7">
            <w:pPr>
              <w:numPr>
                <w:ilvl w:val="0"/>
                <w:numId w:val="61"/>
              </w:numPr>
            </w:pPr>
            <w:r w:rsidRPr="00267D41">
              <w:t xml:space="preserve">Deductible (or pre-tax) contributions </w:t>
            </w:r>
          </w:p>
          <w:p w14:paraId="663B6229" w14:textId="77777777" w:rsidR="00AC40A8" w:rsidRPr="00267D41" w:rsidRDefault="00AC40A8" w:rsidP="00822DE7">
            <w:pPr>
              <w:numPr>
                <w:ilvl w:val="0"/>
                <w:numId w:val="61"/>
              </w:numPr>
            </w:pPr>
            <w:r w:rsidRPr="00267D41">
              <w:t xml:space="preserve">Earnings on both deductible and nondeductible contributions </w:t>
            </w:r>
          </w:p>
          <w:p w14:paraId="0F31A03B" w14:textId="77777777" w:rsidR="00AC40A8" w:rsidRPr="007A4AD9" w:rsidRDefault="00AC40A8" w:rsidP="004A1A31">
            <w:pPr>
              <w:rPr>
                <w:rStyle w:val="Strong"/>
                <w:i/>
              </w:rPr>
            </w:pPr>
            <w:r w:rsidRPr="007A4AD9">
              <w:rPr>
                <w:rStyle w:val="Strong"/>
                <w:i/>
              </w:rPr>
              <w:t>Nontaxable Portion</w:t>
            </w:r>
          </w:p>
          <w:p w14:paraId="7DDCA908" w14:textId="77777777" w:rsidR="00AC40A8" w:rsidRPr="00267D41" w:rsidRDefault="00AC40A8" w:rsidP="004A1A31">
            <w:r w:rsidRPr="00267D41">
              <w:t>The nontaxable portion consists of:</w:t>
            </w:r>
          </w:p>
          <w:p w14:paraId="154DA18D" w14:textId="77777777" w:rsidR="00AC40A8" w:rsidRPr="00C452B9" w:rsidRDefault="00AC40A8" w:rsidP="00822DE7">
            <w:pPr>
              <w:numPr>
                <w:ilvl w:val="0"/>
                <w:numId w:val="62"/>
              </w:numPr>
            </w:pPr>
            <w:r w:rsidRPr="00267D41">
              <w:t>Nondeductible (or after-tax) contributi</w:t>
            </w:r>
            <w:r>
              <w:t>ons made to the Traditional IRA</w:t>
            </w:r>
          </w:p>
        </w:tc>
      </w:tr>
    </w:tbl>
    <w:p w14:paraId="289CA4F4" w14:textId="3B701FDF" w:rsidR="00AC40A8" w:rsidRPr="00EB3B00" w:rsidRDefault="00EB3B00" w:rsidP="00FC3F74">
      <w:pPr>
        <w:rPr>
          <w:b/>
          <w:color w:val="FF0000"/>
        </w:rPr>
      </w:pPr>
      <w:r w:rsidRPr="00EB3B00">
        <w:rPr>
          <w:b/>
          <w:color w:val="FF0000"/>
        </w:rPr>
        <w:t xml:space="preserve">Click </w:t>
      </w:r>
      <w:r w:rsidRPr="00EB3B00">
        <w:rPr>
          <w:rStyle w:val="Hyperlink"/>
        </w:rPr>
        <w:t>here</w:t>
      </w:r>
      <w:r w:rsidRPr="00EB3B00">
        <w:rPr>
          <w:b/>
          <w:color w:val="FF0000"/>
        </w:rPr>
        <w:t xml:space="preserve"> for examples of Roth IRA conversions.</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576"/>
      </w:tblGrid>
      <w:tr w:rsidR="00AC40A8" w:rsidRPr="0066577B" w14:paraId="4014A3EC" w14:textId="77777777" w:rsidTr="00EB3B00">
        <w:tc>
          <w:tcPr>
            <w:tcW w:w="9576" w:type="dxa"/>
            <w:shd w:val="clear" w:color="auto" w:fill="D9D9D9" w:themeFill="background1" w:themeFillShade="D9"/>
          </w:tcPr>
          <w:p w14:paraId="1C70F797" w14:textId="77777777" w:rsidR="00AC40A8" w:rsidRPr="00632D42" w:rsidRDefault="00AC40A8" w:rsidP="004A1A31">
            <w:pPr>
              <w:rPr>
                <w:b/>
              </w:rPr>
            </w:pPr>
            <w:r w:rsidRPr="00632D42">
              <w:rPr>
                <w:b/>
              </w:rPr>
              <w:t>Roth IRA Conversion Example</w:t>
            </w:r>
            <w:r w:rsidR="00F114CC">
              <w:rPr>
                <w:b/>
              </w:rPr>
              <w:t>s</w:t>
            </w:r>
          </w:p>
          <w:p w14:paraId="34D71241" w14:textId="77777777" w:rsidR="00F114CC" w:rsidRPr="000D6599" w:rsidRDefault="00F114CC" w:rsidP="001F3D42">
            <w:pPr>
              <w:rPr>
                <w:b/>
              </w:rPr>
            </w:pPr>
            <w:r w:rsidRPr="000D6599">
              <w:rPr>
                <w:b/>
              </w:rPr>
              <w:t>Example 1 – Conversion from a Qualified Plan</w:t>
            </w:r>
          </w:p>
          <w:p w14:paraId="39E41C82" w14:textId="348DE115" w:rsidR="00F114CC" w:rsidRDefault="00AC40A8" w:rsidP="001F3D42">
            <w:r w:rsidRPr="003C03E2">
              <w:t>Your client George (</w:t>
            </w:r>
            <w:r w:rsidRPr="000E7497">
              <w:t xml:space="preserve">45 years of age) just </w:t>
            </w:r>
            <w:r w:rsidRPr="008A28AE">
              <w:t xml:space="preserve">accepted a position with a </w:t>
            </w:r>
            <w:r w:rsidRPr="00010808">
              <w:t xml:space="preserve">new employer. </w:t>
            </w:r>
            <w:r w:rsidR="006871FA" w:rsidRPr="00010808">
              <w:t>George has</w:t>
            </w:r>
            <w:r w:rsidRPr="00010808">
              <w:t xml:space="preserve"> $500,000 in </w:t>
            </w:r>
            <w:r w:rsidR="000D6599">
              <w:t>his previous employer’s 401(k) P</w:t>
            </w:r>
            <w:r w:rsidRPr="00010808">
              <w:t xml:space="preserve">lan. </w:t>
            </w:r>
            <w:r w:rsidR="00972AAD">
              <w:t>George made no after-t</w:t>
            </w:r>
            <w:r w:rsidR="000D6599">
              <w:t>ax contributions to the 401(k) P</w:t>
            </w:r>
            <w:r w:rsidR="00972AAD">
              <w:t>lan. He</w:t>
            </w:r>
            <w:r w:rsidRPr="00010808">
              <w:t xml:space="preserve"> is in your office and asks </w:t>
            </w:r>
            <w:r>
              <w:t>i</w:t>
            </w:r>
            <w:r w:rsidRPr="003C03E2">
              <w:t xml:space="preserve">f he should roll the $500,000 </w:t>
            </w:r>
            <w:r w:rsidRPr="000E7497">
              <w:t xml:space="preserve">into a </w:t>
            </w:r>
            <w:r w:rsidR="003C164F">
              <w:t>Roth IRA.</w:t>
            </w:r>
            <w:r w:rsidRPr="000E7497">
              <w:t xml:space="preserve"> </w:t>
            </w:r>
            <w:r>
              <w:t xml:space="preserve">His current income tax rate is 25%. If he converts to a Roth IRA, the additional income tax payable due to the conversion will be $137,000. </w:t>
            </w:r>
          </w:p>
          <w:p w14:paraId="7F267958" w14:textId="4A5DC72E" w:rsidR="00F114CC" w:rsidRPr="000D6599" w:rsidRDefault="000D6599" w:rsidP="00F114CC">
            <w:pPr>
              <w:rPr>
                <w:b/>
              </w:rPr>
            </w:pPr>
            <w:r>
              <w:rPr>
                <w:b/>
              </w:rPr>
              <w:t>Example 2 – Conversion from a N</w:t>
            </w:r>
            <w:r w:rsidR="00F114CC" w:rsidRPr="000D6599">
              <w:rPr>
                <w:b/>
              </w:rPr>
              <w:t>ondeductible Traditional IRA</w:t>
            </w:r>
          </w:p>
          <w:p w14:paraId="020A282C" w14:textId="3BD571D5" w:rsidR="0038573D" w:rsidRDefault="00F114CC" w:rsidP="001F3D42">
            <w:r w:rsidRPr="003C03E2">
              <w:t>Your client George (</w:t>
            </w:r>
            <w:r w:rsidRPr="000E7497">
              <w:t xml:space="preserve">45 years of age) </w:t>
            </w:r>
            <w:r w:rsidR="000D6599">
              <w:t>owns a N</w:t>
            </w:r>
            <w:r>
              <w:t xml:space="preserve">ondeductible Traditional IRA with an account balance of </w:t>
            </w:r>
            <w:r w:rsidRPr="00010808">
              <w:t>$500,000</w:t>
            </w:r>
            <w:r>
              <w:t>. He contributed $120,000 i</w:t>
            </w:r>
            <w:r w:rsidR="000D6599">
              <w:t xml:space="preserve">n after-tax dollars to the IRA.  The amount taxable at conversion is </w:t>
            </w:r>
            <w:r>
              <w:t xml:space="preserve">$380,000. The income tax payable due to the conversion will be 25% of $380,000, or $95,000. </w:t>
            </w:r>
          </w:p>
          <w:p w14:paraId="5AB3D58F" w14:textId="39A450ED" w:rsidR="00F114CC" w:rsidRPr="003C03E2" w:rsidRDefault="000D6599" w:rsidP="000D6599">
            <w:r>
              <w:t xml:space="preserve">Noteworthy - </w:t>
            </w:r>
            <w:r w:rsidR="00EB3B00">
              <w:t>H</w:t>
            </w:r>
            <w:r w:rsidR="00F114CC">
              <w:t>ad George also owned deductible IRA ac</w:t>
            </w:r>
            <w:r w:rsidR="00EB3B00">
              <w:t>counts in E</w:t>
            </w:r>
            <w:r w:rsidR="00F114CC">
              <w:t>xample 2, the calculation would have been more complex and George would not have been able to exc</w:t>
            </w:r>
            <w:r w:rsidR="00EB3B00">
              <w:t>lude the full $120,000 in after-</w:t>
            </w:r>
            <w:r w:rsidR="00F114CC">
              <w:t>tax contributions from taxation at the conversion.</w:t>
            </w:r>
          </w:p>
        </w:tc>
      </w:tr>
    </w:tbl>
    <w:p w14:paraId="3900F6E0" w14:textId="0C306AD1" w:rsidR="00AC40A8" w:rsidRDefault="00D94923" w:rsidP="001F3D42">
      <w:pPr>
        <w:pStyle w:val="Heading3"/>
      </w:pPr>
      <w:r>
        <w:t>Benefits of Conversion</w:t>
      </w:r>
    </w:p>
    <w:p w14:paraId="1FA87CD6" w14:textId="6267FAC0" w:rsidR="003449FF" w:rsidRDefault="006F6920" w:rsidP="001F3D42">
      <w:r>
        <w:t>The promise of a</w:t>
      </w:r>
      <w:r w:rsidR="00972AAD">
        <w:t xml:space="preserve"> </w:t>
      </w:r>
      <w:r w:rsidR="0099226A">
        <w:t>tax-free</w:t>
      </w:r>
      <w:r w:rsidR="00972AAD">
        <w:t xml:space="preserve"> income </w:t>
      </w:r>
      <w:r>
        <w:t xml:space="preserve">stream is </w:t>
      </w:r>
      <w:r w:rsidR="00972AAD">
        <w:t xml:space="preserve">usually </w:t>
      </w:r>
      <w:r>
        <w:t xml:space="preserve">the </w:t>
      </w:r>
      <w:r w:rsidR="00B318B8">
        <w:t xml:space="preserve">first and </w:t>
      </w:r>
      <w:r w:rsidR="00972AAD">
        <w:t xml:space="preserve">primary </w:t>
      </w:r>
      <w:r w:rsidR="00B318B8">
        <w:t>driver</w:t>
      </w:r>
      <w:r>
        <w:t xml:space="preserve"> behind conversion of</w:t>
      </w:r>
      <w:r w:rsidR="00AC40A8">
        <w:t xml:space="preserve"> </w:t>
      </w:r>
      <w:r w:rsidR="00AA1EAB">
        <w:t xml:space="preserve">pretax </w:t>
      </w:r>
      <w:r w:rsidR="00AC40A8">
        <w:t xml:space="preserve">qualified plan or Traditional IRA accounts to a Roth IRA. </w:t>
      </w:r>
      <w:r w:rsidR="003449FF">
        <w:t>C</w:t>
      </w:r>
      <w:r w:rsidR="001C2617">
        <w:t xml:space="preserve">lients expecting to pay higher income tax rates in retirement </w:t>
      </w:r>
      <w:r w:rsidR="00463D81">
        <w:t xml:space="preserve">may </w:t>
      </w:r>
      <w:r w:rsidR="001C2617">
        <w:t>benefit from conversion</w:t>
      </w:r>
      <w:r w:rsidR="003449FF">
        <w:t>.</w:t>
      </w:r>
      <w:r w:rsidR="00463D81">
        <w:t xml:space="preserve"> </w:t>
      </w:r>
      <w:r w:rsidR="003449FF">
        <w:lastRenderedPageBreak/>
        <w:t xml:space="preserve">However, </w:t>
      </w:r>
      <w:r w:rsidR="00463D81">
        <w:t xml:space="preserve">as we will demonstrate subsequently, </w:t>
      </w:r>
      <w:r w:rsidR="003449FF">
        <w:t xml:space="preserve">even clients expecting income tax rates to remain the same or drop slightly may also benefit from conversion. </w:t>
      </w:r>
    </w:p>
    <w:p w14:paraId="5EEE4344" w14:textId="78A50C7E" w:rsidR="00AC40A8" w:rsidRPr="001F3D42" w:rsidRDefault="00463D81" w:rsidP="001F3D42">
      <w:r>
        <w:t>T</w:t>
      </w:r>
      <w:r w:rsidR="00AC40A8">
        <w:t xml:space="preserve">he flexibility to take or </w:t>
      </w:r>
      <w:r w:rsidR="00AC40A8" w:rsidRPr="00D32523">
        <w:rPr>
          <w:rStyle w:val="Hyperlink"/>
          <w:b w:val="0"/>
          <w:color w:val="auto"/>
          <w:u w:val="none"/>
        </w:rPr>
        <w:t>avoid Roth IRA distributio</w:t>
      </w:r>
      <w:r w:rsidR="00AC40A8" w:rsidRPr="0075566C">
        <w:rPr>
          <w:rStyle w:val="Hyperlink"/>
          <w:b w:val="0"/>
          <w:color w:val="auto"/>
          <w:u w:val="none"/>
        </w:rPr>
        <w:t>ns</w:t>
      </w:r>
      <w:r w:rsidR="00AC40A8">
        <w:t xml:space="preserve"> during retirement</w:t>
      </w:r>
      <w:r>
        <w:t xml:space="preserve"> is a second powerful benefit</w:t>
      </w:r>
      <w:r w:rsidR="00AC40A8">
        <w:t>.</w:t>
      </w:r>
      <w:r w:rsidR="006F6920">
        <w:t xml:space="preserve"> </w:t>
      </w:r>
    </w:p>
    <w:p w14:paraId="299468B3" w14:textId="7B0D9BCB" w:rsidR="00651E43" w:rsidRDefault="00463D81">
      <w:r>
        <w:t>A third set of benefits includes the potential reduction of other costs</w:t>
      </w:r>
      <w:r w:rsidR="00EB3B00">
        <w:t>,</w:t>
      </w:r>
      <w:r>
        <w:t xml:space="preserve"> such as </w:t>
      </w:r>
      <w:r w:rsidR="00C43D46">
        <w:t xml:space="preserve">income tax </w:t>
      </w:r>
      <w:r w:rsidR="00D94923">
        <w:t>on Social Security retirement b</w:t>
      </w:r>
      <w:r w:rsidR="004E3342">
        <w:t>enefits</w:t>
      </w:r>
      <w:r w:rsidR="001C2617">
        <w:t xml:space="preserve">, minimization of </w:t>
      </w:r>
      <w:r w:rsidR="00D94923">
        <w:t>the</w:t>
      </w:r>
      <w:r w:rsidR="004E3342">
        <w:t xml:space="preserve"> 3.8% Net Investment Income tax</w:t>
      </w:r>
      <w:r w:rsidR="001C2617">
        <w:t xml:space="preserve">, and </w:t>
      </w:r>
      <w:r w:rsidR="00C43D46">
        <w:t xml:space="preserve">reduction of certain </w:t>
      </w:r>
      <w:r w:rsidR="001C2617">
        <w:t>Medicare premiums</w:t>
      </w:r>
      <w:r w:rsidR="004E3342">
        <w:t>.</w:t>
      </w:r>
      <w:r w:rsidR="00DF1D00">
        <w:t xml:space="preserve"> We will provide additional detail on these opp</w:t>
      </w:r>
      <w:r w:rsidR="001C2617">
        <w:t xml:space="preserve">ortunities later in this course in </w:t>
      </w:r>
      <w:proofErr w:type="gramStart"/>
      <w:r w:rsidR="001C2617">
        <w:t>“</w:t>
      </w:r>
      <w:r w:rsidRPr="00463D81">
        <w:t xml:space="preserve"> </w:t>
      </w:r>
      <w:r>
        <w:t>Lowering</w:t>
      </w:r>
      <w:proofErr w:type="gramEnd"/>
      <w:r>
        <w:t xml:space="preserve"> AGI is a Good Thing - </w:t>
      </w:r>
      <w:r w:rsidRPr="000A2B22">
        <w:t xml:space="preserve">Roth IRA Unique </w:t>
      </w:r>
      <w:r w:rsidRPr="006C3645">
        <w:t>Planning Opportunities</w:t>
      </w:r>
      <w:r w:rsidR="0015482C">
        <w:t>.</w:t>
      </w:r>
      <w:r>
        <w:t>”</w:t>
      </w:r>
    </w:p>
    <w:p w14:paraId="3D816488" w14:textId="6C3EFCBD" w:rsidR="00D94923" w:rsidRDefault="00615913" w:rsidP="001F3D42">
      <w:pPr>
        <w:pStyle w:val="Heading3"/>
      </w:pPr>
      <w:r>
        <w:t>Costs</w:t>
      </w:r>
      <w:r w:rsidR="004E3342">
        <w:t xml:space="preserve"> of Conversion</w:t>
      </w:r>
    </w:p>
    <w:p w14:paraId="27FA9684" w14:textId="77777777" w:rsidR="00B318B8" w:rsidRDefault="004E3342" w:rsidP="004E3342">
      <w:r>
        <w:t xml:space="preserve">Income tax must be paid on any untaxed amounts for the year of conversion. </w:t>
      </w:r>
      <w:r w:rsidR="00904246">
        <w:t>However, the true tax cost may exceed merely the income tax payable on converted amounts. Because conversion may dramatically increase your client’s adjusted gross income in the conversion year, your client</w:t>
      </w:r>
      <w:r w:rsidR="00C917FB">
        <w:t>’s marginal tax rate may increase</w:t>
      </w:r>
      <w:r w:rsidR="006E0CB6">
        <w:t xml:space="preserve">. </w:t>
      </w:r>
    </w:p>
    <w:p w14:paraId="536D0903" w14:textId="77777777" w:rsidR="00904246" w:rsidRDefault="006E0CB6" w:rsidP="004E3342">
      <w:r>
        <w:t xml:space="preserve">If that were not enough, the increase to adjusted gross income may cause the reduction or loss of </w:t>
      </w:r>
      <w:r w:rsidR="00904246">
        <w:t>itemized deductions and exemption</w:t>
      </w:r>
      <w:r>
        <w:t xml:space="preserve">s under the </w:t>
      </w:r>
      <w:r w:rsidR="008B4631">
        <w:t>phase-out</w:t>
      </w:r>
      <w:r>
        <w:t xml:space="preserve"> rules governing those deductions.</w:t>
      </w:r>
      <w:r w:rsidR="00904246">
        <w:t xml:space="preserve"> Your client may also lose eligibility for education credits and student loan interest deductions. The moral of the story is that the income tax on the converted untaxed income may be just a part of the total tax cost!</w:t>
      </w:r>
    </w:p>
    <w:p w14:paraId="18FFA7BC" w14:textId="77777777" w:rsidR="000D07D8" w:rsidRPr="007746E2" w:rsidRDefault="00A630D9" w:rsidP="000D07D8">
      <w:pPr>
        <w:rPr>
          <w:rFonts w:ascii="Arial" w:hAnsi="Arial"/>
        </w:rPr>
      </w:pPr>
      <w:r>
        <w:rPr>
          <w:noProof/>
          <w:lang w:eastAsia="zh-CN"/>
        </w:rPr>
        <w:drawing>
          <wp:inline distT="0" distB="0" distL="0" distR="0" wp14:anchorId="26C2DEDB" wp14:editId="43C15C3D">
            <wp:extent cx="283210" cy="196215"/>
            <wp:effectExtent l="0" t="0" r="0" b="6985"/>
            <wp:docPr id="16" name="Picture 16"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st_tip_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10" cy="196215"/>
                    </a:xfrm>
                    <a:prstGeom prst="rect">
                      <a:avLst/>
                    </a:prstGeom>
                    <a:noFill/>
                    <a:ln>
                      <a:noFill/>
                    </a:ln>
                  </pic:spPr>
                </pic:pic>
              </a:graphicData>
            </a:graphic>
          </wp:inline>
        </w:drawing>
      </w:r>
      <w:r w:rsidR="000D07D8">
        <w:t xml:space="preserve">  </w:t>
      </w:r>
      <w:r w:rsidR="000D07D8" w:rsidRPr="007746E2">
        <w:rPr>
          <w:b/>
        </w:rPr>
        <w:t>Planning Tip</w:t>
      </w:r>
      <w:r w:rsidR="000D07D8">
        <w:rPr>
          <w:b/>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D07D8" w:rsidRPr="00120E33" w14:paraId="24961570" w14:textId="77777777" w:rsidTr="00A137D9">
        <w:trPr>
          <w:trHeight w:val="692"/>
        </w:trPr>
        <w:tc>
          <w:tcPr>
            <w:tcW w:w="9576" w:type="dxa"/>
            <w:shd w:val="clear" w:color="auto" w:fill="E7D9CF"/>
          </w:tcPr>
          <w:p w14:paraId="22D2A380" w14:textId="77777777" w:rsidR="000D07D8" w:rsidRDefault="000D07D8" w:rsidP="000D07D8">
            <w:r>
              <w:t>Conversion may be a multi-year process rather than a single year event. Spreading the conversion over a number of years may save significant income taxes by avoiding increases to your client’s marginal income tax rate.</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229"/>
            </w:tblGrid>
            <w:tr w:rsidR="000D07D8" w14:paraId="6A460461" w14:textId="77777777" w:rsidTr="001F3D42">
              <w:trPr>
                <w:trHeight w:val="1660"/>
              </w:trPr>
              <w:tc>
                <w:tcPr>
                  <w:tcW w:w="9229" w:type="dxa"/>
                  <w:shd w:val="clear" w:color="auto" w:fill="FFFF99"/>
                </w:tcPr>
                <w:p w14:paraId="05D734EE" w14:textId="77777777" w:rsidR="000D07D8" w:rsidRPr="004344CA" w:rsidRDefault="000D07D8" w:rsidP="00A137D9">
                  <w:pPr>
                    <w:rPr>
                      <w:b/>
                    </w:rPr>
                  </w:pPr>
                  <w:r w:rsidRPr="004344CA">
                    <w:rPr>
                      <w:b/>
                    </w:rPr>
                    <w:t>Example</w:t>
                  </w:r>
                </w:p>
                <w:p w14:paraId="2C163041" w14:textId="77777777" w:rsidR="000D07D8" w:rsidRDefault="000D07D8" w:rsidP="00A137D9">
                  <w:r>
                    <w:t>Dennis wishes to convert his Traditional Deductible IRA to a Roth IRA.  Assume Dennis files married filing jointly and has taxable income of $120,000. His marginal income tax rate is 25%. Further assume that his marginal income tax rate will increase to 28% when taxable income exceeds $150,000.  Dennis could convert $30,000 without paying a higher income tax rate on converted funds.</w:t>
                  </w:r>
                </w:p>
              </w:tc>
            </w:tr>
          </w:tbl>
          <w:p w14:paraId="1B22E41E" w14:textId="77777777" w:rsidR="000D07D8" w:rsidRPr="00120E33" w:rsidRDefault="000D07D8" w:rsidP="00A137D9">
            <w:pPr>
              <w:rPr>
                <w:rStyle w:val="Strong"/>
                <w:b w:val="0"/>
              </w:rPr>
            </w:pPr>
          </w:p>
        </w:tc>
      </w:tr>
    </w:tbl>
    <w:p w14:paraId="2CC1288E" w14:textId="77777777" w:rsidR="000D07D8" w:rsidRDefault="000D07D8" w:rsidP="004E3342"/>
    <w:p w14:paraId="093D9247" w14:textId="77777777" w:rsidR="000D07D8" w:rsidRPr="007746E2" w:rsidRDefault="00A630D9" w:rsidP="000D07D8">
      <w:pPr>
        <w:rPr>
          <w:rFonts w:ascii="Arial" w:hAnsi="Arial"/>
        </w:rPr>
      </w:pPr>
      <w:r>
        <w:rPr>
          <w:noProof/>
          <w:lang w:eastAsia="zh-CN"/>
        </w:rPr>
        <w:drawing>
          <wp:inline distT="0" distB="0" distL="0" distR="0" wp14:anchorId="2FFBB33D" wp14:editId="6BFC7A2E">
            <wp:extent cx="283210" cy="196215"/>
            <wp:effectExtent l="0" t="0" r="0" b="6985"/>
            <wp:docPr id="17" name="Picture 17"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_tip_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10" cy="196215"/>
                    </a:xfrm>
                    <a:prstGeom prst="rect">
                      <a:avLst/>
                    </a:prstGeom>
                    <a:noFill/>
                    <a:ln>
                      <a:noFill/>
                    </a:ln>
                  </pic:spPr>
                </pic:pic>
              </a:graphicData>
            </a:graphic>
          </wp:inline>
        </w:drawing>
      </w:r>
      <w:r w:rsidR="000D07D8">
        <w:t xml:space="preserve">  </w:t>
      </w:r>
      <w:r w:rsidR="000D07D8" w:rsidRPr="007746E2">
        <w:rPr>
          <w:b/>
        </w:rPr>
        <w:t>Planning Tip</w:t>
      </w:r>
      <w:r w:rsidR="000D07D8">
        <w:rPr>
          <w:b/>
        </w:rPr>
        <w:t xml:space="preserv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D07D8" w:rsidRPr="00120E33" w14:paraId="0BA93C3F" w14:textId="77777777" w:rsidTr="00A137D9">
        <w:trPr>
          <w:trHeight w:val="692"/>
        </w:trPr>
        <w:tc>
          <w:tcPr>
            <w:tcW w:w="9576" w:type="dxa"/>
            <w:shd w:val="clear" w:color="auto" w:fill="E7D9CF"/>
          </w:tcPr>
          <w:p w14:paraId="1A21543C" w14:textId="691F5351" w:rsidR="000D07D8" w:rsidRPr="00120E33" w:rsidRDefault="000D07D8" w:rsidP="00A137D9">
            <w:pPr>
              <w:rPr>
                <w:rStyle w:val="Strong"/>
                <w:b w:val="0"/>
              </w:rPr>
            </w:pPr>
            <w:r>
              <w:t>If your client experiences a poor earnings year</w:t>
            </w:r>
            <w:r w:rsidR="00EB3B00">
              <w:t>,</w:t>
            </w:r>
            <w:r>
              <w:t xml:space="preserve"> then </w:t>
            </w:r>
            <w:r w:rsidR="00E41C97">
              <w:t>consider using</w:t>
            </w:r>
            <w:r>
              <w:t xml:space="preserve"> the lower marginal tax rates in that year to save income taxes on conversion. For example, if your client’s average tax rate is 33% but that rate falls to 25% </w:t>
            </w:r>
            <w:r w:rsidR="00E41C97">
              <w:t>in the current year, then a $50,000 conversion would cost $4</w:t>
            </w:r>
            <w:r>
              <w:t>,000 less in income taxes. That savings is calculated as conversion i</w:t>
            </w:r>
            <w:r w:rsidR="00E41C97">
              <w:t>ncome of $5</w:t>
            </w:r>
            <w:r>
              <w:t xml:space="preserve">0,000 multiplied by the decreased tax rate of 8% (33% less 25%). </w:t>
            </w:r>
          </w:p>
        </w:tc>
      </w:tr>
    </w:tbl>
    <w:p w14:paraId="7678E412" w14:textId="0F59BCF9" w:rsidR="00582E2E" w:rsidRDefault="00582E2E" w:rsidP="001F3D42">
      <w:pPr>
        <w:pStyle w:val="Heading3"/>
      </w:pPr>
      <w:r>
        <w:t>Life Expectancy</w:t>
      </w:r>
    </w:p>
    <w:p w14:paraId="16D286AB" w14:textId="5EAFC3C4" w:rsidR="000F7340" w:rsidRDefault="004436E6" w:rsidP="001F3D42">
      <w:r>
        <w:t>Longer life expec</w:t>
      </w:r>
      <w:r w:rsidR="00EB3B00">
        <w:t>tancy means collecting more tax-</w:t>
      </w:r>
      <w:r>
        <w:t xml:space="preserve">free Roth IRA </w:t>
      </w:r>
      <w:r w:rsidR="000F7340">
        <w:t>income in</w:t>
      </w:r>
      <w:r>
        <w:t xml:space="preserve"> retirement. Assuming that your client’s income tax rate is higher </w:t>
      </w:r>
      <w:r w:rsidR="003449FF">
        <w:t xml:space="preserve">or approximately the same </w:t>
      </w:r>
      <w:r>
        <w:t xml:space="preserve">in </w:t>
      </w:r>
      <w:r>
        <w:lastRenderedPageBreak/>
        <w:t>retirement than in the conversion year, longer life exp</w:t>
      </w:r>
      <w:r w:rsidR="00EB3B00">
        <w:t>ectancies provide greater after-</w:t>
      </w:r>
      <w:r>
        <w:t xml:space="preserve">tax income streams than shorter life expectancies.  </w:t>
      </w:r>
    </w:p>
    <w:p w14:paraId="258518FA" w14:textId="77777777" w:rsidR="006359B5" w:rsidRDefault="000F7340" w:rsidP="001F3D42">
      <w:r>
        <w:t xml:space="preserve">But that is not the whole story. If we broaden our perspective from your client to include your client’s heirs, then a slightly different picture may emerge. </w:t>
      </w:r>
      <w:r w:rsidR="00632D42" w:rsidRPr="0023689A">
        <w:rPr>
          <w:b/>
          <w:color w:val="FF0000"/>
        </w:rPr>
        <w:t xml:space="preserve">Click </w:t>
      </w:r>
      <w:r w:rsidR="00632D42" w:rsidRPr="0023689A">
        <w:rPr>
          <w:rStyle w:val="Hyperlink"/>
        </w:rPr>
        <w:t>here</w:t>
      </w:r>
      <w:r w:rsidR="00632D42" w:rsidRPr="0023689A">
        <w:rPr>
          <w:b/>
          <w:color w:val="FF0000"/>
        </w:rPr>
        <w:t xml:space="preserve"> for an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32D42" w:rsidRPr="00632D42" w14:paraId="6090C059" w14:textId="77777777" w:rsidTr="00A137D9">
        <w:tc>
          <w:tcPr>
            <w:tcW w:w="9576" w:type="dxa"/>
            <w:shd w:val="clear" w:color="auto" w:fill="D9D9D9"/>
          </w:tcPr>
          <w:p w14:paraId="7E1BF3E7" w14:textId="77777777" w:rsidR="007066E1" w:rsidRPr="00A137D9" w:rsidRDefault="007066E1" w:rsidP="007066E1">
            <w:pPr>
              <w:rPr>
                <w:b/>
              </w:rPr>
            </w:pPr>
            <w:r w:rsidRPr="00A137D9">
              <w:rPr>
                <w:b/>
              </w:rPr>
              <w:t>Example</w:t>
            </w:r>
          </w:p>
          <w:p w14:paraId="1168D0E5" w14:textId="77777777" w:rsidR="00632D42" w:rsidRPr="00632D42" w:rsidRDefault="00632D42" w:rsidP="00F84235">
            <w:r w:rsidRPr="00632D42">
              <w:t>Your client Marilyn</w:t>
            </w:r>
            <w:r>
              <w:t xml:space="preserve">, </w:t>
            </w:r>
            <w:r w:rsidRPr="00632D42">
              <w:t>age 55</w:t>
            </w:r>
            <w:r>
              <w:t xml:space="preserve">, </w:t>
            </w:r>
            <w:r w:rsidRPr="00632D42">
              <w:t xml:space="preserve">is a late-career professional in excellent health. She plans to retire at age 66. Marilyn converted her </w:t>
            </w:r>
            <w:r w:rsidR="00361EBE">
              <w:t xml:space="preserve">deductible </w:t>
            </w:r>
            <w:r w:rsidRPr="00632D42">
              <w:t xml:space="preserve">Traditional IRA to a Roth IRA earlier this year. She expected to be in a higher income tax bracket in retirement and further expected to outlive her statistical life expectancy of 84 years.  </w:t>
            </w:r>
          </w:p>
          <w:p w14:paraId="7D228AEC" w14:textId="77777777" w:rsidR="00632D42" w:rsidRDefault="00632D42" w:rsidP="00632D42">
            <w:r w:rsidRPr="00632D42">
              <w:t>Regrettably</w:t>
            </w:r>
            <w:r>
              <w:t xml:space="preserve">, </w:t>
            </w:r>
            <w:r w:rsidRPr="00632D42">
              <w:t>she was killed last week after an inexperienced bungee jump technician dialed in the wrong setting on her bungee cord. In retrospect</w:t>
            </w:r>
            <w:r>
              <w:t xml:space="preserve">, </w:t>
            </w:r>
            <w:r w:rsidRPr="00632D42">
              <w:t xml:space="preserve">did her untimely death make the decision to convert a poor financial decision? That depends entirely upon the income tax rates of her beneficiaries!  </w:t>
            </w:r>
          </w:p>
          <w:p w14:paraId="3138869B" w14:textId="5775F4C9" w:rsidR="00632D42" w:rsidRPr="00632D42" w:rsidRDefault="00632D42" w:rsidP="000641C4">
            <w:r>
              <w:t xml:space="preserve">If her beneficiaries are in a higher income tax bracket than Marilyn, then the conversion decision remains an effective financial decision. However, </w:t>
            </w:r>
            <w:r w:rsidR="00361EBE">
              <w:t>c</w:t>
            </w:r>
            <w:r>
              <w:t xml:space="preserve">onversion was not an effective financial decision if her beneficiaries are in a </w:t>
            </w:r>
            <w:r w:rsidR="00256724">
              <w:t xml:space="preserve">significantly </w:t>
            </w:r>
            <w:r>
              <w:t>lower income tax bracket. In that case, Marilyn will have paid a relative high income</w:t>
            </w:r>
            <w:r w:rsidR="00EB3B00">
              <w:t xml:space="preserve"> tax rate to provide income tax-</w:t>
            </w:r>
            <w:r>
              <w:t>free distributions to beneficiaries in relatively low income tax brackets.</w:t>
            </w:r>
          </w:p>
        </w:tc>
      </w:tr>
    </w:tbl>
    <w:p w14:paraId="448C1FCE" w14:textId="4B736CA7" w:rsidR="002D2FA7" w:rsidRDefault="002D2FA7" w:rsidP="002D2FA7">
      <w:pPr>
        <w:pStyle w:val="Heading3"/>
      </w:pPr>
      <w:r>
        <w:t xml:space="preserve">Beneficiary Designation </w:t>
      </w:r>
    </w:p>
    <w:p w14:paraId="50AB9F89" w14:textId="77777777" w:rsidR="0026594F" w:rsidRDefault="0026594F" w:rsidP="008E3F14">
      <w:r>
        <w:t>Beneficiary designations are not the primary driver for the conversion decision for most clients. However, j</w:t>
      </w:r>
      <w:r w:rsidR="002D2FA7">
        <w:t xml:space="preserve">ust as your client’s income tax rates impact the conversion decision, beneficiary income tax rates should be considered as well. </w:t>
      </w:r>
    </w:p>
    <w:p w14:paraId="261C0EDF" w14:textId="291AE16C" w:rsidR="002D2FA7" w:rsidRDefault="002D2FA7" w:rsidP="008E3F14">
      <w:r>
        <w:t xml:space="preserve">For example, if the beneficiary is a tax-exempt charity, the charity will receive fewer dollars after conversion to a Roth IRA than before conversion. This assumes that </w:t>
      </w:r>
      <w:r w:rsidR="00C43E5E">
        <w:t>conversion</w:t>
      </w:r>
      <w:r w:rsidR="00EB3B00">
        <w:t>-</w:t>
      </w:r>
      <w:r w:rsidR="00C43E5E">
        <w:t xml:space="preserve">related </w:t>
      </w:r>
      <w:r>
        <w:t>income taxes were paid with Traditional IRA funds.</w:t>
      </w:r>
    </w:p>
    <w:p w14:paraId="57ABB2A7" w14:textId="3CBD0B87" w:rsidR="002D2FA7" w:rsidRDefault="0026594F" w:rsidP="008E3F14">
      <w:r>
        <w:t>What if the beneficiary is a loved one</w:t>
      </w:r>
      <w:r w:rsidR="00EB3B00">
        <w:t>,</w:t>
      </w:r>
      <w:r>
        <w:t xml:space="preserve"> such as child or grandchild? In this case, the higher the beneficiary’s income tax rate</w:t>
      </w:r>
      <w:r w:rsidR="00EB3B00">
        <w:t>,</w:t>
      </w:r>
      <w:r>
        <w:t xml:space="preserve"> the more beneficial the inherited Roth IRA will be. </w:t>
      </w:r>
    </w:p>
    <w:p w14:paraId="7DA90B67" w14:textId="77777777" w:rsidR="002D2FA7" w:rsidRDefault="002D2FA7" w:rsidP="008E3F14"/>
    <w:p w14:paraId="5CCEE2AE" w14:textId="77777777" w:rsidR="001B3E94" w:rsidRDefault="001B3E94" w:rsidP="001B3E94">
      <w:pPr>
        <w:pStyle w:val="Heading3"/>
      </w:pPr>
      <w:r>
        <w:t>Comparing Benefits and Costs</w:t>
      </w:r>
    </w:p>
    <w:p w14:paraId="68615B69" w14:textId="120C94C0" w:rsidR="001B3E94" w:rsidRDefault="001B3E94" w:rsidP="001B3E94">
      <w:r>
        <w:t>Your internal resources and your client’s CPA or CFP® professional should be consulted for your client’s specific needs and financial profile. An online calculator</w:t>
      </w:r>
      <w:r>
        <w:rPr>
          <w:rStyle w:val="FootnoteReference"/>
        </w:rPr>
        <w:footnoteReference w:id="4"/>
      </w:r>
      <w:r>
        <w:t xml:space="preserve"> may also give general guidance in balancing costs and benefits.</w:t>
      </w:r>
    </w:p>
    <w:p w14:paraId="6C1FE0C6" w14:textId="07DB185D" w:rsidR="001B3E94" w:rsidRDefault="001B3E94" w:rsidP="001B3E94">
      <w:pPr>
        <w:pStyle w:val="Heading3"/>
      </w:pPr>
    </w:p>
    <w:p w14:paraId="1D735070" w14:textId="77777777" w:rsidR="002D2FA7" w:rsidRPr="006565AA" w:rsidRDefault="002D2FA7" w:rsidP="008E3F14"/>
    <w:p w14:paraId="2011FB42" w14:textId="77777777" w:rsidR="00615BD9" w:rsidRDefault="008309A3" w:rsidP="004344CA">
      <w:pPr>
        <w:pStyle w:val="Heading2"/>
      </w:pPr>
      <w:r>
        <w:br w:type="page"/>
      </w:r>
    </w:p>
    <w:p w14:paraId="63E98E54" w14:textId="0A3AE504" w:rsidR="00615BD9" w:rsidRDefault="00615BD9" w:rsidP="004344CA">
      <w:pPr>
        <w:pStyle w:val="Heading2"/>
        <w:rPr>
          <w:rFonts w:eastAsia="Arial Unicode MS"/>
        </w:rPr>
      </w:pPr>
      <w:r>
        <w:rPr>
          <w:rFonts w:eastAsia="Arial Unicode MS"/>
        </w:rPr>
        <w:lastRenderedPageBreak/>
        <w:t>Life Happens</w:t>
      </w:r>
      <w:r w:rsidR="00E1693D">
        <w:rPr>
          <w:rFonts w:eastAsia="Arial Unicode MS"/>
        </w:rPr>
        <w:t xml:space="preserve"> – </w:t>
      </w:r>
      <w:r w:rsidR="00333266">
        <w:rPr>
          <w:rFonts w:eastAsia="Arial Unicode MS"/>
        </w:rPr>
        <w:t xml:space="preserve">Accessing Cash or </w:t>
      </w:r>
      <w:r w:rsidR="00D95517">
        <w:rPr>
          <w:rFonts w:eastAsia="Arial Unicode MS"/>
        </w:rPr>
        <w:t>Reversing the Conversion to a</w:t>
      </w:r>
      <w:r w:rsidR="00E1693D">
        <w:rPr>
          <w:rFonts w:eastAsia="Arial Unicode MS"/>
        </w:rPr>
        <w:t xml:space="preserve"> Roth IRA</w:t>
      </w:r>
    </w:p>
    <w:tbl>
      <w:tblPr>
        <w:tblStyle w:val="TableGrid"/>
        <w:tblW w:w="0" w:type="auto"/>
        <w:tblInd w:w="1998" w:type="dxa"/>
        <w:tblBorders>
          <w:insideH w:val="none" w:sz="0" w:space="0" w:color="auto"/>
          <w:insideV w:val="none" w:sz="0" w:space="0" w:color="auto"/>
        </w:tblBorders>
        <w:shd w:val="clear" w:color="auto" w:fill="E0E0E0"/>
        <w:tblLook w:val="04A0" w:firstRow="1" w:lastRow="0" w:firstColumn="1" w:lastColumn="0" w:noHBand="0" w:noVBand="1"/>
      </w:tblPr>
      <w:tblGrid>
        <w:gridCol w:w="5760"/>
      </w:tblGrid>
      <w:tr w:rsidR="00E1693D" w14:paraId="452F61E8" w14:textId="77777777" w:rsidTr="008E3F14">
        <w:trPr>
          <w:trHeight w:val="773"/>
        </w:trPr>
        <w:tc>
          <w:tcPr>
            <w:tcW w:w="5760" w:type="dxa"/>
            <w:shd w:val="clear" w:color="auto" w:fill="FBD4B4" w:themeFill="accent6" w:themeFillTint="66"/>
          </w:tcPr>
          <w:p w14:paraId="15765F87" w14:textId="4FD6E7D2" w:rsidR="00E1693D" w:rsidRPr="00AA66C7" w:rsidRDefault="00BB16A0" w:rsidP="00E1693D">
            <w:pPr>
              <w:rPr>
                <w:rFonts w:eastAsia="Arial Unicode MS"/>
                <w:i/>
              </w:rPr>
            </w:pPr>
            <w:r w:rsidRPr="00AA66C7">
              <w:rPr>
                <w:rFonts w:eastAsia="Arial Unicode MS"/>
                <w:i/>
              </w:rPr>
              <w:t>“</w:t>
            </w:r>
            <w:r w:rsidR="00E1693D" w:rsidRPr="00AA66C7">
              <w:rPr>
                <w:rFonts w:eastAsia="Arial Unicode MS"/>
                <w:i/>
              </w:rPr>
              <w:t>The best laid plans of mice and men often go astray</w:t>
            </w:r>
            <w:r w:rsidR="003672B0" w:rsidRPr="00AA66C7">
              <w:rPr>
                <w:rFonts w:eastAsia="Arial Unicode MS"/>
                <w:i/>
              </w:rPr>
              <w:t>.</w:t>
            </w:r>
            <w:r w:rsidRPr="00AA66C7">
              <w:rPr>
                <w:rFonts w:eastAsia="Arial Unicode MS"/>
                <w:i/>
              </w:rPr>
              <w:t>”</w:t>
            </w:r>
            <w:r w:rsidR="00E1693D" w:rsidRPr="00AA66C7">
              <w:rPr>
                <w:rFonts w:eastAsia="Arial Unicode MS"/>
                <w:i/>
              </w:rPr>
              <w:t xml:space="preserve"> </w:t>
            </w:r>
          </w:p>
          <w:p w14:paraId="2CFEC745" w14:textId="7A487035" w:rsidR="00E1693D" w:rsidRDefault="00AA66C7" w:rsidP="00AA66C7">
            <w:pPr>
              <w:jc w:val="right"/>
              <w:rPr>
                <w:rFonts w:eastAsia="Arial Unicode MS"/>
                <w:b/>
                <w:color w:val="943634"/>
              </w:rPr>
            </w:pPr>
            <w:r>
              <w:rPr>
                <w:rFonts w:eastAsia="Arial Unicode MS"/>
              </w:rPr>
              <w:t xml:space="preserve">- </w:t>
            </w:r>
            <w:r w:rsidR="00E1693D">
              <w:rPr>
                <w:rFonts w:eastAsia="Arial Unicode MS"/>
              </w:rPr>
              <w:t xml:space="preserve">Paraphrased from Robert Burns’ poem </w:t>
            </w:r>
            <w:r w:rsidR="00E1693D" w:rsidRPr="008E3F14">
              <w:rPr>
                <w:rFonts w:eastAsia="Arial Unicode MS"/>
                <w:i/>
              </w:rPr>
              <w:t>To A Mouse</w:t>
            </w:r>
          </w:p>
        </w:tc>
      </w:tr>
    </w:tbl>
    <w:p w14:paraId="31DF5B8B" w14:textId="1982E027" w:rsidR="0045119D" w:rsidRDefault="00017654" w:rsidP="008E3F14">
      <w:pPr>
        <w:rPr>
          <w:rFonts w:eastAsia="Arial Unicode MS"/>
        </w:rPr>
      </w:pPr>
      <w:r>
        <w:rPr>
          <w:rFonts w:eastAsia="Arial Unicode MS"/>
        </w:rPr>
        <w:t xml:space="preserve">Your client may </w:t>
      </w:r>
      <w:r w:rsidR="00E1693D">
        <w:rPr>
          <w:rFonts w:eastAsia="Arial Unicode MS"/>
        </w:rPr>
        <w:t xml:space="preserve">have at least two more concerns even after </w:t>
      </w:r>
      <w:r w:rsidR="0045119D">
        <w:rPr>
          <w:rFonts w:eastAsia="Arial Unicode MS"/>
        </w:rPr>
        <w:t xml:space="preserve">a thorough </w:t>
      </w:r>
      <w:r w:rsidR="00E1693D">
        <w:rPr>
          <w:rFonts w:eastAsia="Arial Unicode MS"/>
        </w:rPr>
        <w:t xml:space="preserve">analysis points toward the conversion of a Traditional IRA </w:t>
      </w:r>
      <w:r w:rsidR="00CD12EB">
        <w:rPr>
          <w:rFonts w:eastAsia="Arial Unicode MS"/>
        </w:rPr>
        <w:t>(</w:t>
      </w:r>
      <w:r w:rsidR="00A83130">
        <w:rPr>
          <w:rFonts w:eastAsia="Arial Unicode MS"/>
        </w:rPr>
        <w:t>or employer</w:t>
      </w:r>
      <w:r w:rsidR="00AA66C7">
        <w:rPr>
          <w:rFonts w:eastAsia="Arial Unicode MS"/>
        </w:rPr>
        <w:t>-</w:t>
      </w:r>
      <w:r w:rsidR="00A83130">
        <w:rPr>
          <w:rFonts w:eastAsia="Arial Unicode MS"/>
        </w:rPr>
        <w:t>sponsored retirement plan balance</w:t>
      </w:r>
      <w:r w:rsidR="00CD12EB">
        <w:rPr>
          <w:rFonts w:eastAsia="Arial Unicode MS"/>
        </w:rPr>
        <w:t>)</w:t>
      </w:r>
      <w:r w:rsidR="00A83130">
        <w:rPr>
          <w:rFonts w:eastAsia="Arial Unicode MS"/>
        </w:rPr>
        <w:t xml:space="preserve"> </w:t>
      </w:r>
      <w:r w:rsidR="00E1693D">
        <w:rPr>
          <w:rFonts w:eastAsia="Arial Unicode MS"/>
        </w:rPr>
        <w:t xml:space="preserve">to a Roth IRA. </w:t>
      </w:r>
      <w:r w:rsidR="0045119D">
        <w:rPr>
          <w:rFonts w:eastAsia="Arial Unicode MS"/>
        </w:rPr>
        <w:t xml:space="preserve">Although these concerns may not be articulated, your client may </w:t>
      </w:r>
      <w:r w:rsidR="006871FA">
        <w:rPr>
          <w:rFonts w:eastAsia="Arial Unicode MS"/>
        </w:rPr>
        <w:t>wonder,</w:t>
      </w:r>
      <w:r w:rsidR="0045119D">
        <w:rPr>
          <w:rFonts w:eastAsia="Arial Unicode MS"/>
        </w:rPr>
        <w:t xml:space="preserve"> “</w:t>
      </w:r>
      <w:r w:rsidR="00AA66C7">
        <w:rPr>
          <w:rFonts w:eastAsia="Arial Unicode MS"/>
        </w:rPr>
        <w:t>W</w:t>
      </w:r>
      <w:r w:rsidR="0045119D">
        <w:rPr>
          <w:rFonts w:eastAsia="Arial Unicode MS"/>
        </w:rPr>
        <w:t>hat if I need cash for an emergency?” or “</w:t>
      </w:r>
      <w:r w:rsidR="00AA66C7">
        <w:rPr>
          <w:rFonts w:eastAsia="Arial Unicode MS"/>
        </w:rPr>
        <w:t>W</w:t>
      </w:r>
      <w:r w:rsidR="0045119D">
        <w:rPr>
          <w:rFonts w:eastAsia="Arial Unicode MS"/>
        </w:rPr>
        <w:t xml:space="preserve">hat if I change my mind after I pull the trigger on conversion?” </w:t>
      </w:r>
      <w:r w:rsidR="00A83130">
        <w:rPr>
          <w:rFonts w:eastAsia="Arial Unicode MS"/>
        </w:rPr>
        <w:t xml:space="preserve">You may be able to address those concerns </w:t>
      </w:r>
      <w:r w:rsidR="00CD12EB">
        <w:rPr>
          <w:rFonts w:eastAsia="Arial Unicode MS"/>
        </w:rPr>
        <w:t>using</w:t>
      </w:r>
      <w:r w:rsidR="00A83130">
        <w:rPr>
          <w:rFonts w:eastAsia="Arial Unicode MS"/>
        </w:rPr>
        <w:t xml:space="preserve"> the following insights.</w:t>
      </w:r>
      <w:r w:rsidR="0045119D">
        <w:rPr>
          <w:rFonts w:eastAsia="Arial Unicode MS"/>
        </w:rPr>
        <w:t xml:space="preserve"> </w:t>
      </w:r>
    </w:p>
    <w:p w14:paraId="7AE4B73F" w14:textId="3356EF63" w:rsidR="0045119D" w:rsidRDefault="0045119D" w:rsidP="008E3F14">
      <w:pPr>
        <w:pStyle w:val="Heading3"/>
        <w:rPr>
          <w:rFonts w:eastAsia="Arial Unicode MS"/>
        </w:rPr>
      </w:pPr>
      <w:r>
        <w:rPr>
          <w:rFonts w:eastAsia="Arial Unicode MS"/>
        </w:rPr>
        <w:t>What If I Need Cash for an Emergency?</w:t>
      </w:r>
    </w:p>
    <w:p w14:paraId="4263B3BF" w14:textId="77EDF2E3" w:rsidR="007A70D5" w:rsidRPr="001F3D42" w:rsidRDefault="00BB16A0" w:rsidP="007A70D5">
      <w:r>
        <w:rPr>
          <w:rFonts w:eastAsia="Arial Unicode MS"/>
        </w:rPr>
        <w:t>W</w:t>
      </w:r>
      <w:r w:rsidR="00BE3703">
        <w:rPr>
          <w:rFonts w:eastAsia="Arial Unicode MS"/>
        </w:rPr>
        <w:t>ithdraw</w:t>
      </w:r>
      <w:r>
        <w:rPr>
          <w:rFonts w:eastAsia="Arial Unicode MS"/>
        </w:rPr>
        <w:t>al of</w:t>
      </w:r>
      <w:r w:rsidR="00BE3703">
        <w:rPr>
          <w:rFonts w:eastAsia="Arial Unicode MS"/>
        </w:rPr>
        <w:t xml:space="preserve"> contributions from a Roth IRA </w:t>
      </w:r>
      <w:r>
        <w:rPr>
          <w:rFonts w:eastAsia="Arial Unicode MS"/>
        </w:rPr>
        <w:t xml:space="preserve">are </w:t>
      </w:r>
      <w:r w:rsidR="00BE3703">
        <w:rPr>
          <w:rFonts w:eastAsia="Arial Unicode MS"/>
        </w:rPr>
        <w:t>income tax</w:t>
      </w:r>
      <w:r w:rsidR="00AA66C7">
        <w:rPr>
          <w:rFonts w:eastAsia="Arial Unicode MS"/>
        </w:rPr>
        <w:t>-</w:t>
      </w:r>
      <w:r w:rsidR="00BE3703">
        <w:rPr>
          <w:rFonts w:eastAsia="Arial Unicode MS"/>
        </w:rPr>
        <w:t>free</w:t>
      </w:r>
      <w:r>
        <w:rPr>
          <w:rFonts w:eastAsia="Arial Unicode MS"/>
        </w:rPr>
        <w:t>.</w:t>
      </w:r>
      <w:r w:rsidR="00BE3703">
        <w:rPr>
          <w:rFonts w:eastAsia="Arial Unicode MS"/>
        </w:rPr>
        <w:t xml:space="preserve"> </w:t>
      </w:r>
      <w:r>
        <w:rPr>
          <w:rFonts w:eastAsia="Arial Unicode MS"/>
        </w:rPr>
        <w:t xml:space="preserve">Income tax was paid at conversion and hence income tax on the converted funds will never be paid again. </w:t>
      </w:r>
      <w:r w:rsidR="00BE3703">
        <w:rPr>
          <w:rFonts w:eastAsia="Arial Unicode MS"/>
        </w:rPr>
        <w:t xml:space="preserve">The key is to avoid penalty from those withdrawals. </w:t>
      </w:r>
      <w:r w:rsidR="0045119D">
        <w:rPr>
          <w:rFonts w:eastAsia="Arial Unicode MS"/>
        </w:rPr>
        <w:t xml:space="preserve">Converted funds may </w:t>
      </w:r>
      <w:r w:rsidR="00BE3703">
        <w:rPr>
          <w:rFonts w:eastAsia="Arial Unicode MS"/>
        </w:rPr>
        <w:t xml:space="preserve">be </w:t>
      </w:r>
      <w:r w:rsidR="0045119D">
        <w:rPr>
          <w:rFonts w:eastAsia="Arial Unicode MS"/>
        </w:rPr>
        <w:t xml:space="preserve">withdrawn without penalty if the withdrawal is made AFTER five years from conversion. </w:t>
      </w:r>
      <w:r w:rsidR="007A70D5" w:rsidRPr="00AA66C7">
        <w:rPr>
          <w:rFonts w:eastAsia="Arial Unicode MS"/>
          <w:b/>
          <w:color w:val="FF0000"/>
        </w:rPr>
        <w:t>Click</w:t>
      </w:r>
      <w:r w:rsidR="007A70D5">
        <w:rPr>
          <w:rFonts w:eastAsia="Arial Unicode MS"/>
        </w:rPr>
        <w:t xml:space="preserve"> </w:t>
      </w:r>
      <w:r w:rsidR="007A70D5" w:rsidRPr="008E3F14">
        <w:rPr>
          <w:rStyle w:val="Hyperlink"/>
          <w:rFonts w:eastAsia="Arial Unicode MS"/>
        </w:rPr>
        <w:t>here</w:t>
      </w:r>
      <w:r w:rsidR="007A70D5">
        <w:rPr>
          <w:rFonts w:eastAsia="Arial Unicode MS"/>
        </w:rPr>
        <w:t xml:space="preserve"> </w:t>
      </w:r>
      <w:r w:rsidR="007A70D5" w:rsidRPr="00AA66C7">
        <w:rPr>
          <w:rFonts w:eastAsia="Arial Unicode MS"/>
          <w:b/>
          <w:color w:val="FF0000"/>
        </w:rPr>
        <w:t>to learn more.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838"/>
      </w:tblGrid>
      <w:tr w:rsidR="007A70D5" w:rsidRPr="0028324A" w14:paraId="46B15DEF" w14:textId="77777777" w:rsidTr="00D27A54">
        <w:tc>
          <w:tcPr>
            <w:tcW w:w="8838" w:type="dxa"/>
            <w:shd w:val="clear" w:color="auto" w:fill="D9D9D9"/>
          </w:tcPr>
          <w:p w14:paraId="609CBD32" w14:textId="78130F9C" w:rsidR="00AA66C7" w:rsidRPr="003620EF" w:rsidRDefault="00AA66C7">
            <w:pPr>
              <w:rPr>
                <w:rStyle w:val="Hyperlink"/>
                <w:rFonts w:eastAsia="Arial Unicode MS"/>
              </w:rPr>
            </w:pPr>
            <w:r w:rsidRPr="003620EF">
              <w:rPr>
                <w:rStyle w:val="Hyperlink"/>
                <w:rFonts w:eastAsia="Arial Unicode MS"/>
              </w:rPr>
              <w:t xml:space="preserve">Withdrawal of Converted Funds </w:t>
            </w:r>
            <w:proofErr w:type="gramStart"/>
            <w:r w:rsidRPr="003620EF">
              <w:rPr>
                <w:rStyle w:val="Hyperlink"/>
                <w:rFonts w:eastAsia="Arial Unicode MS"/>
              </w:rPr>
              <w:t>From</w:t>
            </w:r>
            <w:proofErr w:type="gramEnd"/>
            <w:r w:rsidRPr="003620EF">
              <w:rPr>
                <w:rStyle w:val="Hyperlink"/>
                <w:rFonts w:eastAsia="Arial Unicode MS"/>
              </w:rPr>
              <w:t xml:space="preserve"> a Roth IRA</w:t>
            </w:r>
          </w:p>
          <w:p w14:paraId="6682E5A8" w14:textId="00A9FE5D" w:rsidR="007A70D5" w:rsidRPr="00FF7F2B" w:rsidRDefault="007A70D5">
            <w:pPr>
              <w:rPr>
                <w:color w:val="000000"/>
              </w:rPr>
            </w:pPr>
            <w:r>
              <w:rPr>
                <w:rFonts w:eastAsia="Arial Unicode MS"/>
              </w:rPr>
              <w:t>There is an order of withdrawal from Roth IRAs that generally requires original Roth IRA contributions be withdrawn first (penalty</w:t>
            </w:r>
            <w:r w:rsidR="00AA66C7">
              <w:rPr>
                <w:rFonts w:eastAsia="Arial Unicode MS"/>
              </w:rPr>
              <w:t>-</w:t>
            </w:r>
            <w:r>
              <w:rPr>
                <w:rFonts w:eastAsia="Arial Unicode MS"/>
              </w:rPr>
              <w:t>free). Next in the sequence, converted Roth IRA contributions are withdrawn (penalty</w:t>
            </w:r>
            <w:r w:rsidR="00AA66C7">
              <w:rPr>
                <w:rFonts w:eastAsia="Arial Unicode MS"/>
              </w:rPr>
              <w:t>-</w:t>
            </w:r>
            <w:r>
              <w:rPr>
                <w:rFonts w:eastAsia="Arial Unicode MS"/>
              </w:rPr>
              <w:t xml:space="preserve">free if taken five years after conversion). Finally, after all original and converted contributions are withdrawn, earnings are withdrawn. Please refer to our previous discussion of Roth IRAs in this course for a reminder of when earnings may be withdrawn without income tax or penalty. </w:t>
            </w:r>
          </w:p>
        </w:tc>
      </w:tr>
    </w:tbl>
    <w:p w14:paraId="1D6D75FD" w14:textId="77777777" w:rsidR="007A70D5" w:rsidRDefault="007A70D5" w:rsidP="007A70D5"/>
    <w:p w14:paraId="77311B3F" w14:textId="4BC7F7E1" w:rsidR="00BE3703" w:rsidRDefault="00BE3703" w:rsidP="008E3F14">
      <w:pPr>
        <w:pStyle w:val="Heading3"/>
      </w:pPr>
      <w:r>
        <w:t>What if I Change My Mind?</w:t>
      </w:r>
    </w:p>
    <w:p w14:paraId="381AC163" w14:textId="5CE0F800" w:rsidR="00FF19E2" w:rsidRDefault="006871FA" w:rsidP="001F3D42">
      <w:r>
        <w:t>It is possible to reverse the conversion in a process the IRS describes as “</w:t>
      </w:r>
      <w:proofErr w:type="spellStart"/>
      <w:r>
        <w:t>recharacterization</w:t>
      </w:r>
      <w:proofErr w:type="spellEnd"/>
      <w:r w:rsidR="007D1F67">
        <w:t>.”</w:t>
      </w:r>
      <w:r>
        <w:t xml:space="preserve"> </w:t>
      </w:r>
      <w:r w:rsidR="00065454">
        <w:t xml:space="preserve">The IRS defines </w:t>
      </w:r>
      <w:proofErr w:type="spellStart"/>
      <w:r w:rsidR="00065454">
        <w:t>recharacterization</w:t>
      </w:r>
      <w:proofErr w:type="spellEnd"/>
      <w:r w:rsidR="00065454">
        <w:t xml:space="preserve"> as a process that “allows you to ‘undo’ or ‘reverse’ a</w:t>
      </w:r>
      <w:r>
        <w:t xml:space="preserve"> </w:t>
      </w:r>
      <w:r w:rsidR="00065454">
        <w:t>conversion to a Roth IRA</w:t>
      </w:r>
      <w:r w:rsidR="0076450B">
        <w:t>.</w:t>
      </w:r>
      <w:r w:rsidR="00FF19E2">
        <w:t>”</w:t>
      </w:r>
    </w:p>
    <w:p w14:paraId="1D0A8C8B" w14:textId="1817C3D7" w:rsidR="001F1551" w:rsidRDefault="00CD12EB" w:rsidP="001F1551">
      <w:r>
        <w:t xml:space="preserve">However, the clock is ticking! </w:t>
      </w:r>
      <w:proofErr w:type="spellStart"/>
      <w:r w:rsidR="007D582F">
        <w:t>Recharacterization</w:t>
      </w:r>
      <w:proofErr w:type="spellEnd"/>
      <w:r w:rsidR="007D582F">
        <w:t xml:space="preserve"> </w:t>
      </w:r>
      <w:r w:rsidR="00B661BC">
        <w:t xml:space="preserve">of a conversion </w:t>
      </w:r>
      <w:r w:rsidR="007D582F">
        <w:t xml:space="preserve">must be made </w:t>
      </w:r>
      <w:r w:rsidR="00FF19E2">
        <w:t xml:space="preserve">no later than </w:t>
      </w:r>
      <w:r w:rsidR="00B661BC">
        <w:t xml:space="preserve">October 15 of the following year. </w:t>
      </w:r>
      <w:r w:rsidR="00B661BC" w:rsidRPr="00AA66C7">
        <w:rPr>
          <w:b/>
          <w:color w:val="FF0000"/>
        </w:rPr>
        <w:t>Click</w:t>
      </w:r>
      <w:r w:rsidR="00B661BC">
        <w:t xml:space="preserve"> </w:t>
      </w:r>
      <w:r w:rsidR="00B661BC" w:rsidRPr="00430571">
        <w:rPr>
          <w:rStyle w:val="Hyperlink"/>
        </w:rPr>
        <w:t>here</w:t>
      </w:r>
      <w:r w:rsidR="00B661BC">
        <w:t xml:space="preserve"> </w:t>
      </w:r>
      <w:r w:rsidR="00B661BC" w:rsidRPr="00AA66C7">
        <w:rPr>
          <w:b/>
          <w:color w:val="FF0000"/>
        </w:rPr>
        <w:t xml:space="preserve">for an example. </w:t>
      </w:r>
      <w:r w:rsidR="00FF19E2">
        <w:t xml:space="preserve"> </w:t>
      </w:r>
      <w:r w:rsidR="00106473">
        <w:t>Noteworthy</w:t>
      </w:r>
      <w:r w:rsidR="00AA66C7">
        <w:t>:  A</w:t>
      </w:r>
      <w:r w:rsidR="00371345">
        <w:t xml:space="preserve"> </w:t>
      </w:r>
      <w:r w:rsidR="00371345" w:rsidRPr="008E3F14">
        <w:rPr>
          <w:rStyle w:val="Hyperlink"/>
        </w:rPr>
        <w:t>special restriction</w:t>
      </w:r>
      <w:r w:rsidR="00371345">
        <w:t xml:space="preserve"> applies to </w:t>
      </w:r>
      <w:proofErr w:type="spellStart"/>
      <w:r>
        <w:t>recharacterization</w:t>
      </w:r>
      <w:proofErr w:type="spellEnd"/>
      <w:r>
        <w:t xml:space="preserve"> of </w:t>
      </w:r>
      <w:r w:rsidR="00371345">
        <w:t>employer</w:t>
      </w:r>
      <w:r w:rsidR="00AA66C7">
        <w:t>-</w:t>
      </w:r>
      <w:r w:rsidR="00371345">
        <w:t>sponsored ret</w:t>
      </w:r>
      <w:r>
        <w:t>irement plan conversions</w:t>
      </w:r>
      <w:r w:rsidR="00371345">
        <w:t xml:space="preserve">. </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576"/>
      </w:tblGrid>
      <w:tr w:rsidR="001F1551" w14:paraId="15660DA9" w14:textId="77777777" w:rsidTr="00AA66C7">
        <w:tc>
          <w:tcPr>
            <w:tcW w:w="9576" w:type="dxa"/>
            <w:shd w:val="clear" w:color="auto" w:fill="D9D9D9" w:themeFill="background1" w:themeFillShade="D9"/>
          </w:tcPr>
          <w:p w14:paraId="581BA833" w14:textId="3810865E" w:rsidR="00AA66C7" w:rsidRPr="00AA66C7" w:rsidRDefault="00AA66C7" w:rsidP="001B7068">
            <w:pPr>
              <w:rPr>
                <w:b/>
              </w:rPr>
            </w:pPr>
            <w:r>
              <w:rPr>
                <w:b/>
              </w:rPr>
              <w:t>Example</w:t>
            </w:r>
          </w:p>
          <w:p w14:paraId="7FA5C43B" w14:textId="539680BA" w:rsidR="001F1551" w:rsidRDefault="001F1551" w:rsidP="00AA66C7">
            <w:r>
              <w:t>Your client</w:t>
            </w:r>
            <w:r w:rsidR="00CD12EB">
              <w:t>,</w:t>
            </w:r>
            <w:r>
              <w:t xml:space="preserve"> Mr. </w:t>
            </w:r>
            <w:proofErr w:type="spellStart"/>
            <w:r>
              <w:t>Lestrade</w:t>
            </w:r>
            <w:proofErr w:type="spellEnd"/>
            <w:r w:rsidR="00CD12EB">
              <w:t>,</w:t>
            </w:r>
            <w:r>
              <w:t xml:space="preserve"> converted a Traditional IRA to a Roth IRA on January 1, Year 1. If Mr. </w:t>
            </w:r>
            <w:proofErr w:type="spellStart"/>
            <w:r>
              <w:t>Lestrade</w:t>
            </w:r>
            <w:proofErr w:type="spellEnd"/>
            <w:r>
              <w:t xml:space="preserve"> changes his mind and wishes to reverse the conversion, he must do so by October 15, Year 2. Noteworthy</w:t>
            </w:r>
            <w:r w:rsidR="00AA66C7">
              <w:t>: T</w:t>
            </w:r>
            <w:r>
              <w:t xml:space="preserve">he October 15 deadline applies even if Mr. </w:t>
            </w:r>
            <w:proofErr w:type="spellStart"/>
            <w:r>
              <w:t>Lestrade</w:t>
            </w:r>
            <w:proofErr w:type="spellEnd"/>
            <w:r>
              <w:t xml:space="preserve"> does not file the automatic </w:t>
            </w:r>
            <w:r w:rsidR="006871FA">
              <w:t>six-month</w:t>
            </w:r>
            <w:r>
              <w:t xml:space="preserve"> extension of time to file his income tax return.</w:t>
            </w:r>
          </w:p>
        </w:tc>
      </w:tr>
    </w:tbl>
    <w:p w14:paraId="60579E8E" w14:textId="77777777" w:rsidR="001B7068" w:rsidRPr="001F3D42" w:rsidRDefault="001B7068" w:rsidP="001B7068"/>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838"/>
      </w:tblGrid>
      <w:tr w:rsidR="001B7068" w:rsidRPr="0028324A" w14:paraId="18156866" w14:textId="77777777" w:rsidTr="001B7068">
        <w:tc>
          <w:tcPr>
            <w:tcW w:w="8838" w:type="dxa"/>
            <w:shd w:val="clear" w:color="auto" w:fill="D9D9D9"/>
          </w:tcPr>
          <w:p w14:paraId="1C6A8E52" w14:textId="0E58C7A9" w:rsidR="001B7068" w:rsidRPr="00813D5C" w:rsidRDefault="00371345" w:rsidP="001B7068">
            <w:pPr>
              <w:rPr>
                <w:b/>
                <w:color w:val="4F81BD"/>
              </w:rPr>
            </w:pPr>
            <w:r w:rsidRPr="00813D5C">
              <w:rPr>
                <w:rStyle w:val="Hyperlink"/>
                <w:u w:val="none"/>
              </w:rPr>
              <w:lastRenderedPageBreak/>
              <w:t xml:space="preserve">Special Restriction – </w:t>
            </w:r>
            <w:proofErr w:type="spellStart"/>
            <w:r w:rsidRPr="00813D5C">
              <w:rPr>
                <w:rStyle w:val="Hyperlink"/>
                <w:u w:val="none"/>
              </w:rPr>
              <w:t>Recharacterization</w:t>
            </w:r>
            <w:proofErr w:type="spellEnd"/>
            <w:r w:rsidRPr="00813D5C">
              <w:rPr>
                <w:rStyle w:val="Hyperlink"/>
                <w:u w:val="none"/>
              </w:rPr>
              <w:t xml:space="preserve"> of</w:t>
            </w:r>
            <w:r w:rsidR="001B7068" w:rsidRPr="00813D5C">
              <w:rPr>
                <w:rStyle w:val="Hyperlink"/>
                <w:u w:val="none"/>
              </w:rPr>
              <w:t xml:space="preserve"> </w:t>
            </w:r>
            <w:r w:rsidRPr="00813D5C">
              <w:rPr>
                <w:rStyle w:val="Hyperlink"/>
                <w:u w:val="none"/>
              </w:rPr>
              <w:t>Employer</w:t>
            </w:r>
            <w:r w:rsidR="00AA66C7" w:rsidRPr="00813D5C">
              <w:rPr>
                <w:rStyle w:val="Hyperlink"/>
                <w:u w:val="none"/>
              </w:rPr>
              <w:t>-</w:t>
            </w:r>
            <w:r w:rsidRPr="00813D5C">
              <w:rPr>
                <w:rStyle w:val="Hyperlink"/>
                <w:u w:val="none"/>
              </w:rPr>
              <w:t xml:space="preserve">Sponsored Retirement Plan to Roth IRA </w:t>
            </w:r>
            <w:r w:rsidR="00AA66C7" w:rsidRPr="00813D5C">
              <w:rPr>
                <w:rStyle w:val="Hyperlink"/>
                <w:u w:val="none"/>
              </w:rPr>
              <w:t>C</w:t>
            </w:r>
            <w:r w:rsidRPr="00813D5C">
              <w:rPr>
                <w:rStyle w:val="Hyperlink"/>
                <w:u w:val="none"/>
              </w:rPr>
              <w:t>onversion</w:t>
            </w:r>
          </w:p>
          <w:p w14:paraId="3EE2A65F" w14:textId="49204872" w:rsidR="001B7068" w:rsidRPr="00FF7F2B" w:rsidRDefault="00371345">
            <w:pPr>
              <w:rPr>
                <w:color w:val="000000"/>
              </w:rPr>
            </w:pPr>
            <w:r>
              <w:t>I</w:t>
            </w:r>
            <w:r w:rsidR="001B7068">
              <w:t xml:space="preserve">f the conversion </w:t>
            </w:r>
            <w:r>
              <w:t xml:space="preserve">was funded from </w:t>
            </w:r>
            <w:r w:rsidR="001B7068">
              <w:t>an emp</w:t>
            </w:r>
            <w:r>
              <w:t xml:space="preserve">loyer-sponsored retirement plan, </w:t>
            </w:r>
            <w:proofErr w:type="spellStart"/>
            <w:r>
              <w:t>r</w:t>
            </w:r>
            <w:r w:rsidR="001B7068">
              <w:t>echaracterizati</w:t>
            </w:r>
            <w:r>
              <w:t>on</w:t>
            </w:r>
            <w:proofErr w:type="spellEnd"/>
            <w:r>
              <w:t xml:space="preserve"> is permitted. </w:t>
            </w:r>
            <w:proofErr w:type="gramStart"/>
            <w:r>
              <w:t>H</w:t>
            </w:r>
            <w:r w:rsidR="001B7068">
              <w:t>owever</w:t>
            </w:r>
            <w:proofErr w:type="gramEnd"/>
            <w:r w:rsidR="001B7068">
              <w:t xml:space="preserve"> the </w:t>
            </w:r>
            <w:proofErr w:type="spellStart"/>
            <w:r>
              <w:t>recharacterized</w:t>
            </w:r>
            <w:proofErr w:type="spellEnd"/>
            <w:r>
              <w:t xml:space="preserve"> </w:t>
            </w:r>
            <w:r w:rsidR="001B7068">
              <w:t>funds may only transfer from the Roth IRA to a Traditional IRA</w:t>
            </w:r>
            <w:r w:rsidR="00AA66C7">
              <w:t xml:space="preserve"> - </w:t>
            </w:r>
            <w:r w:rsidR="001B7068">
              <w:t>the funds cannot transfer back to the employer</w:t>
            </w:r>
            <w:r w:rsidR="00AA66C7">
              <w:t>-</w:t>
            </w:r>
            <w:r w:rsidR="001B7068">
              <w:t xml:space="preserve">sponsored retirement plan.  </w:t>
            </w:r>
          </w:p>
        </w:tc>
      </w:tr>
    </w:tbl>
    <w:p w14:paraId="779ED7BF" w14:textId="77777777" w:rsidR="00065454" w:rsidRDefault="00065454" w:rsidP="001F1551"/>
    <w:p w14:paraId="00DD784A" w14:textId="77777777" w:rsidR="001F1551" w:rsidRDefault="001F1551" w:rsidP="001F1551"/>
    <w:p w14:paraId="23C7AB28" w14:textId="77777777" w:rsidR="00AC40A8" w:rsidRDefault="00065454" w:rsidP="004344CA">
      <w:pPr>
        <w:pStyle w:val="Heading2"/>
        <w:rPr>
          <w:rFonts w:eastAsia="Arial Unicode MS"/>
        </w:rPr>
      </w:pPr>
      <w:r>
        <w:br w:type="page"/>
      </w:r>
      <w:r w:rsidR="00AC40A8" w:rsidRPr="006F172A">
        <w:rPr>
          <w:rFonts w:eastAsia="Arial Unicode MS"/>
        </w:rPr>
        <w:lastRenderedPageBreak/>
        <w:t>Review</w:t>
      </w:r>
      <w:r w:rsidR="00AC40A8">
        <w:rPr>
          <w:rFonts w:eastAsia="Arial Unicode MS"/>
        </w:rPr>
        <w:t xml:space="preserve"> Exercise</w:t>
      </w:r>
    </w:p>
    <w:p w14:paraId="3DFDF62C" w14:textId="77777777" w:rsidR="002875A5" w:rsidRPr="002875A5" w:rsidRDefault="002875A5" w:rsidP="002875A5">
      <w:pPr>
        <w:rPr>
          <w:rFonts w:eastAsia="Arial Unicode MS"/>
        </w:rPr>
      </w:pPr>
      <w:r w:rsidRPr="003B7B6A">
        <w:rPr>
          <w:b/>
          <w:color w:val="FF0000"/>
        </w:rPr>
        <w:t>Review your understanding of the preceding pages by ans</w:t>
      </w:r>
      <w:r>
        <w:rPr>
          <w:b/>
          <w:color w:val="FF0000"/>
        </w:rPr>
        <w:t>wering the following questions.</w:t>
      </w:r>
    </w:p>
    <w:p w14:paraId="52D9CB40" w14:textId="0B4376CA" w:rsidR="00AC40A8" w:rsidRPr="00D7087F" w:rsidRDefault="00AC40A8" w:rsidP="00822DE7">
      <w:pPr>
        <w:numPr>
          <w:ilvl w:val="0"/>
          <w:numId w:val="28"/>
        </w:numPr>
        <w:ind w:left="360"/>
        <w:rPr>
          <w:b/>
        </w:rPr>
      </w:pPr>
      <w:r w:rsidRPr="00D7087F">
        <w:rPr>
          <w:b/>
        </w:rPr>
        <w:t xml:space="preserve">To rollover assets in </w:t>
      </w:r>
      <w:r w:rsidR="002D2503">
        <w:rPr>
          <w:b/>
        </w:rPr>
        <w:t>2016</w:t>
      </w:r>
      <w:r w:rsidRPr="00D7087F">
        <w:rPr>
          <w:b/>
        </w:rPr>
        <w:t xml:space="preserve"> without penalty from a Traditional IRA to a Roth IRA, the owner's modified AGI must not be over:</w:t>
      </w:r>
    </w:p>
    <w:p w14:paraId="08574B37" w14:textId="77777777" w:rsidR="00AC40A8" w:rsidRPr="009316FB" w:rsidRDefault="00AC40A8" w:rsidP="00822DE7">
      <w:pPr>
        <w:numPr>
          <w:ilvl w:val="0"/>
          <w:numId w:val="29"/>
        </w:numPr>
      </w:pPr>
      <w:r w:rsidRPr="009316FB">
        <w:t>$100,000</w:t>
      </w:r>
    </w:p>
    <w:p w14:paraId="17ED4537" w14:textId="77777777" w:rsidR="00AC40A8" w:rsidRPr="009316FB" w:rsidRDefault="00AC40A8" w:rsidP="002E56DB">
      <w:pPr>
        <w:pStyle w:val="ReviewAnswer"/>
      </w:pPr>
      <w:r w:rsidRPr="009E4296">
        <w:rPr>
          <w:rStyle w:val="Strong"/>
        </w:rPr>
        <w:t>Incorrect</w:t>
      </w:r>
      <w:r w:rsidRPr="009316FB">
        <w:t>. Try again.</w:t>
      </w:r>
    </w:p>
    <w:p w14:paraId="0485065B" w14:textId="77777777" w:rsidR="00AC40A8" w:rsidRPr="009316FB" w:rsidRDefault="00AC40A8" w:rsidP="00822DE7">
      <w:pPr>
        <w:numPr>
          <w:ilvl w:val="0"/>
          <w:numId w:val="29"/>
        </w:numPr>
      </w:pPr>
      <w:r w:rsidRPr="009316FB">
        <w:t>$120,000</w:t>
      </w:r>
    </w:p>
    <w:p w14:paraId="7E518D73" w14:textId="77777777" w:rsidR="00AC40A8" w:rsidRPr="009316FB" w:rsidRDefault="00AC40A8" w:rsidP="002E56DB">
      <w:pPr>
        <w:pStyle w:val="ReviewAnswer"/>
      </w:pPr>
      <w:r w:rsidRPr="009E4296">
        <w:rPr>
          <w:rStyle w:val="Strong"/>
        </w:rPr>
        <w:t>Incorrect</w:t>
      </w:r>
      <w:r w:rsidRPr="009316FB">
        <w:t>. Try again.</w:t>
      </w:r>
    </w:p>
    <w:p w14:paraId="19AC5E0E" w14:textId="77777777" w:rsidR="00AC40A8" w:rsidRPr="009316FB" w:rsidRDefault="00AC40A8" w:rsidP="00822DE7">
      <w:pPr>
        <w:numPr>
          <w:ilvl w:val="0"/>
          <w:numId w:val="29"/>
        </w:numPr>
      </w:pPr>
      <w:r w:rsidRPr="009316FB">
        <w:t>$150,000</w:t>
      </w:r>
    </w:p>
    <w:p w14:paraId="04A0FA82" w14:textId="77777777" w:rsidR="00AC40A8" w:rsidRPr="009316FB" w:rsidRDefault="00AC40A8" w:rsidP="002E56DB">
      <w:pPr>
        <w:pStyle w:val="ReviewAnswer"/>
      </w:pPr>
      <w:r w:rsidRPr="009E4296">
        <w:rPr>
          <w:rStyle w:val="Strong"/>
        </w:rPr>
        <w:t>Incorrect</w:t>
      </w:r>
      <w:r w:rsidRPr="009316FB">
        <w:t>. Try again.</w:t>
      </w:r>
    </w:p>
    <w:p w14:paraId="2EB70247" w14:textId="77777777" w:rsidR="00AC40A8" w:rsidRPr="00A50B60" w:rsidRDefault="00AC40A8" w:rsidP="00822DE7">
      <w:pPr>
        <w:numPr>
          <w:ilvl w:val="0"/>
          <w:numId w:val="29"/>
        </w:numPr>
        <w:rPr>
          <w:rStyle w:val="Strong"/>
        </w:rPr>
      </w:pPr>
      <w:r w:rsidRPr="00A50B60">
        <w:rPr>
          <w:rStyle w:val="Strong"/>
        </w:rPr>
        <w:t>No limit</w:t>
      </w:r>
    </w:p>
    <w:p w14:paraId="3DDF2859" w14:textId="77777777" w:rsidR="00AC40A8" w:rsidRPr="009316FB" w:rsidRDefault="00AC40A8" w:rsidP="002E56DB">
      <w:pPr>
        <w:pStyle w:val="ReviewAnswer"/>
      </w:pPr>
      <w:r w:rsidRPr="009E4296">
        <w:rPr>
          <w:rStyle w:val="Strong"/>
        </w:rPr>
        <w:t>Correct</w:t>
      </w:r>
      <w:r w:rsidRPr="009316FB">
        <w:t>!</w:t>
      </w:r>
    </w:p>
    <w:p w14:paraId="351BADE8" w14:textId="012FD212" w:rsidR="00AC40A8" w:rsidRPr="00D7087F" w:rsidRDefault="00AC40A8" w:rsidP="00822DE7">
      <w:pPr>
        <w:numPr>
          <w:ilvl w:val="0"/>
          <w:numId w:val="28"/>
        </w:numPr>
        <w:ind w:left="360"/>
        <w:rPr>
          <w:b/>
          <w:bCs/>
        </w:rPr>
      </w:pPr>
      <w:r w:rsidRPr="00D7087F">
        <w:rPr>
          <w:b/>
          <w:bCs/>
        </w:rPr>
        <w:t xml:space="preserve">In </w:t>
      </w:r>
      <w:r w:rsidR="002C0583">
        <w:rPr>
          <w:b/>
          <w:bCs/>
        </w:rPr>
        <w:t>Year 1</w:t>
      </w:r>
      <w:r w:rsidRPr="00D7087F">
        <w:rPr>
          <w:b/>
          <w:bCs/>
        </w:rPr>
        <w:t xml:space="preserve">, Margaret converted her </w:t>
      </w:r>
      <w:r>
        <w:rPr>
          <w:b/>
          <w:bCs/>
        </w:rPr>
        <w:t xml:space="preserve">nondeductible </w:t>
      </w:r>
      <w:r w:rsidRPr="00D7087F">
        <w:rPr>
          <w:b/>
          <w:bCs/>
        </w:rPr>
        <w:t xml:space="preserve">Traditional IRA with a balance of $25,000 to a Roth IRA. </w:t>
      </w:r>
      <w:r>
        <w:rPr>
          <w:b/>
          <w:bCs/>
        </w:rPr>
        <w:t xml:space="preserve">She </w:t>
      </w:r>
      <w:r w:rsidR="0028347D">
        <w:rPr>
          <w:b/>
          <w:bCs/>
        </w:rPr>
        <w:t xml:space="preserve">owned </w:t>
      </w:r>
      <w:r>
        <w:rPr>
          <w:b/>
          <w:bCs/>
        </w:rPr>
        <w:t xml:space="preserve">no other IRAs before the conversion. </w:t>
      </w:r>
      <w:r w:rsidRPr="00D7087F">
        <w:rPr>
          <w:b/>
          <w:bCs/>
        </w:rPr>
        <w:t xml:space="preserve">Of the converted funds, $7,500 consisted of non-deductible contributions, thus $7,500 of the conversion amount was not taxed at conversion. </w:t>
      </w:r>
      <w:r>
        <w:rPr>
          <w:b/>
          <w:bCs/>
        </w:rPr>
        <w:t>The remaining $17,500</w:t>
      </w:r>
      <w:r w:rsidR="003D63C9">
        <w:rPr>
          <w:b/>
          <w:bCs/>
        </w:rPr>
        <w:t xml:space="preserve"> </w:t>
      </w:r>
      <w:r>
        <w:rPr>
          <w:b/>
          <w:bCs/>
        </w:rPr>
        <w:t xml:space="preserve">was taxed at conversion. </w:t>
      </w:r>
      <w:r w:rsidRPr="00D7087F">
        <w:rPr>
          <w:b/>
          <w:bCs/>
        </w:rPr>
        <w:t xml:space="preserve">Later in </w:t>
      </w:r>
      <w:r w:rsidR="002C0583">
        <w:rPr>
          <w:b/>
          <w:bCs/>
        </w:rPr>
        <w:t>Year 1</w:t>
      </w:r>
      <w:r w:rsidRPr="00D7087F">
        <w:rPr>
          <w:b/>
          <w:bCs/>
        </w:rPr>
        <w:t xml:space="preserve">, she made an additional contribution of $4,000 to the Roth and also contributed $4,000 in </w:t>
      </w:r>
      <w:r w:rsidR="002C0583">
        <w:rPr>
          <w:b/>
          <w:bCs/>
        </w:rPr>
        <w:t>Year 2</w:t>
      </w:r>
      <w:r w:rsidRPr="00D7087F">
        <w:rPr>
          <w:b/>
          <w:bCs/>
        </w:rPr>
        <w:t xml:space="preserve">. In </w:t>
      </w:r>
      <w:r w:rsidR="002C0583">
        <w:rPr>
          <w:b/>
          <w:bCs/>
        </w:rPr>
        <w:t>Year 3</w:t>
      </w:r>
      <w:r w:rsidRPr="00D7087F">
        <w:rPr>
          <w:b/>
          <w:bCs/>
        </w:rPr>
        <w:t xml:space="preserve">, at age 58, she withdraws $35,000 from the Roth to make an investment in a ski resort in Colorado. Which of the following statements regarding the tax results of this </w:t>
      </w:r>
      <w:r>
        <w:rPr>
          <w:b/>
          <w:bCs/>
        </w:rPr>
        <w:t xml:space="preserve">$35,000 </w:t>
      </w:r>
      <w:r w:rsidRPr="00D7087F">
        <w:rPr>
          <w:b/>
          <w:bCs/>
        </w:rPr>
        <w:t xml:space="preserve">transaction is correct? </w:t>
      </w:r>
    </w:p>
    <w:p w14:paraId="01EB7361" w14:textId="77777777" w:rsidR="00AC40A8" w:rsidRPr="007C285C" w:rsidRDefault="00AC40A8" w:rsidP="00822DE7">
      <w:pPr>
        <w:numPr>
          <w:ilvl w:val="0"/>
          <w:numId w:val="29"/>
        </w:numPr>
      </w:pPr>
      <w:r w:rsidRPr="007C285C">
        <w:t>The first $8,000 is withdrawn tax-free since this portion is attributable to after-tax contributions.</w:t>
      </w:r>
    </w:p>
    <w:p w14:paraId="40B5F866" w14:textId="77777777" w:rsidR="00AC40A8" w:rsidRPr="007C285C" w:rsidRDefault="00AC40A8" w:rsidP="002E56DB">
      <w:pPr>
        <w:pStyle w:val="ReviewAnswer"/>
      </w:pPr>
      <w:r w:rsidRPr="004445DD">
        <w:rPr>
          <w:rStyle w:val="Strong"/>
        </w:rPr>
        <w:t>Incorrect</w:t>
      </w:r>
      <w:r w:rsidRPr="007C285C">
        <w:t>.  This is a correct statement of the tax results, but it is not the only answer.</w:t>
      </w:r>
    </w:p>
    <w:p w14:paraId="200748AF" w14:textId="77777777" w:rsidR="00AC40A8" w:rsidRPr="007C285C" w:rsidRDefault="00AC40A8" w:rsidP="00822DE7">
      <w:pPr>
        <w:numPr>
          <w:ilvl w:val="0"/>
          <w:numId w:val="29"/>
        </w:numPr>
      </w:pPr>
      <w:r w:rsidRPr="007C285C">
        <w:t xml:space="preserve">The next $7,500 was her basis when </w:t>
      </w:r>
      <w:r>
        <w:t>s</w:t>
      </w:r>
      <w:r w:rsidRPr="007C285C">
        <w:t>he converted the Traditional to a Roth IRA. It is non-taxable.</w:t>
      </w:r>
    </w:p>
    <w:p w14:paraId="527C3412" w14:textId="77777777" w:rsidR="00AC40A8" w:rsidRPr="007C285C" w:rsidRDefault="00AC40A8" w:rsidP="002E56DB">
      <w:pPr>
        <w:pStyle w:val="ReviewAnswer"/>
      </w:pPr>
      <w:r w:rsidRPr="004445DD">
        <w:rPr>
          <w:rStyle w:val="Strong"/>
        </w:rPr>
        <w:t>Incorrect</w:t>
      </w:r>
      <w:r w:rsidRPr="007C285C">
        <w:t>.  This is a correct statement of the tax results, but it is not the only answer.</w:t>
      </w:r>
    </w:p>
    <w:p w14:paraId="01E66FDC" w14:textId="2A06C0CC" w:rsidR="00AC40A8" w:rsidRPr="007C285C" w:rsidRDefault="00AC40A8" w:rsidP="00822DE7">
      <w:pPr>
        <w:numPr>
          <w:ilvl w:val="0"/>
          <w:numId w:val="29"/>
        </w:numPr>
      </w:pPr>
      <w:r w:rsidRPr="007C285C">
        <w:t>The next $17,500</w:t>
      </w:r>
      <w:r w:rsidR="00362968">
        <w:t xml:space="preserve"> </w:t>
      </w:r>
      <w:r w:rsidRPr="007C285C">
        <w:t>was taxed at conversion. It is not included in her taxable income, but Margaret must pay a 10% penalty, $1,750, on this portion of the withdrawal.</w:t>
      </w:r>
    </w:p>
    <w:p w14:paraId="005DEBD2" w14:textId="77777777" w:rsidR="00AC40A8" w:rsidRPr="007C285C" w:rsidRDefault="00AC40A8" w:rsidP="002E56DB">
      <w:pPr>
        <w:pStyle w:val="ReviewAnswer"/>
      </w:pPr>
      <w:r w:rsidRPr="004445DD">
        <w:rPr>
          <w:rStyle w:val="Strong"/>
        </w:rPr>
        <w:t>Incorrect</w:t>
      </w:r>
      <w:r w:rsidRPr="007C285C">
        <w:t>.  This is a correct statement of the tax results, but it is not the only answer.</w:t>
      </w:r>
    </w:p>
    <w:p w14:paraId="2E2C80CE" w14:textId="77777777" w:rsidR="00AC40A8" w:rsidRPr="007C285C" w:rsidRDefault="00AC40A8" w:rsidP="00822DE7">
      <w:pPr>
        <w:numPr>
          <w:ilvl w:val="0"/>
          <w:numId w:val="29"/>
        </w:numPr>
      </w:pPr>
      <w:r w:rsidRPr="007C285C">
        <w:t>The next $2,000 is attributable to earnings and this is a nonqualified withdrawal since Margaret is under age 59½.  She has withdrawn the funds inside of the 5-year rule both for the conversion and for contributions, and she meets none of the exemption criteria. Thus, $2,000 would be subject to tax AND a 10% penalty of $200.</w:t>
      </w:r>
    </w:p>
    <w:p w14:paraId="7C561B12" w14:textId="77777777" w:rsidR="00AC40A8" w:rsidRPr="007C285C" w:rsidRDefault="00AC40A8" w:rsidP="002E56DB">
      <w:pPr>
        <w:pStyle w:val="ReviewAnswer"/>
      </w:pPr>
      <w:r w:rsidRPr="004445DD">
        <w:rPr>
          <w:rStyle w:val="Strong"/>
        </w:rPr>
        <w:t>Incorrect</w:t>
      </w:r>
      <w:r w:rsidRPr="007C285C">
        <w:t>.  This is a correct statement of the tax results, but it is not the only answer.</w:t>
      </w:r>
    </w:p>
    <w:p w14:paraId="0E5972FC" w14:textId="77777777" w:rsidR="002875A5" w:rsidRDefault="002875A5">
      <w:pPr>
        <w:spacing w:before="0" w:after="0"/>
        <w:rPr>
          <w:rStyle w:val="Strong"/>
        </w:rPr>
      </w:pPr>
      <w:r>
        <w:rPr>
          <w:rStyle w:val="Strong"/>
        </w:rPr>
        <w:br w:type="page"/>
      </w:r>
    </w:p>
    <w:p w14:paraId="189CE153" w14:textId="77777777" w:rsidR="00AC40A8" w:rsidRPr="00A50B60" w:rsidRDefault="00AC40A8" w:rsidP="00822DE7">
      <w:pPr>
        <w:numPr>
          <w:ilvl w:val="0"/>
          <w:numId w:val="29"/>
        </w:numPr>
        <w:rPr>
          <w:rStyle w:val="Strong"/>
        </w:rPr>
      </w:pPr>
      <w:r w:rsidRPr="00A50B60">
        <w:rPr>
          <w:rStyle w:val="Strong"/>
        </w:rPr>
        <w:lastRenderedPageBreak/>
        <w:t>All of the above are correct.</w:t>
      </w:r>
    </w:p>
    <w:p w14:paraId="557CF455" w14:textId="77777777" w:rsidR="00AC40A8" w:rsidRDefault="00AC40A8" w:rsidP="002E56DB">
      <w:pPr>
        <w:pStyle w:val="ReviewAnswer"/>
      </w:pPr>
      <w:r w:rsidRPr="004445DD">
        <w:rPr>
          <w:rStyle w:val="Strong"/>
        </w:rPr>
        <w:t>Correct</w:t>
      </w:r>
      <w:r w:rsidRPr="007C285C">
        <w:t>!</w:t>
      </w:r>
    </w:p>
    <w:p w14:paraId="629A2AEC" w14:textId="76CB147F" w:rsidR="003279C4" w:rsidRDefault="00AC40A8" w:rsidP="003279C4">
      <w:pPr>
        <w:pStyle w:val="Heading2"/>
      </w:pPr>
      <w:r>
        <w:br w:type="page"/>
      </w:r>
      <w:r w:rsidR="00E10E6D">
        <w:lastRenderedPageBreak/>
        <w:t>Should You</w:t>
      </w:r>
      <w:r w:rsidR="003F714D">
        <w:t>r Client</w:t>
      </w:r>
      <w:r w:rsidR="00E10E6D">
        <w:t xml:space="preserve"> Contribute to a Roth IRA</w:t>
      </w:r>
      <w:r w:rsidR="003449FF">
        <w:t xml:space="preserve">? </w:t>
      </w:r>
    </w:p>
    <w:p w14:paraId="4F6D9658" w14:textId="34FB3984" w:rsidR="003279C4" w:rsidRDefault="003279C4" w:rsidP="003279C4">
      <w:r>
        <w:t>How will you respond when your prospective client asks</w:t>
      </w:r>
      <w:r w:rsidR="006B17DD">
        <w:t>,</w:t>
      </w:r>
      <w:r>
        <w:t xml:space="preserve"> “Should I contribute to a Roth IRA?” Join us as we equip you for a clear and crisp response. The best fit for a Roth IRA </w:t>
      </w:r>
      <w:r w:rsidR="001618D0">
        <w:t xml:space="preserve">contribution </w:t>
      </w:r>
      <w:r>
        <w:t>is a client placing a high value upon the following.</w:t>
      </w:r>
    </w:p>
    <w:p w14:paraId="3A2D9C6A" w14:textId="77777777" w:rsidR="003279C4" w:rsidRDefault="003279C4" w:rsidP="003279C4">
      <w:pPr>
        <w:rPr>
          <w:b/>
          <w:color w:val="FF0000"/>
        </w:rPr>
      </w:pPr>
      <w:r>
        <w:rPr>
          <w:b/>
          <w:color w:val="FF0000"/>
        </w:rPr>
        <w:t xml:space="preserve">Click on </w:t>
      </w:r>
      <w:r w:rsidRPr="005342C3">
        <w:rPr>
          <w:b/>
          <w:color w:val="FF0000"/>
        </w:rPr>
        <w:t xml:space="preserve">each </w:t>
      </w:r>
      <w:r>
        <w:rPr>
          <w:b/>
          <w:color w:val="FF0000"/>
        </w:rPr>
        <w:t>scenario to learn more.</w:t>
      </w:r>
    </w:p>
    <w:tbl>
      <w:tblPr>
        <w:tblW w:w="9637" w:type="dxa"/>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637"/>
      </w:tblGrid>
      <w:tr w:rsidR="003279C4" w:rsidRPr="00604D27" w14:paraId="74ECC155" w14:textId="77777777" w:rsidTr="001329B8">
        <w:tc>
          <w:tcPr>
            <w:tcW w:w="9637" w:type="dxa"/>
            <w:tcBorders>
              <w:bottom w:val="single" w:sz="4" w:space="0" w:color="6CA8CD"/>
            </w:tcBorders>
            <w:shd w:val="clear" w:color="auto" w:fill="6CA8CD"/>
            <w:tcMar>
              <w:top w:w="72" w:type="dxa"/>
              <w:left w:w="115" w:type="dxa"/>
              <w:bottom w:w="72" w:type="dxa"/>
              <w:right w:w="115" w:type="dxa"/>
            </w:tcMar>
          </w:tcPr>
          <w:p w14:paraId="02D65E4F" w14:textId="63B550E6" w:rsidR="003279C4" w:rsidRPr="00604D27" w:rsidRDefault="003279C4" w:rsidP="001329B8">
            <w:pPr>
              <w:rPr>
                <w:b/>
                <w:color w:val="FFFFFF"/>
              </w:rPr>
            </w:pPr>
            <w:r>
              <w:rPr>
                <w:b/>
                <w:color w:val="FFFFFF"/>
              </w:rPr>
              <w:t>Tax</w:t>
            </w:r>
            <w:r w:rsidR="00DA66FD">
              <w:rPr>
                <w:b/>
                <w:color w:val="FFFFFF"/>
              </w:rPr>
              <w:t>-</w:t>
            </w:r>
            <w:r>
              <w:rPr>
                <w:b/>
                <w:color w:val="FFFFFF"/>
              </w:rPr>
              <w:t>Free Income In Retirement</w:t>
            </w:r>
          </w:p>
        </w:tc>
      </w:tr>
      <w:tr w:rsidR="003279C4" w:rsidRPr="00604D27" w14:paraId="0B0076A3" w14:textId="77777777" w:rsidTr="001329B8">
        <w:trPr>
          <w:trHeight w:val="422"/>
        </w:trPr>
        <w:tc>
          <w:tcPr>
            <w:tcW w:w="9637" w:type="dxa"/>
            <w:shd w:val="clear" w:color="auto" w:fill="FFFFFF"/>
            <w:tcMar>
              <w:top w:w="72" w:type="dxa"/>
              <w:left w:w="115" w:type="dxa"/>
              <w:bottom w:w="72" w:type="dxa"/>
              <w:right w:w="115" w:type="dxa"/>
            </w:tcMar>
          </w:tcPr>
          <w:p w14:paraId="39C1C268" w14:textId="20432404" w:rsidR="003279C4" w:rsidRDefault="003279C4" w:rsidP="001329B8">
            <w:r>
              <w:t xml:space="preserve">The Roth IRA provides more </w:t>
            </w:r>
            <w:r w:rsidR="0093019C">
              <w:t>after-</w:t>
            </w:r>
            <w:r>
              <w:t>tax income than the Traditional IRA when future income tax rates are significantly higher than current income tax rates. That would</w:t>
            </w:r>
            <w:r w:rsidR="00823B76">
              <w:t>,</w:t>
            </w:r>
            <w:r>
              <w:t xml:space="preserve"> of course</w:t>
            </w:r>
            <w:r w:rsidR="00823B76">
              <w:t>,</w:t>
            </w:r>
            <w:r>
              <w:t xml:space="preserve"> mean that taxable income actually rises in retirement. In this happy circumstance, your client gives up the income tax deduction for contributions at a relatively low income tax rate in exchange for </w:t>
            </w:r>
            <w:r w:rsidR="00600ABA">
              <w:t>tax-free</w:t>
            </w:r>
            <w:r>
              <w:t xml:space="preserve"> income during retirement at a relatively high income tax rate. </w:t>
            </w:r>
          </w:p>
          <w:p w14:paraId="594BE92B" w14:textId="3131EAB5" w:rsidR="003279C4" w:rsidRDefault="003279C4" w:rsidP="001329B8">
            <w:r>
              <w:t>That retirement outcome may be uncommon in reality so let’s examine a more likely scenario. Assume that income tax rates are moderately lower in retirement</w:t>
            </w:r>
            <w:r w:rsidR="00C82D04">
              <w:t xml:space="preserve"> - </w:t>
            </w:r>
            <w:r>
              <w:t xml:space="preserve">the Roth IRA should still be considered! </w:t>
            </w:r>
          </w:p>
          <w:tbl>
            <w:tblPr>
              <w:tblStyle w:val="TableGrid"/>
              <w:tblW w:w="0" w:type="auto"/>
              <w:tblBorders>
                <w:insideH w:val="none" w:sz="0" w:space="0" w:color="auto"/>
                <w:insideV w:val="none" w:sz="0" w:space="0" w:color="auto"/>
              </w:tblBorders>
              <w:shd w:val="clear" w:color="auto" w:fill="FFFF99"/>
              <w:tblLook w:val="04A0" w:firstRow="1" w:lastRow="0" w:firstColumn="1" w:lastColumn="0" w:noHBand="0" w:noVBand="1"/>
            </w:tblPr>
            <w:tblGrid>
              <w:gridCol w:w="9392"/>
            </w:tblGrid>
            <w:tr w:rsidR="003279C4" w14:paraId="3EE06FC4" w14:textId="77777777" w:rsidTr="001329B8">
              <w:tc>
                <w:tcPr>
                  <w:tcW w:w="9392" w:type="dxa"/>
                  <w:shd w:val="clear" w:color="auto" w:fill="FFFF99"/>
                </w:tcPr>
                <w:p w14:paraId="503D0B35" w14:textId="77777777" w:rsidR="003279C4" w:rsidRPr="00C82D04" w:rsidRDefault="003279C4" w:rsidP="001329B8">
                  <w:pPr>
                    <w:rPr>
                      <w:b/>
                    </w:rPr>
                  </w:pPr>
                  <w:r w:rsidRPr="00C82D04">
                    <w:rPr>
                      <w:b/>
                    </w:rPr>
                    <w:t>Example</w:t>
                  </w:r>
                </w:p>
                <w:p w14:paraId="50E3E25E" w14:textId="601F2A60" w:rsidR="003279C4" w:rsidRDefault="003279C4" w:rsidP="001329B8">
                  <w:r>
                    <w:t xml:space="preserve">Your client Gertrude </w:t>
                  </w:r>
                  <w:proofErr w:type="spellStart"/>
                  <w:r>
                    <w:t>Greenbax</w:t>
                  </w:r>
                  <w:proofErr w:type="spellEnd"/>
                  <w:r>
                    <w:t xml:space="preserve"> is 35 years of age, has an adjusted gross income of $100,000, plans to retire at age 67, and wishes to contribute $5,500</w:t>
                  </w:r>
                  <w:r w:rsidR="006E4527">
                    <w:t xml:space="preserve"> </w:t>
                  </w:r>
                  <w:r>
                    <w:t xml:space="preserve">annually to an IRA. Her current income tax rate is 25% and her income tax rate in retirement will be 15%. </w:t>
                  </w:r>
                </w:p>
                <w:p w14:paraId="5170227D" w14:textId="79DEE435" w:rsidR="003279C4" w:rsidRDefault="003279C4" w:rsidP="001329B8">
                  <w:r>
                    <w:t>Should she contribute annually to a deductible Traditional IRA or Roth IRA? She would accumulate just under $649,000 by retirement age if she chose the Roth IRA</w:t>
                  </w:r>
                  <w:r w:rsidR="00C82D04">
                    <w:t>,</w:t>
                  </w:r>
                  <w:r>
                    <w:t xml:space="preserve"> while she would accumulate just over $651,000 in a deductible Traditional IRA (after accounting for income taxes). These results are based upon the referenced online calculator.</w:t>
                  </w:r>
                </w:p>
                <w:p w14:paraId="55E7F64B" w14:textId="77777777" w:rsidR="003279C4" w:rsidRDefault="00BF406C" w:rsidP="001329B8">
                  <w:pPr>
                    <w:spacing w:before="0" w:after="0"/>
                  </w:pPr>
                  <w:hyperlink r:id="rId13" w:history="1">
                    <w:r w:rsidR="003279C4" w:rsidRPr="004C2032">
                      <w:rPr>
                        <w:rStyle w:val="Hyperlink"/>
                      </w:rPr>
                      <w:t>http://www.bankrate.com/calculators/retirement/roth-traditional-ira-calculator.aspx</w:t>
                    </w:r>
                  </w:hyperlink>
                </w:p>
              </w:tc>
            </w:tr>
          </w:tbl>
          <w:p w14:paraId="432C87D9" w14:textId="29909C86" w:rsidR="003279C4" w:rsidRDefault="003279C4" w:rsidP="001329B8">
            <w:r>
              <w:t>In the foregoing example</w:t>
            </w:r>
            <w:r w:rsidR="00C82D04">
              <w:t>,</w:t>
            </w:r>
            <w:r>
              <w:t xml:space="preserve"> there was little difference in tax</w:t>
            </w:r>
            <w:r w:rsidR="00C82D04">
              <w:t>-</w:t>
            </w:r>
            <w:r>
              <w:t xml:space="preserve">adjusted account balances at age 67. Yet, no one’s money is safe when Congress is in session! Even a lackluster case for the Roth IRA begins to shine if Congress raises income tax rates. Regrettably, the reverse is also true. The income tax benefits of the Roth IRA may be lost or reduced if Congress significantly lowers income tax rates. </w:t>
            </w:r>
          </w:p>
          <w:p w14:paraId="1E645AEA" w14:textId="2283991A" w:rsidR="003279C4" w:rsidRPr="00604D27" w:rsidRDefault="003279C4" w:rsidP="001329B8">
            <w:r>
              <w:t xml:space="preserve">Here’s the bottom line: </w:t>
            </w:r>
            <w:r w:rsidR="00C82D04">
              <w:t>U</w:t>
            </w:r>
            <w:r>
              <w:t xml:space="preserve">se your internal resources or compliance-approved online calculators to run the numbers before automatically recommending a deductible Traditional IRA. </w:t>
            </w:r>
          </w:p>
        </w:tc>
      </w:tr>
      <w:tr w:rsidR="003279C4" w:rsidRPr="00604D27" w14:paraId="7FBBF403" w14:textId="77777777" w:rsidTr="001329B8">
        <w:tc>
          <w:tcPr>
            <w:tcW w:w="9637" w:type="dxa"/>
            <w:tcBorders>
              <w:bottom w:val="single" w:sz="4" w:space="0" w:color="6CA8CD"/>
            </w:tcBorders>
            <w:shd w:val="clear" w:color="auto" w:fill="6CA8CD"/>
            <w:tcMar>
              <w:top w:w="72" w:type="dxa"/>
              <w:left w:w="115" w:type="dxa"/>
              <w:bottom w:w="72" w:type="dxa"/>
              <w:right w:w="115" w:type="dxa"/>
            </w:tcMar>
          </w:tcPr>
          <w:p w14:paraId="2BD40476" w14:textId="77777777" w:rsidR="003279C4" w:rsidRPr="001F3D42" w:rsidRDefault="003279C4" w:rsidP="001329B8">
            <w:pPr>
              <w:rPr>
                <w:color w:val="FFFFFF"/>
                <w:u w:val="single"/>
              </w:rPr>
            </w:pPr>
            <w:r>
              <w:rPr>
                <w:b/>
                <w:color w:val="FFFFFF"/>
              </w:rPr>
              <w:t xml:space="preserve">Avoid Required Minimum Distributions in Retirement </w:t>
            </w:r>
          </w:p>
        </w:tc>
      </w:tr>
      <w:tr w:rsidR="003279C4" w:rsidRPr="001F3D42" w14:paraId="06229CD3" w14:textId="77777777" w:rsidTr="001329B8">
        <w:trPr>
          <w:trHeight w:val="1268"/>
        </w:trPr>
        <w:tc>
          <w:tcPr>
            <w:tcW w:w="9637" w:type="dxa"/>
            <w:shd w:val="clear" w:color="auto" w:fill="FFFFFF"/>
            <w:tcMar>
              <w:top w:w="72" w:type="dxa"/>
              <w:left w:w="115" w:type="dxa"/>
              <w:bottom w:w="72" w:type="dxa"/>
              <w:right w:w="115" w:type="dxa"/>
            </w:tcMar>
          </w:tcPr>
          <w:p w14:paraId="688D0C6D" w14:textId="77777777" w:rsidR="003279C4" w:rsidRPr="00604D27" w:rsidRDefault="003279C4" w:rsidP="001329B8">
            <w:pPr>
              <w:spacing w:after="0"/>
            </w:pPr>
            <w:r>
              <w:t>The Roth IRA is unique in that no distributions are required during the original owner’s lifetime. The reason is quite simple. The IRS collects no income tax when Roth IRA distributions are made. Virtually all other tax-deferred retirement vehicles, including qualified plans, are subject to required minimum distributions during the owner’s lifetime.</w:t>
            </w:r>
          </w:p>
        </w:tc>
      </w:tr>
      <w:tr w:rsidR="003279C4" w:rsidRPr="00604D27" w14:paraId="5045AE72" w14:textId="77777777" w:rsidTr="001329B8">
        <w:tc>
          <w:tcPr>
            <w:tcW w:w="9637" w:type="dxa"/>
            <w:tcBorders>
              <w:bottom w:val="single" w:sz="4" w:space="0" w:color="6CA8CD"/>
            </w:tcBorders>
            <w:shd w:val="clear" w:color="auto" w:fill="6CA8CD"/>
            <w:tcMar>
              <w:top w:w="72" w:type="dxa"/>
              <w:left w:w="115" w:type="dxa"/>
              <w:bottom w:w="72" w:type="dxa"/>
              <w:right w:w="115" w:type="dxa"/>
            </w:tcMar>
          </w:tcPr>
          <w:p w14:paraId="78E6FB5A" w14:textId="77777777" w:rsidR="003279C4" w:rsidRPr="00604D27" w:rsidRDefault="003279C4" w:rsidP="001329B8">
            <w:pPr>
              <w:rPr>
                <w:b/>
                <w:color w:val="FFFFFF"/>
              </w:rPr>
            </w:pPr>
            <w:r>
              <w:rPr>
                <w:b/>
                <w:color w:val="FFFFFF"/>
              </w:rPr>
              <w:t xml:space="preserve">Contribute Past Age 70½ </w:t>
            </w:r>
          </w:p>
        </w:tc>
      </w:tr>
      <w:tr w:rsidR="003279C4" w:rsidRPr="00604D27" w14:paraId="3068429D" w14:textId="77777777" w:rsidTr="001329B8">
        <w:trPr>
          <w:trHeight w:val="23"/>
        </w:trPr>
        <w:tc>
          <w:tcPr>
            <w:tcW w:w="9637" w:type="dxa"/>
            <w:shd w:val="clear" w:color="auto" w:fill="FFFFFF"/>
            <w:tcMar>
              <w:top w:w="72" w:type="dxa"/>
              <w:left w:w="115" w:type="dxa"/>
              <w:bottom w:w="72" w:type="dxa"/>
              <w:right w:w="115" w:type="dxa"/>
            </w:tcMar>
          </w:tcPr>
          <w:p w14:paraId="1C4223E8" w14:textId="5436ED0B" w:rsidR="003279C4" w:rsidRPr="00604D27" w:rsidRDefault="003279C4" w:rsidP="001329B8">
            <w:r>
              <w:lastRenderedPageBreak/>
              <w:t>This benefit appeals to clients who choose to work in retirement and wish to continue saving on a tax</w:t>
            </w:r>
            <w:r w:rsidR="00C82D04">
              <w:t>-</w:t>
            </w:r>
            <w:r>
              <w:t>efficient basis. Unlike Traditional IRAs, contributions to Roth IRAs may be made at any age, even if past age 70½, as long as the individual has earned income.</w:t>
            </w:r>
          </w:p>
        </w:tc>
      </w:tr>
      <w:tr w:rsidR="003279C4" w:rsidRPr="00604D27" w14:paraId="15C81A39" w14:textId="77777777" w:rsidTr="001329B8">
        <w:tc>
          <w:tcPr>
            <w:tcW w:w="9637" w:type="dxa"/>
            <w:tcBorders>
              <w:bottom w:val="single" w:sz="4" w:space="0" w:color="6CA8CD"/>
            </w:tcBorders>
            <w:shd w:val="clear" w:color="auto" w:fill="6CA8CD"/>
            <w:tcMar>
              <w:top w:w="72" w:type="dxa"/>
              <w:left w:w="115" w:type="dxa"/>
              <w:bottom w:w="72" w:type="dxa"/>
              <w:right w:w="115" w:type="dxa"/>
            </w:tcMar>
          </w:tcPr>
          <w:p w14:paraId="2AD057E1" w14:textId="194F4E48" w:rsidR="003279C4" w:rsidRPr="00604D27" w:rsidRDefault="003279C4" w:rsidP="001329B8">
            <w:pPr>
              <w:rPr>
                <w:b/>
                <w:color w:val="FFFFFF"/>
              </w:rPr>
            </w:pPr>
            <w:r>
              <w:rPr>
                <w:b/>
                <w:color w:val="FFFFFF"/>
              </w:rPr>
              <w:t>Leave an Income Tax</w:t>
            </w:r>
            <w:r w:rsidR="00C82D04">
              <w:rPr>
                <w:b/>
                <w:color w:val="FFFFFF"/>
              </w:rPr>
              <w:t>-</w:t>
            </w:r>
            <w:r>
              <w:rPr>
                <w:b/>
                <w:color w:val="FFFFFF"/>
              </w:rPr>
              <w:t xml:space="preserve">Free Legacy   </w:t>
            </w:r>
          </w:p>
        </w:tc>
      </w:tr>
      <w:tr w:rsidR="003279C4" w:rsidRPr="00604D27" w14:paraId="111D0364" w14:textId="77777777" w:rsidTr="001329B8">
        <w:trPr>
          <w:trHeight w:val="23"/>
        </w:trPr>
        <w:tc>
          <w:tcPr>
            <w:tcW w:w="9637" w:type="dxa"/>
            <w:shd w:val="clear" w:color="auto" w:fill="FFFFFF"/>
            <w:tcMar>
              <w:top w:w="72" w:type="dxa"/>
              <w:left w:w="115" w:type="dxa"/>
              <w:bottom w:w="72" w:type="dxa"/>
              <w:right w:w="115" w:type="dxa"/>
            </w:tcMar>
          </w:tcPr>
          <w:p w14:paraId="38A2BB20" w14:textId="44785F12" w:rsidR="003279C4" w:rsidRDefault="003279C4" w:rsidP="001329B8">
            <w:r>
              <w:t>What better inheritance than income tax</w:t>
            </w:r>
            <w:r w:rsidR="00C82D04">
              <w:t>-</w:t>
            </w:r>
            <w:r>
              <w:t>free distributions for your loved ones? Roth IRA distributions remain income tax</w:t>
            </w:r>
            <w:r w:rsidR="00C82D04">
              <w:t>-</w:t>
            </w:r>
            <w:r>
              <w:t xml:space="preserve">free when taken by beneficiaries. A married client, at the death of the first spouse, can build an even </w:t>
            </w:r>
            <w:r w:rsidRPr="00360CBF">
              <w:rPr>
                <w:rStyle w:val="Hyperlink"/>
              </w:rPr>
              <w:t>larger income tax</w:t>
            </w:r>
            <w:r w:rsidR="00C82D04">
              <w:rPr>
                <w:rStyle w:val="Hyperlink"/>
              </w:rPr>
              <w:t>-</w:t>
            </w:r>
            <w:r w:rsidRPr="00360CBF">
              <w:rPr>
                <w:rStyle w:val="Hyperlink"/>
              </w:rPr>
              <w:t>free legacy</w:t>
            </w:r>
            <w:r>
              <w:t xml:space="preserve"> for children or grandchildren.  </w:t>
            </w:r>
          </w:p>
          <w:tbl>
            <w:tblPr>
              <w:tblStyle w:val="TableGrid"/>
              <w:tblW w:w="0" w:type="auto"/>
              <w:tblBorders>
                <w:insideH w:val="none" w:sz="0" w:space="0" w:color="auto"/>
                <w:insideV w:val="none" w:sz="0" w:space="0" w:color="auto"/>
              </w:tblBorders>
              <w:shd w:val="clear" w:color="auto" w:fill="E0E0E0"/>
              <w:tblLook w:val="04A0" w:firstRow="1" w:lastRow="0" w:firstColumn="1" w:lastColumn="0" w:noHBand="0" w:noVBand="1"/>
            </w:tblPr>
            <w:tblGrid>
              <w:gridCol w:w="9392"/>
            </w:tblGrid>
            <w:tr w:rsidR="003279C4" w14:paraId="1F23E1F2" w14:textId="77777777" w:rsidTr="001329B8">
              <w:tc>
                <w:tcPr>
                  <w:tcW w:w="9392" w:type="dxa"/>
                  <w:shd w:val="clear" w:color="auto" w:fill="E0E0E0"/>
                </w:tcPr>
                <w:p w14:paraId="55F179DD" w14:textId="3E82812E" w:rsidR="003279C4" w:rsidRPr="00813D5C" w:rsidRDefault="003279C4" w:rsidP="001329B8">
                  <w:r w:rsidRPr="00813D5C">
                    <w:rPr>
                      <w:rStyle w:val="Hyperlink"/>
                      <w:u w:val="none"/>
                    </w:rPr>
                    <w:t>Larger Income Tax</w:t>
                  </w:r>
                  <w:r w:rsidR="00C82D04" w:rsidRPr="00813D5C">
                    <w:rPr>
                      <w:rStyle w:val="Hyperlink"/>
                      <w:u w:val="none"/>
                    </w:rPr>
                    <w:t>-</w:t>
                  </w:r>
                  <w:r w:rsidRPr="00813D5C">
                    <w:rPr>
                      <w:rStyle w:val="Hyperlink"/>
                      <w:u w:val="none"/>
                    </w:rPr>
                    <w:t>Free Legacy</w:t>
                  </w:r>
                </w:p>
                <w:p w14:paraId="2BDCF8D1" w14:textId="77777777" w:rsidR="003279C4" w:rsidRDefault="003279C4" w:rsidP="001329B8">
                  <w:r>
                    <w:t xml:space="preserve">As a little known insight, the owner of a Roth IRA may name her spouse as beneficiary and, at her death, her surviving spouse may rollover her Roth into an inherited Roth IRA for himself. The surviving spouse may choose to become the new owner or be treated as a beneficiary. This strategy requires that he becomes the new owner. </w:t>
                  </w:r>
                </w:p>
                <w:p w14:paraId="5742221F" w14:textId="4DB789E9" w:rsidR="003279C4" w:rsidRDefault="003279C4" w:rsidP="001329B8">
                  <w:r>
                    <w:t>He is not required to take required minimum distributions during his lifetime. This is an opportunity to build an even larger income tax</w:t>
                  </w:r>
                  <w:r w:rsidR="00C82D04">
                    <w:t>-</w:t>
                  </w:r>
                  <w:r>
                    <w:t>free legacy for the couple’s loved ones</w:t>
                  </w:r>
                  <w:r w:rsidR="00C82D04">
                    <w:t>,</w:t>
                  </w:r>
                  <w:r>
                    <w:t xml:space="preserve"> such as children or grandchildren.</w:t>
                  </w:r>
                </w:p>
              </w:tc>
            </w:tr>
          </w:tbl>
          <w:p w14:paraId="3E9FBCDB" w14:textId="77777777" w:rsidR="003279C4" w:rsidRPr="00604D27" w:rsidRDefault="003279C4" w:rsidP="001329B8"/>
        </w:tc>
      </w:tr>
    </w:tbl>
    <w:p w14:paraId="2117C109" w14:textId="77777777" w:rsidR="003279C4" w:rsidRDefault="003279C4" w:rsidP="003279C4">
      <w:pPr>
        <w:spacing w:before="0" w:after="0"/>
      </w:pPr>
    </w:p>
    <w:p w14:paraId="7D23D473" w14:textId="273B02BF" w:rsidR="003279C4" w:rsidRDefault="003279C4" w:rsidP="003279C4">
      <w:pPr>
        <w:spacing w:before="0" w:after="0"/>
        <w:rPr>
          <w:b/>
          <w:bCs/>
          <w:iCs/>
          <w:color w:val="17365D"/>
          <w:sz w:val="28"/>
          <w:szCs w:val="12"/>
        </w:rPr>
      </w:pPr>
      <w:r>
        <w:t xml:space="preserve">To this impressive list of Roth IRA benefits, we </w:t>
      </w:r>
      <w:r w:rsidR="001618D0">
        <w:t>will</w:t>
      </w:r>
      <w:r>
        <w:t xml:space="preserve"> add more </w:t>
      </w:r>
      <w:r w:rsidR="001618D0">
        <w:t xml:space="preserve">powerful </w:t>
      </w:r>
      <w:r>
        <w:t>savings opportunities</w:t>
      </w:r>
      <w:r w:rsidR="002716B1">
        <w:t xml:space="preserve"> on the following page</w:t>
      </w:r>
      <w:r w:rsidR="001618D0">
        <w:t>.</w:t>
      </w:r>
      <w:r>
        <w:t xml:space="preserve"> </w:t>
      </w:r>
      <w:r>
        <w:br w:type="page"/>
      </w:r>
    </w:p>
    <w:p w14:paraId="35B65026" w14:textId="574AF822" w:rsidR="00AC40A8" w:rsidRDefault="00F9394E" w:rsidP="001F3D42">
      <w:pPr>
        <w:pStyle w:val="Heading2"/>
      </w:pPr>
      <w:r>
        <w:lastRenderedPageBreak/>
        <w:t xml:space="preserve">Lowering AGI is a Good Thing - </w:t>
      </w:r>
      <w:r w:rsidR="00AC40A8" w:rsidRPr="000A2B22">
        <w:t>Roth IRA Unique</w:t>
      </w:r>
      <w:r w:rsidR="00424911">
        <w:t xml:space="preserve"> </w:t>
      </w:r>
      <w:r w:rsidR="00AC40A8" w:rsidRPr="006C3645">
        <w:t>Planning Opportunities</w:t>
      </w:r>
    </w:p>
    <w:p w14:paraId="5641AC45" w14:textId="77777777" w:rsidR="00FF3E71" w:rsidRDefault="00FF3E71" w:rsidP="00FF3E71">
      <w:pPr>
        <w:rPr>
          <w:b/>
          <w:color w:val="FF0000"/>
        </w:rPr>
      </w:pPr>
    </w:p>
    <w:p w14:paraId="307ABC7E" w14:textId="69E1F606" w:rsidR="00FF3E71" w:rsidRDefault="00FF3E71" w:rsidP="00FF3E71">
      <w:pPr>
        <w:jc w:val="center"/>
        <w:rPr>
          <w:b/>
          <w:color w:val="FF0000"/>
        </w:rPr>
      </w:pPr>
      <w:r>
        <w:rPr>
          <w:b/>
          <w:noProof/>
          <w:color w:val="FF0000"/>
          <w:lang w:eastAsia="zh-CN"/>
        </w:rPr>
        <w:drawing>
          <wp:inline distT="0" distB="0" distL="0" distR="0" wp14:anchorId="6AD3B132" wp14:editId="4FE837BD">
            <wp:extent cx="5308600" cy="2946400"/>
            <wp:effectExtent l="0" t="0" r="0" b="0"/>
            <wp:docPr id="7" name="Picture 3" descr="Description: Macintosh HD:Users:ricktyler:Desktop:Launch_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ricktyler:Desktop:Launch_Vide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600" cy="2946400"/>
                    </a:xfrm>
                    <a:prstGeom prst="rect">
                      <a:avLst/>
                    </a:prstGeom>
                    <a:noFill/>
                    <a:ln>
                      <a:noFill/>
                    </a:ln>
                  </pic:spPr>
                </pic:pic>
              </a:graphicData>
            </a:graphic>
          </wp:inline>
        </w:drawing>
      </w:r>
    </w:p>
    <w:p w14:paraId="6F9DF70D" w14:textId="77777777" w:rsidR="00FF3E71" w:rsidRDefault="00FF3E71" w:rsidP="00FF3E71">
      <w:pPr>
        <w:jc w:val="center"/>
        <w:rPr>
          <w:b/>
          <w:color w:val="FF0000"/>
        </w:rPr>
      </w:pPr>
    </w:p>
    <w:p w14:paraId="1A1BA04A" w14:textId="77777777" w:rsidR="00FF3E71" w:rsidRDefault="00FF3E71" w:rsidP="00FF3E71">
      <w:pPr>
        <w:jc w:val="center"/>
        <w:rPr>
          <w:b/>
          <w:color w:val="FF0000"/>
        </w:rPr>
      </w:pPr>
    </w:p>
    <w:tbl>
      <w:tblPr>
        <w:tblW w:w="9450" w:type="dxa"/>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1E0" w:firstRow="1" w:lastRow="1" w:firstColumn="1" w:lastColumn="1" w:noHBand="0" w:noVBand="0"/>
      </w:tblPr>
      <w:tblGrid>
        <w:gridCol w:w="5130"/>
        <w:gridCol w:w="4320"/>
      </w:tblGrid>
      <w:tr w:rsidR="00FF3E71" w:rsidRPr="00396697" w14:paraId="43BEACBA" w14:textId="77777777" w:rsidTr="00FF3E71">
        <w:tc>
          <w:tcPr>
            <w:tcW w:w="9450" w:type="dxa"/>
            <w:gridSpan w:val="2"/>
            <w:tcBorders>
              <w:bottom w:val="nil"/>
            </w:tcBorders>
            <w:shd w:val="clear" w:color="auto" w:fill="C4BD97"/>
            <w:vAlign w:val="center"/>
          </w:tcPr>
          <w:p w14:paraId="30E10662" w14:textId="77777777" w:rsidR="00FF3E71" w:rsidRPr="009B4E97" w:rsidRDefault="00FF3E71" w:rsidP="00FF3E71">
            <w:pPr>
              <w:rPr>
                <w:b/>
                <w:bCs/>
                <w:color w:val="000000"/>
              </w:rPr>
            </w:pPr>
            <w:r w:rsidRPr="009B4E97">
              <w:rPr>
                <w:b/>
                <w:bCs/>
                <w:color w:val="000000"/>
              </w:rPr>
              <w:t>Video Script</w:t>
            </w:r>
          </w:p>
        </w:tc>
      </w:tr>
      <w:tr w:rsidR="00FF3E71" w:rsidRPr="00F2482F" w14:paraId="4EB94BD0" w14:textId="77777777" w:rsidTr="00FF3E71">
        <w:tc>
          <w:tcPr>
            <w:tcW w:w="5130" w:type="dxa"/>
            <w:tcBorders>
              <w:top w:val="nil"/>
              <w:right w:val="nil"/>
            </w:tcBorders>
            <w:shd w:val="clear" w:color="auto" w:fill="C4BD97"/>
            <w:vAlign w:val="center"/>
          </w:tcPr>
          <w:p w14:paraId="04F52E38" w14:textId="77777777" w:rsidR="00FF3E71" w:rsidRPr="009B4E97" w:rsidRDefault="00FF3E71" w:rsidP="00FF3E71">
            <w:pPr>
              <w:jc w:val="center"/>
              <w:rPr>
                <w:rFonts w:eastAsia="MS Mincho"/>
                <w:b/>
                <w:color w:val="FFFFFF"/>
                <w:lang w:eastAsia="ja-JP"/>
              </w:rPr>
            </w:pPr>
            <w:r w:rsidRPr="009B4E97">
              <w:rPr>
                <w:rFonts w:eastAsia="MS Mincho"/>
                <w:b/>
                <w:color w:val="FFFFFF"/>
                <w:lang w:eastAsia="ja-JP"/>
              </w:rPr>
              <w:t>Script</w:t>
            </w:r>
          </w:p>
        </w:tc>
        <w:tc>
          <w:tcPr>
            <w:tcW w:w="4320" w:type="dxa"/>
            <w:tcBorders>
              <w:top w:val="nil"/>
              <w:left w:val="nil"/>
            </w:tcBorders>
            <w:shd w:val="clear" w:color="auto" w:fill="C4BD97"/>
            <w:vAlign w:val="center"/>
          </w:tcPr>
          <w:p w14:paraId="4CFADB3B" w14:textId="77777777" w:rsidR="00FF3E71" w:rsidRPr="009B4E97" w:rsidRDefault="00FF3E71" w:rsidP="00FF3E71">
            <w:pPr>
              <w:jc w:val="center"/>
              <w:rPr>
                <w:rFonts w:eastAsia="Arial Unicode MS"/>
                <w:b/>
                <w:color w:val="FFFFFF"/>
              </w:rPr>
            </w:pPr>
            <w:r w:rsidRPr="009B4E97">
              <w:rPr>
                <w:rFonts w:eastAsia="Arial Unicode MS"/>
                <w:b/>
                <w:color w:val="FFFFFF"/>
              </w:rPr>
              <w:t>On Screen Text</w:t>
            </w:r>
          </w:p>
        </w:tc>
      </w:tr>
      <w:tr w:rsidR="00FF3E71" w:rsidRPr="00396697" w14:paraId="579C6C31" w14:textId="77777777" w:rsidTr="00FF3E71">
        <w:tc>
          <w:tcPr>
            <w:tcW w:w="5130" w:type="dxa"/>
            <w:shd w:val="clear" w:color="auto" w:fill="EEECE1"/>
          </w:tcPr>
          <w:p w14:paraId="2CE3AF83" w14:textId="244CD19E" w:rsidR="007D01F2" w:rsidRPr="00424911" w:rsidRDefault="007D01F2" w:rsidP="007D01F2">
            <w:pPr>
              <w:rPr>
                <w:color w:val="FF0000"/>
              </w:rPr>
            </w:pPr>
            <w:r w:rsidRPr="00424911">
              <w:rPr>
                <w:color w:val="FF0000"/>
              </w:rPr>
              <w:t xml:space="preserve">[first </w:t>
            </w:r>
            <w:r w:rsidR="00424911" w:rsidRPr="00424911">
              <w:rPr>
                <w:color w:val="FF0000"/>
              </w:rPr>
              <w:t xml:space="preserve">- </w:t>
            </w:r>
            <w:r w:rsidRPr="00424911">
              <w:rPr>
                <w:color w:val="FF0000"/>
              </w:rPr>
              <w:t>on screen text appears]</w:t>
            </w:r>
          </w:p>
          <w:p w14:paraId="22C90879" w14:textId="60FCA9DC" w:rsidR="00BF7986" w:rsidRDefault="00FF3E71" w:rsidP="00FF3E71">
            <w:pPr>
              <w:rPr>
                <w:color w:val="0000FF"/>
              </w:rPr>
            </w:pPr>
            <w:r w:rsidRPr="00FF3E71">
              <w:rPr>
                <w:color w:val="0000FF"/>
              </w:rPr>
              <w:t>Would you pick up an extra $5,000 that was l</w:t>
            </w:r>
            <w:r w:rsidR="00EC7118">
              <w:rPr>
                <w:color w:val="0000FF"/>
              </w:rPr>
              <w:t>ay</w:t>
            </w:r>
            <w:r w:rsidRPr="00FF3E71">
              <w:rPr>
                <w:color w:val="0000FF"/>
              </w:rPr>
              <w:t xml:space="preserve">ing on the sidewalk? What if you could do that not once but every year? There could be that much </w:t>
            </w:r>
            <w:r w:rsidR="002D16D8">
              <w:rPr>
                <w:color w:val="0000FF"/>
              </w:rPr>
              <w:t xml:space="preserve">or more </w:t>
            </w:r>
            <w:r w:rsidRPr="00FF3E71">
              <w:rPr>
                <w:color w:val="0000FF"/>
              </w:rPr>
              <w:t xml:space="preserve">on the sidewalk </w:t>
            </w:r>
            <w:r w:rsidR="00C316F6">
              <w:rPr>
                <w:color w:val="0000FF"/>
              </w:rPr>
              <w:t xml:space="preserve">for you or </w:t>
            </w:r>
            <w:r w:rsidRPr="00FF3E71">
              <w:rPr>
                <w:color w:val="0000FF"/>
              </w:rPr>
              <w:t>your clients</w:t>
            </w:r>
            <w:r w:rsidR="001A05CA">
              <w:rPr>
                <w:color w:val="0000FF"/>
              </w:rPr>
              <w:t xml:space="preserve"> using </w:t>
            </w:r>
            <w:r w:rsidR="00BF7986">
              <w:rPr>
                <w:color w:val="0000FF"/>
              </w:rPr>
              <w:t>income tax</w:t>
            </w:r>
            <w:r w:rsidR="00424911">
              <w:rPr>
                <w:color w:val="0000FF"/>
              </w:rPr>
              <w:t>-</w:t>
            </w:r>
            <w:r w:rsidR="00BF7986">
              <w:rPr>
                <w:color w:val="0000FF"/>
              </w:rPr>
              <w:t xml:space="preserve">free distributions from </w:t>
            </w:r>
            <w:r w:rsidR="001A05CA">
              <w:rPr>
                <w:color w:val="0000FF"/>
              </w:rPr>
              <w:t>Roth IRAs</w:t>
            </w:r>
            <w:r w:rsidR="00C316F6">
              <w:rPr>
                <w:color w:val="0000FF"/>
              </w:rPr>
              <w:t xml:space="preserve"> d</w:t>
            </w:r>
            <w:r w:rsidR="001A05CA">
              <w:rPr>
                <w:color w:val="0000FF"/>
              </w:rPr>
              <w:t>uring retirement</w:t>
            </w:r>
            <w:r w:rsidR="00C316F6">
              <w:rPr>
                <w:color w:val="0000FF"/>
              </w:rPr>
              <w:t xml:space="preserve">. </w:t>
            </w:r>
          </w:p>
          <w:p w14:paraId="7EA287F0" w14:textId="12F12F5A" w:rsidR="001A05CA" w:rsidRDefault="007D01F2" w:rsidP="00FF3E71">
            <w:pPr>
              <w:rPr>
                <w:color w:val="0000FF"/>
              </w:rPr>
            </w:pPr>
            <w:r w:rsidRPr="00424911">
              <w:rPr>
                <w:color w:val="FF0000"/>
              </w:rPr>
              <w:t>[1st bullet point appears]</w:t>
            </w:r>
            <w:r>
              <w:rPr>
                <w:color w:val="0000FF"/>
              </w:rPr>
              <w:t xml:space="preserve"> </w:t>
            </w:r>
            <w:r w:rsidR="00C316F6">
              <w:rPr>
                <w:color w:val="0000FF"/>
              </w:rPr>
              <w:t>Here’s the real story behind what we are about t</w:t>
            </w:r>
            <w:r w:rsidR="00BF7986">
              <w:rPr>
                <w:color w:val="0000FF"/>
              </w:rPr>
              <w:t xml:space="preserve">o share. Roth IRA distributions </w:t>
            </w:r>
            <w:r w:rsidR="00C316F6">
              <w:rPr>
                <w:color w:val="0000FF"/>
              </w:rPr>
              <w:t>reduce your adjusted gross income when compar</w:t>
            </w:r>
            <w:r>
              <w:rPr>
                <w:color w:val="0000FF"/>
              </w:rPr>
              <w:t>ed to taxable IRA distributions</w:t>
            </w:r>
            <w:r w:rsidR="00BF7986">
              <w:rPr>
                <w:color w:val="0000FF"/>
              </w:rPr>
              <w:t xml:space="preserve">. </w:t>
            </w:r>
            <w:r w:rsidR="00C316F6">
              <w:rPr>
                <w:color w:val="0000FF"/>
              </w:rPr>
              <w:t xml:space="preserve">A lower gross income </w:t>
            </w:r>
            <w:r w:rsidR="00BF7986">
              <w:rPr>
                <w:color w:val="0000FF"/>
              </w:rPr>
              <w:t>is an opportunity to save</w:t>
            </w:r>
            <w:r w:rsidR="00C316F6">
              <w:rPr>
                <w:color w:val="0000FF"/>
              </w:rPr>
              <w:t xml:space="preserve"> </w:t>
            </w:r>
            <w:r w:rsidR="00782A45">
              <w:rPr>
                <w:color w:val="0000FF"/>
              </w:rPr>
              <w:t>significant</w:t>
            </w:r>
            <w:r w:rsidR="00C316F6">
              <w:rPr>
                <w:color w:val="0000FF"/>
              </w:rPr>
              <w:t xml:space="preserve"> money in ways </w:t>
            </w:r>
            <w:r w:rsidR="00BF7986">
              <w:rPr>
                <w:color w:val="0000FF"/>
              </w:rPr>
              <w:t xml:space="preserve">not commonly understood by even experienced advisors. We will share just three such opportunities beginning now. </w:t>
            </w:r>
            <w:r w:rsidR="001A05CA">
              <w:rPr>
                <w:color w:val="0000FF"/>
              </w:rPr>
              <w:br/>
            </w:r>
          </w:p>
          <w:p w14:paraId="79427972" w14:textId="51E8602E" w:rsidR="00BF7986" w:rsidRDefault="00FF3E71" w:rsidP="00FF3E71">
            <w:pPr>
              <w:rPr>
                <w:color w:val="0000FF"/>
              </w:rPr>
            </w:pPr>
            <w:r w:rsidRPr="00FF3E71">
              <w:rPr>
                <w:color w:val="0000FF"/>
              </w:rPr>
              <w:lastRenderedPageBreak/>
              <w:t>Your clients probably understand that the Roth IRA provide</w:t>
            </w:r>
            <w:r w:rsidR="00ED1C9A">
              <w:rPr>
                <w:color w:val="0000FF"/>
              </w:rPr>
              <w:t>s</w:t>
            </w:r>
            <w:r w:rsidR="00424911">
              <w:rPr>
                <w:color w:val="0000FF"/>
              </w:rPr>
              <w:t xml:space="preserve"> income tax-</w:t>
            </w:r>
            <w:r w:rsidRPr="00FF3E71">
              <w:rPr>
                <w:color w:val="0000FF"/>
              </w:rPr>
              <w:t xml:space="preserve">free distributions in retirement. But, your clients may not have been made aware that Roth IRA distributions can </w:t>
            </w:r>
            <w:r w:rsidR="007D01F2" w:rsidRPr="00424911">
              <w:rPr>
                <w:color w:val="FF0000"/>
              </w:rPr>
              <w:t>[2nd bullet point</w:t>
            </w:r>
            <w:r w:rsidR="00EC7118" w:rsidRPr="00424911">
              <w:rPr>
                <w:color w:val="FF0000"/>
              </w:rPr>
              <w:t xml:space="preserve"> appears</w:t>
            </w:r>
            <w:r w:rsidR="007D01F2" w:rsidRPr="00424911">
              <w:rPr>
                <w:color w:val="FF0000"/>
              </w:rPr>
              <w:t>]</w:t>
            </w:r>
            <w:r w:rsidR="007D01F2" w:rsidRPr="00FF3E71">
              <w:rPr>
                <w:color w:val="0000FF"/>
              </w:rPr>
              <w:t xml:space="preserve">, </w:t>
            </w:r>
            <w:r w:rsidRPr="00FF3E71">
              <w:rPr>
                <w:color w:val="0000FF"/>
              </w:rPr>
              <w:t>reduce income taxes on Social Security retirement benefits</w:t>
            </w:r>
            <w:r w:rsidR="007D01F2">
              <w:rPr>
                <w:color w:val="0000FF"/>
              </w:rPr>
              <w:t>,</w:t>
            </w:r>
            <w:r w:rsidR="00BF7986">
              <w:rPr>
                <w:color w:val="0000FF"/>
              </w:rPr>
              <w:t xml:space="preserve"> </w:t>
            </w:r>
            <w:r w:rsidR="007D01F2" w:rsidRPr="00424911">
              <w:rPr>
                <w:color w:val="FF0000"/>
              </w:rPr>
              <w:t>[3rd bullet point</w:t>
            </w:r>
            <w:r w:rsidR="00EC7118" w:rsidRPr="00424911">
              <w:rPr>
                <w:color w:val="FF0000"/>
              </w:rPr>
              <w:t xml:space="preserve"> appears</w:t>
            </w:r>
            <w:r w:rsidR="007D01F2" w:rsidRPr="00424911">
              <w:rPr>
                <w:color w:val="FF0000"/>
              </w:rPr>
              <w:t>]</w:t>
            </w:r>
            <w:r w:rsidR="007D01F2">
              <w:rPr>
                <w:color w:val="0000FF"/>
              </w:rPr>
              <w:t xml:space="preserve">, </w:t>
            </w:r>
            <w:r w:rsidRPr="00FF3E71">
              <w:rPr>
                <w:color w:val="0000FF"/>
              </w:rPr>
              <w:t xml:space="preserve">minimize the 3.8% Net Investment Income Tax, </w:t>
            </w:r>
            <w:r w:rsidR="007D01F2" w:rsidRPr="00424911">
              <w:rPr>
                <w:color w:val="FF0000"/>
              </w:rPr>
              <w:t>[4th bullet point</w:t>
            </w:r>
            <w:r w:rsidR="00F17D2F" w:rsidRPr="00424911">
              <w:rPr>
                <w:color w:val="FF0000"/>
              </w:rPr>
              <w:t xml:space="preserve"> appears</w:t>
            </w:r>
            <w:r w:rsidR="007D01F2" w:rsidRPr="00424911">
              <w:rPr>
                <w:color w:val="FF0000"/>
              </w:rPr>
              <w:t>]</w:t>
            </w:r>
            <w:r w:rsidR="007D01F2">
              <w:rPr>
                <w:color w:val="0000FF"/>
              </w:rPr>
              <w:t xml:space="preserve"> </w:t>
            </w:r>
            <w:r w:rsidRPr="00FF3E71">
              <w:rPr>
                <w:color w:val="0000FF"/>
              </w:rPr>
              <w:t>and</w:t>
            </w:r>
            <w:r w:rsidR="00ED1C9A">
              <w:rPr>
                <w:color w:val="0000FF"/>
              </w:rPr>
              <w:t xml:space="preserve"> even</w:t>
            </w:r>
            <w:r w:rsidRPr="00FF3E71">
              <w:rPr>
                <w:color w:val="0000FF"/>
              </w:rPr>
              <w:t xml:space="preserve"> cut Medicare premiums</w:t>
            </w:r>
            <w:r w:rsidR="00F969C2">
              <w:rPr>
                <w:color w:val="0000FF"/>
              </w:rPr>
              <w:t>.</w:t>
            </w:r>
            <w:r w:rsidR="00BF7986">
              <w:rPr>
                <w:color w:val="0000FF"/>
              </w:rPr>
              <w:t xml:space="preserve"> </w:t>
            </w:r>
          </w:p>
          <w:p w14:paraId="2A90DD2D" w14:textId="77777777" w:rsidR="00F45092" w:rsidRDefault="00BF7986">
            <w:pPr>
              <w:rPr>
                <w:color w:val="0000FF"/>
              </w:rPr>
            </w:pPr>
            <w:r>
              <w:rPr>
                <w:color w:val="0000FF"/>
              </w:rPr>
              <w:t xml:space="preserve">All of these savings are made possible by reducing Adjusted Gross Income through the use of the Roth IRA. </w:t>
            </w:r>
            <w:r w:rsidR="007D01F2" w:rsidRPr="00424911">
              <w:rPr>
                <w:color w:val="FF0000"/>
              </w:rPr>
              <w:t>[last line appears]</w:t>
            </w:r>
            <w:r w:rsidR="007D01F2" w:rsidRPr="00FF3E71">
              <w:rPr>
                <w:color w:val="0000FF"/>
              </w:rPr>
              <w:t>.</w:t>
            </w:r>
            <w:r w:rsidR="00782A45">
              <w:rPr>
                <w:color w:val="0000FF"/>
              </w:rPr>
              <w:t xml:space="preserve"> </w:t>
            </w:r>
          </w:p>
          <w:p w14:paraId="359E3B30" w14:textId="5C7C686A" w:rsidR="00FF3E71" w:rsidRPr="00196F5D" w:rsidRDefault="00FF3E71">
            <w:pPr>
              <w:rPr>
                <w:color w:val="0000FF"/>
              </w:rPr>
            </w:pPr>
            <w:r w:rsidRPr="00FF3E71">
              <w:rPr>
                <w:color w:val="0000FF"/>
              </w:rPr>
              <w:t xml:space="preserve">The combination of those annual savings could reach $5,000 or more for </w:t>
            </w:r>
            <w:r w:rsidR="00BF7986">
              <w:rPr>
                <w:color w:val="0000FF"/>
              </w:rPr>
              <w:t xml:space="preserve">you or your </w:t>
            </w:r>
            <w:r w:rsidRPr="00FF3E71">
              <w:rPr>
                <w:color w:val="0000FF"/>
              </w:rPr>
              <w:t>clients</w:t>
            </w:r>
            <w:r w:rsidR="00782A45">
              <w:rPr>
                <w:color w:val="0000FF"/>
              </w:rPr>
              <w:t xml:space="preserve">. Because these </w:t>
            </w:r>
            <w:r w:rsidR="00F45092">
              <w:rPr>
                <w:color w:val="0000FF"/>
              </w:rPr>
              <w:t xml:space="preserve">savings </w:t>
            </w:r>
            <w:r w:rsidR="00782A45">
              <w:rPr>
                <w:color w:val="0000FF"/>
              </w:rPr>
              <w:t>opportunities are not commonly understood, you may find that you</w:t>
            </w:r>
            <w:r w:rsidR="00F45092">
              <w:rPr>
                <w:color w:val="0000FF"/>
              </w:rPr>
              <w:t>r knowledge</w:t>
            </w:r>
            <w:r w:rsidR="00782A45">
              <w:rPr>
                <w:color w:val="0000FF"/>
              </w:rPr>
              <w:t xml:space="preserve"> will impress clients, amaze friends, and confound </w:t>
            </w:r>
            <w:r w:rsidR="003443C4">
              <w:rPr>
                <w:color w:val="0000FF"/>
              </w:rPr>
              <w:t xml:space="preserve">the competition. </w:t>
            </w:r>
          </w:p>
        </w:tc>
        <w:tc>
          <w:tcPr>
            <w:tcW w:w="4320" w:type="dxa"/>
            <w:shd w:val="clear" w:color="auto" w:fill="EEECE1"/>
          </w:tcPr>
          <w:p w14:paraId="06C17EBF" w14:textId="2BBE7FB4" w:rsidR="00E25E3A" w:rsidRPr="00CE56A9" w:rsidRDefault="00101B50" w:rsidP="00E25E3A">
            <w:pPr>
              <w:pStyle w:val="ListParagraph"/>
              <w:ind w:left="0"/>
              <w:contextualSpacing w:val="0"/>
              <w:rPr>
                <w:rFonts w:eastAsia="Arial Unicode MS"/>
                <w:b/>
                <w:color w:val="0000FF"/>
              </w:rPr>
            </w:pPr>
            <w:r>
              <w:rPr>
                <w:rFonts w:eastAsia="Arial Unicode MS"/>
                <w:b/>
                <w:color w:val="0000FF"/>
              </w:rPr>
              <w:lastRenderedPageBreak/>
              <w:t>A Roth IRA provides more than just income tax</w:t>
            </w:r>
            <w:r w:rsidR="00424911">
              <w:rPr>
                <w:rFonts w:eastAsia="Arial Unicode MS"/>
                <w:b/>
                <w:color w:val="0000FF"/>
              </w:rPr>
              <w:t>-</w:t>
            </w:r>
            <w:r>
              <w:rPr>
                <w:rFonts w:eastAsia="Arial Unicode MS"/>
                <w:b/>
                <w:color w:val="0000FF"/>
              </w:rPr>
              <w:t>free income</w:t>
            </w:r>
            <w:r w:rsidR="007D01F2">
              <w:rPr>
                <w:rFonts w:eastAsia="Arial Unicode MS"/>
                <w:b/>
                <w:color w:val="0000FF"/>
              </w:rPr>
              <w:t>.</w:t>
            </w:r>
            <w:r>
              <w:rPr>
                <w:rFonts w:eastAsia="Arial Unicode MS"/>
                <w:b/>
                <w:color w:val="0000FF"/>
              </w:rPr>
              <w:t xml:space="preserve"> </w:t>
            </w:r>
            <w:r w:rsidR="00E25E3A">
              <w:rPr>
                <w:rFonts w:eastAsia="Arial Unicode MS"/>
                <w:b/>
                <w:color w:val="0000FF"/>
              </w:rPr>
              <w:t>In addition, a Roth IRA can:</w:t>
            </w:r>
          </w:p>
          <w:p w14:paraId="0D942315" w14:textId="4635E406" w:rsidR="00CE56A9" w:rsidRDefault="007D01F2" w:rsidP="00E25E3A">
            <w:pPr>
              <w:pStyle w:val="ListParagraph"/>
              <w:numPr>
                <w:ilvl w:val="0"/>
                <w:numId w:val="29"/>
              </w:numPr>
              <w:contextualSpacing w:val="0"/>
              <w:rPr>
                <w:rFonts w:eastAsia="Arial Unicode MS"/>
                <w:color w:val="0000FF"/>
              </w:rPr>
            </w:pPr>
            <w:r>
              <w:rPr>
                <w:rFonts w:eastAsia="Arial Unicode MS"/>
                <w:color w:val="0000FF"/>
              </w:rPr>
              <w:t>Reduce adjusted gross i</w:t>
            </w:r>
            <w:r w:rsidR="00BF7986">
              <w:rPr>
                <w:rFonts w:eastAsia="Arial Unicode MS"/>
                <w:color w:val="0000FF"/>
              </w:rPr>
              <w:t>ncome vs. Traditional IRA distributions</w:t>
            </w:r>
            <w:r w:rsidR="00CE56A9">
              <w:rPr>
                <w:rFonts w:eastAsia="Arial Unicode MS"/>
                <w:color w:val="0000FF"/>
              </w:rPr>
              <w:t>,</w:t>
            </w:r>
          </w:p>
          <w:p w14:paraId="749599E6" w14:textId="516E4B63" w:rsidR="00CE56A9" w:rsidRDefault="00CE56A9" w:rsidP="00E25E3A">
            <w:pPr>
              <w:pStyle w:val="ListParagraph"/>
              <w:numPr>
                <w:ilvl w:val="0"/>
                <w:numId w:val="29"/>
              </w:numPr>
              <w:contextualSpacing w:val="0"/>
              <w:rPr>
                <w:rFonts w:eastAsia="Arial Unicode MS"/>
                <w:color w:val="0000FF"/>
              </w:rPr>
            </w:pPr>
            <w:r>
              <w:rPr>
                <w:rFonts w:eastAsia="Arial Unicode MS"/>
                <w:color w:val="0000FF"/>
              </w:rPr>
              <w:t>Reduce income taxes on Social Security retirement benefits,</w:t>
            </w:r>
          </w:p>
          <w:p w14:paraId="2582AE02" w14:textId="1C798689" w:rsidR="00CE56A9" w:rsidRDefault="00F45092" w:rsidP="00E25E3A">
            <w:pPr>
              <w:pStyle w:val="ListParagraph"/>
              <w:numPr>
                <w:ilvl w:val="0"/>
                <w:numId w:val="29"/>
              </w:numPr>
              <w:contextualSpacing w:val="0"/>
              <w:rPr>
                <w:rFonts w:eastAsia="Arial Unicode MS"/>
                <w:color w:val="0000FF"/>
              </w:rPr>
            </w:pPr>
            <w:r>
              <w:rPr>
                <w:rFonts w:eastAsia="Arial Unicode MS"/>
                <w:color w:val="0000FF"/>
              </w:rPr>
              <w:t>Avoid or m</w:t>
            </w:r>
            <w:r w:rsidR="001A05CA">
              <w:rPr>
                <w:rFonts w:eastAsia="Arial Unicode MS"/>
                <w:color w:val="0000FF"/>
              </w:rPr>
              <w:t>inimize the 3.8% N</w:t>
            </w:r>
            <w:r w:rsidR="00CE56A9">
              <w:rPr>
                <w:rFonts w:eastAsia="Arial Unicode MS"/>
                <w:color w:val="0000FF"/>
              </w:rPr>
              <w:t>et Investment Income Tax,</w:t>
            </w:r>
            <w:r w:rsidR="00424911">
              <w:rPr>
                <w:rFonts w:eastAsia="Arial Unicode MS"/>
                <w:color w:val="0000FF"/>
              </w:rPr>
              <w:t xml:space="preserve"> and/or</w:t>
            </w:r>
          </w:p>
          <w:p w14:paraId="61B92BAE" w14:textId="115FCEF7" w:rsidR="00CE56A9" w:rsidRPr="00E25E3A" w:rsidRDefault="00424911" w:rsidP="00E25E3A">
            <w:pPr>
              <w:pStyle w:val="ListParagraph"/>
              <w:numPr>
                <w:ilvl w:val="0"/>
                <w:numId w:val="29"/>
              </w:numPr>
              <w:contextualSpacing w:val="0"/>
              <w:rPr>
                <w:rFonts w:eastAsia="Arial Unicode MS"/>
                <w:color w:val="0000FF"/>
              </w:rPr>
            </w:pPr>
            <w:r>
              <w:rPr>
                <w:rFonts w:eastAsia="Arial Unicode MS"/>
                <w:color w:val="0000FF"/>
              </w:rPr>
              <w:t>C</w:t>
            </w:r>
            <w:r w:rsidR="00CE56A9">
              <w:rPr>
                <w:rFonts w:eastAsia="Arial Unicode MS"/>
                <w:color w:val="0000FF"/>
              </w:rPr>
              <w:t>ut Medicare premiums</w:t>
            </w:r>
          </w:p>
          <w:p w14:paraId="12516500" w14:textId="2BAB178F" w:rsidR="00CE56A9" w:rsidRPr="00E25E3A" w:rsidRDefault="00CE56A9" w:rsidP="00E25E3A">
            <w:pPr>
              <w:rPr>
                <w:rFonts w:eastAsia="Arial Unicode MS"/>
                <w:color w:val="0000FF"/>
              </w:rPr>
            </w:pPr>
            <w:r>
              <w:rPr>
                <w:rFonts w:eastAsia="Arial Unicode MS"/>
                <w:color w:val="0000FF"/>
              </w:rPr>
              <w:t xml:space="preserve">These combined </w:t>
            </w:r>
            <w:r w:rsidR="00E25E3A">
              <w:rPr>
                <w:rFonts w:eastAsia="Arial Unicode MS"/>
                <w:color w:val="0000FF"/>
              </w:rPr>
              <w:t>annual savings could reach $5,000 or more for certain clients.</w:t>
            </w:r>
          </w:p>
        </w:tc>
      </w:tr>
    </w:tbl>
    <w:p w14:paraId="043EF4AB" w14:textId="46FE6E3B" w:rsidR="00F444B5" w:rsidRDefault="00AC40A8" w:rsidP="003672B0">
      <w:pPr>
        <w:rPr>
          <w:rStyle w:val="Hyperlink"/>
          <w:b w:val="0"/>
          <w:color w:val="000000"/>
          <w:u w:val="none"/>
        </w:rPr>
      </w:pPr>
      <w:r w:rsidRPr="001F3D42">
        <w:rPr>
          <w:rStyle w:val="Hyperlink"/>
          <w:b w:val="0"/>
          <w:color w:val="000000"/>
          <w:u w:val="none"/>
        </w:rPr>
        <w:lastRenderedPageBreak/>
        <w:t xml:space="preserve">Conventional wisdom holds that current and future income tax rates should be the driver in deciding between Roth and non-Roth contributions during the accumulation period. </w:t>
      </w:r>
      <w:r w:rsidR="006B0B8B">
        <w:rPr>
          <w:rStyle w:val="Hyperlink"/>
          <w:b w:val="0"/>
          <w:color w:val="000000"/>
          <w:u w:val="none"/>
        </w:rPr>
        <w:t>Conventional wisdom is not wrong</w:t>
      </w:r>
      <w:r w:rsidR="00424911">
        <w:rPr>
          <w:rStyle w:val="Hyperlink"/>
          <w:b w:val="0"/>
          <w:color w:val="000000"/>
          <w:u w:val="none"/>
        </w:rPr>
        <w:t>;</w:t>
      </w:r>
      <w:r w:rsidR="006B0B8B">
        <w:rPr>
          <w:rStyle w:val="Hyperlink"/>
          <w:b w:val="0"/>
          <w:color w:val="000000"/>
          <w:u w:val="none"/>
        </w:rPr>
        <w:t xml:space="preserve"> </w:t>
      </w:r>
      <w:r w:rsidR="00E66296">
        <w:rPr>
          <w:rStyle w:val="Hyperlink"/>
          <w:b w:val="0"/>
          <w:color w:val="000000"/>
          <w:u w:val="none"/>
        </w:rPr>
        <w:t>however</w:t>
      </w:r>
      <w:r w:rsidR="00424911">
        <w:rPr>
          <w:rStyle w:val="Hyperlink"/>
          <w:b w:val="0"/>
          <w:color w:val="000000"/>
          <w:u w:val="none"/>
        </w:rPr>
        <w:t>,</w:t>
      </w:r>
      <w:r w:rsidR="00E66296">
        <w:rPr>
          <w:rStyle w:val="Hyperlink"/>
          <w:b w:val="0"/>
          <w:color w:val="000000"/>
          <w:u w:val="none"/>
        </w:rPr>
        <w:t xml:space="preserve"> it may be </w:t>
      </w:r>
      <w:r w:rsidR="006B0B8B">
        <w:rPr>
          <w:rStyle w:val="Hyperlink"/>
          <w:b w:val="0"/>
          <w:color w:val="000000"/>
          <w:u w:val="none"/>
        </w:rPr>
        <w:t>superficial. T</w:t>
      </w:r>
      <w:r w:rsidRPr="001F3D42">
        <w:rPr>
          <w:rStyle w:val="Hyperlink"/>
          <w:b w:val="0"/>
          <w:color w:val="000000"/>
          <w:u w:val="none"/>
        </w:rPr>
        <w:t xml:space="preserve">here are </w:t>
      </w:r>
      <w:r w:rsidR="006B0B8B">
        <w:rPr>
          <w:rStyle w:val="Hyperlink"/>
          <w:b w:val="0"/>
          <w:color w:val="000000"/>
          <w:u w:val="none"/>
        </w:rPr>
        <w:t>other valuable and unique R</w:t>
      </w:r>
      <w:r w:rsidR="002D16D8">
        <w:rPr>
          <w:rStyle w:val="Hyperlink"/>
          <w:b w:val="0"/>
          <w:color w:val="000000"/>
          <w:u w:val="none"/>
        </w:rPr>
        <w:t xml:space="preserve">oth IRA </w:t>
      </w:r>
      <w:r w:rsidR="006B0B8B">
        <w:rPr>
          <w:rStyle w:val="Hyperlink"/>
          <w:b w:val="0"/>
          <w:color w:val="000000"/>
          <w:u w:val="none"/>
        </w:rPr>
        <w:t xml:space="preserve">planning opportunities </w:t>
      </w:r>
      <w:r w:rsidRPr="001F3D42">
        <w:rPr>
          <w:rStyle w:val="Hyperlink"/>
          <w:b w:val="0"/>
          <w:color w:val="000000"/>
          <w:u w:val="none"/>
        </w:rPr>
        <w:t>seldom appre</w:t>
      </w:r>
      <w:r w:rsidR="009876BC" w:rsidRPr="001F3D42">
        <w:rPr>
          <w:rStyle w:val="Hyperlink"/>
          <w:b w:val="0"/>
          <w:color w:val="000000"/>
          <w:u w:val="none"/>
        </w:rPr>
        <w:t>ciated by advisors</w:t>
      </w:r>
      <w:r w:rsidR="00F444B5">
        <w:rPr>
          <w:rStyle w:val="Hyperlink"/>
          <w:b w:val="0"/>
          <w:color w:val="000000"/>
          <w:u w:val="none"/>
        </w:rPr>
        <w:t xml:space="preserve"> much less </w:t>
      </w:r>
      <w:r w:rsidR="001273C3">
        <w:rPr>
          <w:rStyle w:val="Hyperlink"/>
          <w:b w:val="0"/>
          <w:color w:val="000000"/>
          <w:u w:val="none"/>
        </w:rPr>
        <w:t>articulated to</w:t>
      </w:r>
      <w:r w:rsidR="00F444B5">
        <w:rPr>
          <w:rStyle w:val="Hyperlink"/>
          <w:b w:val="0"/>
          <w:color w:val="000000"/>
          <w:u w:val="none"/>
        </w:rPr>
        <w:t xml:space="preserve"> clients</w:t>
      </w:r>
      <w:r w:rsidR="006B0B8B">
        <w:rPr>
          <w:rStyle w:val="Hyperlink"/>
          <w:b w:val="0"/>
          <w:color w:val="000000"/>
          <w:u w:val="none"/>
        </w:rPr>
        <w:t xml:space="preserve">. </w:t>
      </w:r>
    </w:p>
    <w:p w14:paraId="46012101" w14:textId="45E61B8C" w:rsidR="003672B0" w:rsidRPr="00424911" w:rsidRDefault="006B0B8B" w:rsidP="003672B0">
      <w:pPr>
        <w:rPr>
          <w:b/>
          <w:color w:val="FF0000"/>
        </w:rPr>
      </w:pPr>
      <w:r>
        <w:rPr>
          <w:rStyle w:val="Hyperlink"/>
          <w:b w:val="0"/>
          <w:color w:val="000000"/>
          <w:u w:val="none"/>
        </w:rPr>
        <w:t>Each of the three unique opportunities discussed below have a common theme</w:t>
      </w:r>
      <w:r w:rsidR="00424911">
        <w:rPr>
          <w:rStyle w:val="Hyperlink"/>
          <w:b w:val="0"/>
          <w:color w:val="000000"/>
          <w:u w:val="none"/>
        </w:rPr>
        <w:t xml:space="preserve"> – </w:t>
      </w:r>
      <w:r>
        <w:rPr>
          <w:rStyle w:val="Hyperlink"/>
          <w:b w:val="0"/>
          <w:color w:val="000000"/>
          <w:u w:val="none"/>
        </w:rPr>
        <w:t xml:space="preserve">saving money by reducing a client’s adjusted gross income </w:t>
      </w:r>
      <w:r w:rsidR="00450A8A">
        <w:rPr>
          <w:rStyle w:val="Hyperlink"/>
          <w:b w:val="0"/>
          <w:color w:val="000000"/>
          <w:u w:val="none"/>
        </w:rPr>
        <w:t>through</w:t>
      </w:r>
      <w:r>
        <w:rPr>
          <w:rStyle w:val="Hyperlink"/>
          <w:b w:val="0"/>
          <w:color w:val="000000"/>
          <w:u w:val="none"/>
        </w:rPr>
        <w:t xml:space="preserve"> Roth IRA distributions. </w:t>
      </w:r>
      <w:r w:rsidR="00ED1C9A" w:rsidRPr="00424911">
        <w:rPr>
          <w:rStyle w:val="Hyperlink"/>
          <w:color w:val="FF0000"/>
          <w:u w:val="none"/>
        </w:rPr>
        <w:t xml:space="preserve">Click each </w:t>
      </w:r>
      <w:r w:rsidRPr="00424911">
        <w:rPr>
          <w:rStyle w:val="Hyperlink"/>
          <w:color w:val="FF0000"/>
          <w:u w:val="none"/>
        </w:rPr>
        <w:t xml:space="preserve">opportunity </w:t>
      </w:r>
      <w:r w:rsidR="00ED1C9A" w:rsidRPr="00424911">
        <w:rPr>
          <w:rStyle w:val="Hyperlink"/>
          <w:color w:val="FF0000"/>
          <w:u w:val="none"/>
        </w:rPr>
        <w:t>to learn more.</w:t>
      </w:r>
    </w:p>
    <w:tbl>
      <w:tblPr>
        <w:tblW w:w="9637" w:type="dxa"/>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637"/>
      </w:tblGrid>
      <w:tr w:rsidR="003672B0" w:rsidRPr="00604D27" w14:paraId="48020614" w14:textId="77777777" w:rsidTr="00645117">
        <w:tc>
          <w:tcPr>
            <w:tcW w:w="9637" w:type="dxa"/>
            <w:tcBorders>
              <w:bottom w:val="single" w:sz="4" w:space="0" w:color="6CA8CD"/>
            </w:tcBorders>
            <w:shd w:val="clear" w:color="auto" w:fill="6CA8CD"/>
            <w:tcMar>
              <w:top w:w="72" w:type="dxa"/>
              <w:left w:w="115" w:type="dxa"/>
              <w:bottom w:w="72" w:type="dxa"/>
              <w:right w:w="115" w:type="dxa"/>
            </w:tcMar>
          </w:tcPr>
          <w:p w14:paraId="345BFCE7" w14:textId="49E1E1D8" w:rsidR="003672B0" w:rsidRPr="00604D27" w:rsidRDefault="003672B0" w:rsidP="00645117">
            <w:pPr>
              <w:rPr>
                <w:b/>
                <w:color w:val="FFFFFF"/>
              </w:rPr>
            </w:pPr>
            <w:r>
              <w:rPr>
                <w:b/>
                <w:color w:val="FFFFFF"/>
              </w:rPr>
              <w:t xml:space="preserve">Reduce Income Taxes on Social Security </w:t>
            </w:r>
            <w:r w:rsidR="002D16D8">
              <w:rPr>
                <w:b/>
                <w:color w:val="FFFFFF"/>
              </w:rPr>
              <w:t xml:space="preserve">Retirement </w:t>
            </w:r>
            <w:r>
              <w:rPr>
                <w:b/>
                <w:color w:val="FFFFFF"/>
              </w:rPr>
              <w:t>Benefits</w:t>
            </w:r>
          </w:p>
        </w:tc>
      </w:tr>
      <w:tr w:rsidR="003672B0" w:rsidRPr="00604D27" w14:paraId="62B26124" w14:textId="77777777" w:rsidTr="00645117">
        <w:trPr>
          <w:trHeight w:val="422"/>
        </w:trPr>
        <w:tc>
          <w:tcPr>
            <w:tcW w:w="9637" w:type="dxa"/>
            <w:shd w:val="clear" w:color="auto" w:fill="FFFFFF"/>
            <w:tcMar>
              <w:top w:w="72" w:type="dxa"/>
              <w:left w:w="115" w:type="dxa"/>
              <w:bottom w:w="72" w:type="dxa"/>
              <w:right w:w="115" w:type="dxa"/>
            </w:tcMar>
          </w:tcPr>
          <w:p w14:paraId="7E39C891" w14:textId="27C9094C" w:rsidR="00424911" w:rsidRDefault="00424911">
            <w:r>
              <w:t xml:space="preserve">Social Security retirement benefits may or may not be taxable. Between 0% and 85% of retirement benefits must be included in gross income for tax purposes based upon a specialized calculation of AGI referred to as </w:t>
            </w:r>
            <w:r w:rsidRPr="008E3F14">
              <w:rPr>
                <w:rStyle w:val="Hyperlink"/>
              </w:rPr>
              <w:t>combined income</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97"/>
            </w:tblGrid>
            <w:tr w:rsidR="00424911" w:rsidRPr="0028324A" w14:paraId="43A95BC9" w14:textId="77777777" w:rsidTr="00077CEA">
              <w:trPr>
                <w:jc w:val="center"/>
              </w:trPr>
              <w:tc>
                <w:tcPr>
                  <w:tcW w:w="0" w:type="auto"/>
                  <w:shd w:val="clear" w:color="auto" w:fill="D9D9D9"/>
                </w:tcPr>
                <w:p w14:paraId="7EDB1339" w14:textId="77777777" w:rsidR="00424911" w:rsidRPr="00813D5C" w:rsidRDefault="00424911" w:rsidP="00424911">
                  <w:r w:rsidRPr="00813D5C">
                    <w:rPr>
                      <w:rStyle w:val="Hyperlink"/>
                      <w:u w:val="none"/>
                    </w:rPr>
                    <w:t>Combined Income</w:t>
                  </w:r>
                </w:p>
                <w:p w14:paraId="357D79ED" w14:textId="77777777" w:rsidR="00424911" w:rsidRDefault="00424911" w:rsidP="00424911">
                  <w:r>
                    <w:t>The IRS revises adjusted gross income to determine how much of the Social Security benefit is included in gross income. We begin the calculation with adjusted gross income as it is normally calculated on the income tax return.</w:t>
                  </w:r>
                </w:p>
                <w:p w14:paraId="29BB5BA1" w14:textId="77777777" w:rsidR="00424911" w:rsidRDefault="00424911" w:rsidP="00424911">
                  <w:pPr>
                    <w:ind w:left="1849"/>
                  </w:pPr>
                  <w:r>
                    <w:t>Adjusted Gross Income</w:t>
                  </w:r>
                </w:p>
                <w:p w14:paraId="13B703DC" w14:textId="77777777" w:rsidR="00424911" w:rsidRDefault="00424911" w:rsidP="00424911">
                  <w:pPr>
                    <w:ind w:left="1849"/>
                  </w:pPr>
                  <w:r>
                    <w:t xml:space="preserve">+ Nontaxable interest* </w:t>
                  </w:r>
                </w:p>
                <w:p w14:paraId="6F1BD6A0" w14:textId="77777777" w:rsidR="00424911" w:rsidRDefault="00424911" w:rsidP="00424911">
                  <w:pPr>
                    <w:ind w:left="1849"/>
                  </w:pPr>
                  <w:r>
                    <w:t>+ ½ of Social Security benefits</w:t>
                  </w:r>
                </w:p>
                <w:p w14:paraId="1A05B1D0" w14:textId="77777777" w:rsidR="00424911" w:rsidRDefault="00424911" w:rsidP="00424911">
                  <w:pPr>
                    <w:ind w:left="1849"/>
                  </w:pPr>
                  <w:r>
                    <w:t>= Combined Income</w:t>
                  </w:r>
                </w:p>
                <w:p w14:paraId="3AB81924" w14:textId="6654DC74" w:rsidR="00424911" w:rsidRPr="00C03D8D" w:rsidRDefault="00424911" w:rsidP="00424911">
                  <w:pPr>
                    <w:rPr>
                      <w:i/>
                      <w:sz w:val="16"/>
                      <w:szCs w:val="16"/>
                    </w:rPr>
                  </w:pPr>
                  <w:r w:rsidRPr="001F3D42">
                    <w:rPr>
                      <w:i/>
                      <w:sz w:val="16"/>
                      <w:szCs w:val="16"/>
                    </w:rPr>
                    <w:t>*An example of nontaxable interest is municipal bond interest.</w:t>
                  </w:r>
                </w:p>
              </w:tc>
            </w:tr>
          </w:tbl>
          <w:p w14:paraId="5A068B53" w14:textId="77777777" w:rsidR="00572E66" w:rsidRDefault="00572E66"/>
          <w:p w14:paraId="481BE11E" w14:textId="5DEFA433" w:rsidR="00572E66" w:rsidRDefault="005306DB" w:rsidP="00C03D8D">
            <w:pPr>
              <w:ind w:left="612"/>
            </w:pPr>
            <w:r>
              <w:rPr>
                <w:noProof/>
                <w:sz w:val="16"/>
                <w:szCs w:val="16"/>
                <w:lang w:eastAsia="zh-CN"/>
              </w:rPr>
              <w:lastRenderedPageBreak/>
              <w:drawing>
                <wp:inline distT="0" distB="0" distL="0" distR="0" wp14:anchorId="4D7B1284" wp14:editId="1AAF1F69">
                  <wp:extent cx="5303037" cy="25654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S_combined_income_table.jpg"/>
                          <pic:cNvPicPr/>
                        </pic:nvPicPr>
                        <pic:blipFill>
                          <a:blip r:embed="rId14">
                            <a:extLst>
                              <a:ext uri="{28A0092B-C50C-407E-A947-70E740481C1C}">
                                <a14:useLocalDpi xmlns:a14="http://schemas.microsoft.com/office/drawing/2010/main" val="0"/>
                              </a:ext>
                            </a:extLst>
                          </a:blip>
                          <a:stretch>
                            <a:fillRect/>
                          </a:stretch>
                        </pic:blipFill>
                        <pic:spPr>
                          <a:xfrm>
                            <a:off x="0" y="0"/>
                            <a:ext cx="5305230" cy="2566461"/>
                          </a:xfrm>
                          <a:prstGeom prst="rect">
                            <a:avLst/>
                          </a:prstGeom>
                        </pic:spPr>
                      </pic:pic>
                    </a:graphicData>
                  </a:graphic>
                </wp:inline>
              </w:drawing>
            </w:r>
          </w:p>
          <w:p w14:paraId="66767915" w14:textId="4B78B5C8" w:rsidR="00424911" w:rsidRDefault="00424911">
            <w:r>
              <w:t>Here is how your client could save over $5,000 not just once, but annually in income taxes on Social Security retirement benefits</w:t>
            </w:r>
            <w:r w:rsidR="007E45B4">
              <w:t>.</w:t>
            </w:r>
          </w:p>
          <w:tbl>
            <w:tblPr>
              <w:tblStyle w:val="TableGrid"/>
              <w:tblW w:w="0" w:type="auto"/>
              <w:tblBorders>
                <w:insideH w:val="none" w:sz="0" w:space="0" w:color="auto"/>
                <w:insideV w:val="none" w:sz="0" w:space="0" w:color="auto"/>
              </w:tblBorders>
              <w:shd w:val="clear" w:color="auto" w:fill="FFFF99"/>
              <w:tblLook w:val="04A0" w:firstRow="1" w:lastRow="0" w:firstColumn="1" w:lastColumn="0" w:noHBand="0" w:noVBand="1"/>
            </w:tblPr>
            <w:tblGrid>
              <w:gridCol w:w="9152"/>
            </w:tblGrid>
            <w:tr w:rsidR="00424911" w14:paraId="4D8DCB76" w14:textId="77777777" w:rsidTr="00F94D42">
              <w:trPr>
                <w:trHeight w:val="2870"/>
              </w:trPr>
              <w:tc>
                <w:tcPr>
                  <w:tcW w:w="9152" w:type="dxa"/>
                  <w:shd w:val="clear" w:color="auto" w:fill="FFFF99"/>
                </w:tcPr>
                <w:p w14:paraId="34D9F3E3" w14:textId="77777777" w:rsidR="00424911" w:rsidRPr="00424911" w:rsidRDefault="00424911" w:rsidP="00424911">
                  <w:pPr>
                    <w:rPr>
                      <w:b/>
                    </w:rPr>
                  </w:pPr>
                  <w:r w:rsidRPr="00424911">
                    <w:rPr>
                      <w:b/>
                    </w:rPr>
                    <w:t>Example</w:t>
                  </w:r>
                </w:p>
                <w:p w14:paraId="6C56000E" w14:textId="77777777" w:rsidR="006A2206" w:rsidRDefault="00424911" w:rsidP="00424911">
                  <w:r>
                    <w:t>Y</w:t>
                  </w:r>
                  <w:r w:rsidRPr="00B8320B">
                    <w:t xml:space="preserve">our </w:t>
                  </w:r>
                  <w:r w:rsidRPr="0003420E">
                    <w:t>client</w:t>
                  </w:r>
                  <w:r w:rsidRPr="00B8320B">
                    <w:t xml:space="preserve"> </w:t>
                  </w:r>
                  <w:r w:rsidRPr="0003420E">
                    <w:t xml:space="preserve">Janine is in her first year of retirement and </w:t>
                  </w:r>
                  <w:r w:rsidRPr="00B8320B">
                    <w:t xml:space="preserve">expects to withdraw </w:t>
                  </w:r>
                  <w:r>
                    <w:t xml:space="preserve">$25,000 </w:t>
                  </w:r>
                  <w:r w:rsidRPr="00B8320B">
                    <w:t xml:space="preserve">in taxable distributions </w:t>
                  </w:r>
                  <w:r>
                    <w:t xml:space="preserve">every year during her retirement </w:t>
                  </w:r>
                  <w:r w:rsidRPr="0003420E">
                    <w:t xml:space="preserve">from her Traditional IRA. </w:t>
                  </w:r>
                </w:p>
                <w:p w14:paraId="4B4CCE25" w14:textId="77FDC97B" w:rsidR="006A2206" w:rsidRDefault="008D591D" w:rsidP="003620EF">
                  <w:pPr>
                    <w:pStyle w:val="ListParagraph"/>
                    <w:numPr>
                      <w:ilvl w:val="0"/>
                      <w:numId w:val="100"/>
                    </w:numPr>
                  </w:pPr>
                  <w:r>
                    <w:t xml:space="preserve">Because of her other (non Social Security) income, </w:t>
                  </w:r>
                  <w:r w:rsidR="00424911" w:rsidRPr="0003420E">
                    <w:t xml:space="preserve">Janine falls in the 85% income inclusion range from the graph above and </w:t>
                  </w:r>
                  <w:r w:rsidR="00424911" w:rsidRPr="00B8320B">
                    <w:t xml:space="preserve">her income tax rate </w:t>
                  </w:r>
                  <w:r w:rsidR="00424911" w:rsidRPr="0003420E">
                    <w:t xml:space="preserve">is 25%. </w:t>
                  </w:r>
                </w:p>
                <w:p w14:paraId="286E09A8" w14:textId="5C8D2CAB" w:rsidR="00424911" w:rsidRDefault="00424911" w:rsidP="003620EF">
                  <w:pPr>
                    <w:pStyle w:val="ListParagraph"/>
                    <w:numPr>
                      <w:ilvl w:val="0"/>
                      <w:numId w:val="100"/>
                    </w:numPr>
                  </w:pPr>
                  <w:r w:rsidRPr="0003420E">
                    <w:t xml:space="preserve">She must include $21,250 </w:t>
                  </w:r>
                  <w:r>
                    <w:t xml:space="preserve">(85%) </w:t>
                  </w:r>
                  <w:r w:rsidRPr="00B8320B">
                    <w:t>of the $25,000 in gross income on her income tax return</w:t>
                  </w:r>
                  <w:r w:rsidRPr="0003420E">
                    <w:t xml:space="preserve"> and the</w:t>
                  </w:r>
                  <w:r w:rsidRPr="00B8320B">
                    <w:t xml:space="preserve"> </w:t>
                  </w:r>
                  <w:r w:rsidRPr="0003420E">
                    <w:t xml:space="preserve">income tax on the $21,250 </w:t>
                  </w:r>
                  <w:r>
                    <w:t xml:space="preserve">(25%) </w:t>
                  </w:r>
                  <w:r w:rsidRPr="00B8320B">
                    <w:t>will be</w:t>
                  </w:r>
                  <w:r w:rsidRPr="0003420E">
                    <w:t xml:space="preserve"> just over $5,300</w:t>
                  </w:r>
                  <w:r w:rsidRPr="00B8320B">
                    <w:t>.</w:t>
                  </w:r>
                  <w:r>
                    <w:t xml:space="preserve"> </w:t>
                  </w:r>
                </w:p>
                <w:p w14:paraId="1237F661" w14:textId="5E277801" w:rsidR="00683EC7" w:rsidRDefault="00424911" w:rsidP="006A2206">
                  <w:r>
                    <w:t xml:space="preserve">If Janine could go back into time and contribute to Roth IRAs instead of </w:t>
                  </w:r>
                  <w:r w:rsidR="00F94D42">
                    <w:t>T</w:t>
                  </w:r>
                  <w:r>
                    <w:t xml:space="preserve">raditional IRAs, her income tax free $25,000 in annual distributions would </w:t>
                  </w:r>
                  <w:r w:rsidR="006A2206">
                    <w:t xml:space="preserve">NOT </w:t>
                  </w:r>
                  <w:r>
                    <w:t xml:space="preserve">drive up AGI and hence, </w:t>
                  </w:r>
                  <w:r w:rsidR="008D591D">
                    <w:t xml:space="preserve">potentially </w:t>
                  </w:r>
                  <w:r>
                    <w:t xml:space="preserve">none of the $25,000 in Social Security retirement benefits would have been included in gross income on her income tax return. </w:t>
                  </w:r>
                </w:p>
                <w:p w14:paraId="207542BB" w14:textId="26A97DAB" w:rsidR="00424911" w:rsidRDefault="00424911" w:rsidP="003620EF">
                  <w:pPr>
                    <w:pStyle w:val="ListParagraph"/>
                    <w:numPr>
                      <w:ilvl w:val="0"/>
                      <w:numId w:val="101"/>
                    </w:numPr>
                  </w:pPr>
                  <w:r>
                    <w:t xml:space="preserve">Janine would have saved </w:t>
                  </w:r>
                  <w:r w:rsidR="008D591D">
                    <w:t xml:space="preserve">(potentially) </w:t>
                  </w:r>
                  <w:r>
                    <w:t>over $5,300 annually</w:t>
                  </w:r>
                  <w:r w:rsidR="006A2206">
                    <w:t xml:space="preserve"> in income taxes on her Social Security retirement benefits</w:t>
                  </w:r>
                  <w:r>
                    <w:t>.</w:t>
                  </w:r>
                </w:p>
              </w:tc>
            </w:tr>
          </w:tbl>
          <w:p w14:paraId="5B54E3C2" w14:textId="77777777" w:rsidR="003672B0" w:rsidRPr="00604D27" w:rsidRDefault="003672B0" w:rsidP="00645117">
            <w:pPr>
              <w:spacing w:before="0" w:after="0"/>
            </w:pPr>
          </w:p>
        </w:tc>
      </w:tr>
      <w:tr w:rsidR="003672B0" w:rsidRPr="00604D27" w14:paraId="37AC55A5" w14:textId="77777777" w:rsidTr="00645117">
        <w:tc>
          <w:tcPr>
            <w:tcW w:w="9637" w:type="dxa"/>
            <w:tcBorders>
              <w:bottom w:val="single" w:sz="4" w:space="0" w:color="6CA8CD"/>
            </w:tcBorders>
            <w:shd w:val="clear" w:color="auto" w:fill="6CA8CD"/>
            <w:tcMar>
              <w:top w:w="72" w:type="dxa"/>
              <w:left w:w="115" w:type="dxa"/>
              <w:bottom w:w="72" w:type="dxa"/>
              <w:right w:w="115" w:type="dxa"/>
            </w:tcMar>
          </w:tcPr>
          <w:p w14:paraId="70458FD8" w14:textId="7280D15F" w:rsidR="003672B0" w:rsidRPr="001F3D42" w:rsidRDefault="004F233B">
            <w:pPr>
              <w:rPr>
                <w:color w:val="FFFFFF"/>
                <w:u w:val="single"/>
              </w:rPr>
            </w:pPr>
            <w:r>
              <w:rPr>
                <w:b/>
                <w:color w:val="FFFFFF"/>
              </w:rPr>
              <w:lastRenderedPageBreak/>
              <w:t xml:space="preserve">Avoid </w:t>
            </w:r>
            <w:r w:rsidR="00F45092">
              <w:rPr>
                <w:b/>
                <w:color w:val="FFFFFF"/>
              </w:rPr>
              <w:t xml:space="preserve">or Minimize </w:t>
            </w:r>
            <w:r>
              <w:rPr>
                <w:b/>
                <w:color w:val="FFFFFF"/>
              </w:rPr>
              <w:t>the NIIT (</w:t>
            </w:r>
            <w:r w:rsidR="007468DB">
              <w:rPr>
                <w:b/>
                <w:color w:val="FFFFFF"/>
              </w:rPr>
              <w:t>Net Investment Income Tax</w:t>
            </w:r>
            <w:r>
              <w:rPr>
                <w:b/>
                <w:color w:val="FFFFFF"/>
              </w:rPr>
              <w:t>)</w:t>
            </w:r>
          </w:p>
        </w:tc>
      </w:tr>
      <w:tr w:rsidR="003672B0" w:rsidRPr="001F3D42" w14:paraId="0488A150" w14:textId="77777777" w:rsidTr="007E45B4">
        <w:tc>
          <w:tcPr>
            <w:tcW w:w="9637" w:type="dxa"/>
            <w:shd w:val="clear" w:color="auto" w:fill="FFFFFF"/>
            <w:tcMar>
              <w:top w:w="72" w:type="dxa"/>
              <w:left w:w="115" w:type="dxa"/>
              <w:bottom w:w="72" w:type="dxa"/>
              <w:right w:w="115" w:type="dxa"/>
            </w:tcMar>
          </w:tcPr>
          <w:p w14:paraId="3DA84EF9" w14:textId="2FC5ECCC" w:rsidR="004F233B" w:rsidRDefault="00AC0145" w:rsidP="00D85E67">
            <w:r>
              <w:t xml:space="preserve">Your client could </w:t>
            </w:r>
            <w:r w:rsidR="004F233B">
              <w:t xml:space="preserve">potentially save thousands of dollars by understanding the </w:t>
            </w:r>
            <w:r w:rsidR="001F2531">
              <w:t>effect</w:t>
            </w:r>
            <w:r w:rsidR="004F233B">
              <w:t xml:space="preserve"> of Roth IRA distributions upon the NIIT.</w:t>
            </w:r>
          </w:p>
          <w:p w14:paraId="5833DF9C" w14:textId="2F8147D7" w:rsidR="00D35876" w:rsidRDefault="00F94D42" w:rsidP="008E3F14">
            <w:pPr>
              <w:rPr>
                <w:b/>
                <w:bCs/>
                <w:sz w:val="32"/>
                <w:szCs w:val="28"/>
              </w:rPr>
            </w:pPr>
            <w:r>
              <w:t xml:space="preserve">The year </w:t>
            </w:r>
            <w:r w:rsidR="007468DB" w:rsidRPr="00370FF0">
              <w:t xml:space="preserve">2013 ushered in an unprecedented Medicare tax on unearned income such as investment income. This tax may be referred to as either the 3.8% Net Investment Income Tax (NIIT) or the 3.8% Medicare Surtax. The NIIT is assessed against the lesser of </w:t>
            </w:r>
            <w:r w:rsidR="00BB3851">
              <w:t>AGI</w:t>
            </w:r>
            <w:r w:rsidR="007468DB" w:rsidRPr="00370FF0">
              <w:t xml:space="preserve"> in excess of an </w:t>
            </w:r>
            <w:r w:rsidR="007468DB" w:rsidRPr="008E3F14">
              <w:rPr>
                <w:rStyle w:val="Hyperlink"/>
                <w:b w:val="0"/>
                <w:color w:val="auto"/>
                <w:u w:val="none"/>
              </w:rPr>
              <w:t>indexed amount</w:t>
            </w:r>
            <w:r w:rsidR="007468DB" w:rsidRPr="00D85E67">
              <w:t xml:space="preserve"> or </w:t>
            </w:r>
            <w:r w:rsidR="007468DB" w:rsidRPr="00D85E67">
              <w:rPr>
                <w:rStyle w:val="Hyperlink"/>
              </w:rPr>
              <w:t>net investment income</w:t>
            </w:r>
            <w:r w:rsidR="007468DB" w:rsidRPr="00D85E67">
              <w: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138"/>
            </w:tblGrid>
            <w:tr w:rsidR="00D35876" w:rsidRPr="00370FF0" w14:paraId="3390DDA6" w14:textId="77777777" w:rsidTr="00782A45">
              <w:tc>
                <w:tcPr>
                  <w:tcW w:w="7138" w:type="dxa"/>
                  <w:shd w:val="clear" w:color="auto" w:fill="D9D9D9"/>
                </w:tcPr>
                <w:p w14:paraId="00DBAE4C" w14:textId="77777777" w:rsidR="00D35876" w:rsidRPr="00813D5C" w:rsidRDefault="00D35876" w:rsidP="00782A45">
                  <w:pPr>
                    <w:rPr>
                      <w:rStyle w:val="Hyperlink"/>
                      <w:u w:val="none"/>
                    </w:rPr>
                  </w:pPr>
                  <w:r w:rsidRPr="00813D5C">
                    <w:rPr>
                      <w:rStyle w:val="Hyperlink"/>
                      <w:u w:val="none"/>
                    </w:rPr>
                    <w:t>Net Investment Income</w:t>
                  </w:r>
                </w:p>
                <w:p w14:paraId="06BA490B" w14:textId="77777777" w:rsidR="00D35876" w:rsidRPr="00370FF0" w:rsidRDefault="00D35876" w:rsidP="00782A45">
                  <w:r w:rsidRPr="00370FF0">
                    <w:t xml:space="preserve">Investment income is defined as taxable income from capital gains, interest, dividends, and royalties, annuities, and rents. Expenses associated with the production of investment income are deducted </w:t>
                  </w:r>
                  <w:r w:rsidRPr="00370FF0">
                    <w:lastRenderedPageBreak/>
                    <w:t>to arrive at net investment income. Distributions from any IRA or qualified plan are not considered net investment income.</w:t>
                  </w:r>
                </w:p>
              </w:tc>
            </w:tr>
          </w:tbl>
          <w:p w14:paraId="5B155451" w14:textId="20A602B3" w:rsidR="00676F8C" w:rsidRDefault="00D35876" w:rsidP="008E3F14">
            <w:r w:rsidRPr="00370FF0">
              <w:lastRenderedPageBreak/>
              <w:t xml:space="preserve">Distributions from </w:t>
            </w:r>
            <w:r w:rsidR="00AD5E16">
              <w:t>T</w:t>
            </w:r>
            <w:r w:rsidRPr="00370FF0">
              <w:t xml:space="preserve">raditional IRAs and most </w:t>
            </w:r>
            <w:r>
              <w:t>employer</w:t>
            </w:r>
            <w:r w:rsidR="00AD5E16">
              <w:t>-</w:t>
            </w:r>
            <w:r>
              <w:t xml:space="preserve">sponsored retirement plans </w:t>
            </w:r>
            <w:r w:rsidRPr="00370FF0">
              <w:t xml:space="preserve">are not </w:t>
            </w:r>
            <w:r w:rsidR="00676F8C">
              <w:t xml:space="preserve">considered investment income </w:t>
            </w:r>
            <w:r w:rsidRPr="00370FF0">
              <w:t>subject to the NIIT</w:t>
            </w:r>
            <w:r w:rsidR="00676F8C">
              <w:t>. Yet</w:t>
            </w:r>
            <w:r w:rsidRPr="00370FF0">
              <w:t xml:space="preserve"> such distributions </w:t>
            </w:r>
            <w:r w:rsidR="00676F8C">
              <w:t xml:space="preserve">can indirectly cause additional NIIT because they </w:t>
            </w:r>
            <w:r w:rsidRPr="00370FF0">
              <w:t xml:space="preserve">are </w:t>
            </w:r>
            <w:r w:rsidR="00676F8C">
              <w:t>included in a taxpayer’s income. Here is how that works.</w:t>
            </w:r>
          </w:p>
          <w:p w14:paraId="4ACE949A" w14:textId="4DBF7520" w:rsidR="00467B41" w:rsidRDefault="00676F8C" w:rsidP="008E3F14">
            <w:pPr>
              <w:pStyle w:val="ListParagraph"/>
              <w:numPr>
                <w:ilvl w:val="0"/>
                <w:numId w:val="86"/>
              </w:numPr>
            </w:pPr>
            <w:r>
              <w:t>D</w:t>
            </w:r>
            <w:r w:rsidR="00D35876" w:rsidRPr="00370FF0">
              <w:t xml:space="preserve">istributions </w:t>
            </w:r>
            <w:r>
              <w:t xml:space="preserve">from </w:t>
            </w:r>
            <w:r w:rsidR="00AD5E16">
              <w:t>T</w:t>
            </w:r>
            <w:r>
              <w:t xml:space="preserve">raditional IRAs and </w:t>
            </w:r>
            <w:r w:rsidR="00467B41">
              <w:t>most employer</w:t>
            </w:r>
            <w:r w:rsidR="00AD5E16">
              <w:t>-</w:t>
            </w:r>
            <w:r w:rsidR="00467B41">
              <w:t>sponsored retirement plans increase a client’s AGI.</w:t>
            </w:r>
          </w:p>
          <w:p w14:paraId="5E08C1B1" w14:textId="2200AAE8" w:rsidR="00D35876" w:rsidRPr="00467B41" w:rsidRDefault="00D35876" w:rsidP="008E3F14">
            <w:pPr>
              <w:pStyle w:val="ListParagraph"/>
              <w:numPr>
                <w:ilvl w:val="0"/>
                <w:numId w:val="86"/>
              </w:numPr>
            </w:pPr>
            <w:r w:rsidRPr="00370FF0">
              <w:t xml:space="preserve">Increases to </w:t>
            </w:r>
            <w:r w:rsidR="00467B41">
              <w:t>AGI</w:t>
            </w:r>
            <w:r w:rsidRPr="00370FF0">
              <w:t xml:space="preserve"> may result in additional NIIT</w:t>
            </w:r>
            <w:r w:rsidR="00467B41">
              <w:t xml:space="preserve"> because t</w:t>
            </w:r>
            <w:r w:rsidR="00467B41" w:rsidRPr="00370FF0">
              <w:t xml:space="preserve">he NIIT is assessed against the lesser of </w:t>
            </w:r>
            <w:r w:rsidR="00467B41">
              <w:t>AGI</w:t>
            </w:r>
            <w:r w:rsidR="00467B41" w:rsidRPr="00370FF0">
              <w:t xml:space="preserve"> in excess of a</w:t>
            </w:r>
            <w:r w:rsidR="00CE223A">
              <w:t xml:space="preserve"> threshold </w:t>
            </w:r>
            <w:r w:rsidR="00467B41" w:rsidRPr="00B95F7B">
              <w:rPr>
                <w:rStyle w:val="Hyperlink"/>
                <w:b w:val="0"/>
                <w:color w:val="auto"/>
                <w:u w:val="none"/>
              </w:rPr>
              <w:t>amount</w:t>
            </w:r>
            <w:r w:rsidR="00467B41" w:rsidRPr="00D85E67">
              <w:t xml:space="preserve"> or </w:t>
            </w:r>
            <w:r w:rsidR="00467B41" w:rsidRPr="008E3F14">
              <w:t>net investment income</w:t>
            </w:r>
            <w:r w:rsidRPr="00467B41">
              <w:t>.</w:t>
            </w:r>
          </w:p>
          <w:p w14:paraId="38A2F9C6" w14:textId="69007517" w:rsidR="00D35876" w:rsidRPr="00370FF0" w:rsidRDefault="00D35876" w:rsidP="008E3F14">
            <w:r w:rsidRPr="00370FF0">
              <w:t xml:space="preserve">Roth </w:t>
            </w:r>
            <w:r>
              <w:t xml:space="preserve">IRA </w:t>
            </w:r>
            <w:r w:rsidRPr="00370FF0">
              <w:t xml:space="preserve">distributions are excluded from taxable income and consequently do </w:t>
            </w:r>
            <w:r w:rsidR="00467B41">
              <w:t>NOT</w:t>
            </w:r>
            <w:r w:rsidRPr="00370FF0">
              <w:t xml:space="preserve"> increase a taxpayer’s adjusted gross income. As a result, taxpayers taking Roth distributions instead of taxable distributions may </w:t>
            </w:r>
            <w:r>
              <w:t xml:space="preserve">reduce or </w:t>
            </w:r>
            <w:r w:rsidR="00467B41">
              <w:t xml:space="preserve">even </w:t>
            </w:r>
            <w:r>
              <w:t xml:space="preserve">eliminate </w:t>
            </w:r>
            <w:r w:rsidRPr="00370FF0">
              <w:t>the 3.8% NIIT.</w:t>
            </w:r>
          </w:p>
          <w:p w14:paraId="02C8BE00" w14:textId="77777777" w:rsidR="007468DB" w:rsidRDefault="007468DB" w:rsidP="007468DB">
            <w:pPr>
              <w:spacing w:before="0" w:after="0"/>
              <w:rPr>
                <w:b/>
              </w:rPr>
            </w:pPr>
            <w:r>
              <w:rPr>
                <w:noProof/>
                <w:lang w:eastAsia="zh-CN"/>
              </w:rPr>
              <w:drawing>
                <wp:inline distT="0" distB="0" distL="0" distR="0" wp14:anchorId="41BEBB1E" wp14:editId="4B54B923">
                  <wp:extent cx="283210" cy="196215"/>
                  <wp:effectExtent l="0" t="0" r="0" b="6985"/>
                  <wp:docPr id="8" name="Picture 8"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_tip_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10" cy="196215"/>
                          </a:xfrm>
                          <a:prstGeom prst="rect">
                            <a:avLst/>
                          </a:prstGeom>
                          <a:noFill/>
                          <a:ln>
                            <a:noFill/>
                          </a:ln>
                        </pic:spPr>
                      </pic:pic>
                    </a:graphicData>
                  </a:graphic>
                </wp:inline>
              </w:drawing>
            </w:r>
            <w:r>
              <w:t xml:space="preserve">  </w:t>
            </w:r>
            <w:r w:rsidRPr="007746E2">
              <w:rPr>
                <w:b/>
              </w:rPr>
              <w:t>Planning Ti</w:t>
            </w:r>
            <w:r>
              <w:rPr>
                <w:b/>
              </w:rPr>
              <w:t>p</w:t>
            </w:r>
          </w:p>
          <w:p w14:paraId="6A2DA625" w14:textId="77777777" w:rsidR="007468DB" w:rsidRPr="007746E2" w:rsidRDefault="007468DB" w:rsidP="007468DB">
            <w:pPr>
              <w:spacing w:before="0" w:after="0"/>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7"/>
            </w:tblGrid>
            <w:tr w:rsidR="007468DB" w:rsidRPr="00120E33" w14:paraId="5B11F97B" w14:textId="77777777" w:rsidTr="00133AEE">
              <w:tc>
                <w:tcPr>
                  <w:tcW w:w="9247" w:type="dxa"/>
                  <w:shd w:val="clear" w:color="auto" w:fill="E7D9CF"/>
                </w:tcPr>
                <w:p w14:paraId="744BC75B" w14:textId="253FBF57" w:rsidR="007468DB" w:rsidRDefault="00D85E67" w:rsidP="001207EC">
                  <w:r>
                    <w:t xml:space="preserve">The NIIT is assessed only upon taxpayers with the </w:t>
                  </w:r>
                  <w:r w:rsidR="004F233B">
                    <w:t>following</w:t>
                  </w:r>
                  <w:r w:rsidR="00AD5E16">
                    <w:t>:</w:t>
                  </w:r>
                </w:p>
                <w:p w14:paraId="1A2BD22A" w14:textId="0EA948DC" w:rsidR="007468DB" w:rsidRDefault="007468DB" w:rsidP="00AD5E16">
                  <w:pPr>
                    <w:pStyle w:val="ListParagraph"/>
                    <w:numPr>
                      <w:ilvl w:val="0"/>
                      <w:numId w:val="97"/>
                    </w:numPr>
                  </w:pPr>
                  <w:r w:rsidRPr="00370FF0">
                    <w:t>AGI above a</w:t>
                  </w:r>
                  <w:r w:rsidR="00CE223A">
                    <w:t xml:space="preserve"> threshold</w:t>
                  </w:r>
                  <w:r w:rsidRPr="00370FF0">
                    <w:t xml:space="preserve"> amount</w:t>
                  </w:r>
                  <w:r w:rsidR="00AD5E16">
                    <w:t>,</w:t>
                  </w:r>
                  <w:r w:rsidRPr="00370FF0">
                    <w:t xml:space="preserve"> </w:t>
                  </w:r>
                  <w:r w:rsidRPr="008E3F14">
                    <w:rPr>
                      <w:b/>
                    </w:rPr>
                    <w:t>and</w:t>
                  </w:r>
                  <w:r w:rsidRPr="00370FF0">
                    <w:t xml:space="preserve"> </w:t>
                  </w:r>
                </w:p>
                <w:p w14:paraId="1E2A6283" w14:textId="31F20AC6" w:rsidR="007468DB" w:rsidRPr="00AD5E16" w:rsidRDefault="00AD5E16" w:rsidP="00AD5E16">
                  <w:pPr>
                    <w:pStyle w:val="ListParagraph"/>
                    <w:numPr>
                      <w:ilvl w:val="0"/>
                      <w:numId w:val="97"/>
                    </w:numPr>
                    <w:rPr>
                      <w:rStyle w:val="Strong"/>
                      <w:b w:val="0"/>
                    </w:rPr>
                  </w:pPr>
                  <w:r>
                    <w:t>N</w:t>
                  </w:r>
                  <w:r w:rsidR="007468DB" w:rsidRPr="00370FF0">
                    <w:t>et investment income</w:t>
                  </w:r>
                </w:p>
              </w:tc>
            </w:tr>
          </w:tbl>
          <w:p w14:paraId="17AA8A4E" w14:textId="021E4642" w:rsidR="003672B0" w:rsidRPr="00604D27" w:rsidRDefault="003672B0" w:rsidP="00645117">
            <w:pPr>
              <w:spacing w:after="0"/>
            </w:pPr>
          </w:p>
        </w:tc>
      </w:tr>
      <w:tr w:rsidR="003672B0" w:rsidRPr="00604D27" w14:paraId="2CF1FB10" w14:textId="77777777" w:rsidTr="00645117">
        <w:tc>
          <w:tcPr>
            <w:tcW w:w="9637" w:type="dxa"/>
            <w:tcBorders>
              <w:bottom w:val="single" w:sz="4" w:space="0" w:color="6CA8CD"/>
            </w:tcBorders>
            <w:shd w:val="clear" w:color="auto" w:fill="6CA8CD"/>
            <w:tcMar>
              <w:top w:w="72" w:type="dxa"/>
              <w:left w:w="115" w:type="dxa"/>
              <w:bottom w:w="72" w:type="dxa"/>
              <w:right w:w="115" w:type="dxa"/>
            </w:tcMar>
          </w:tcPr>
          <w:p w14:paraId="08A13EC7" w14:textId="7227B8FA" w:rsidR="003672B0" w:rsidRPr="00604D27" w:rsidRDefault="001207EC">
            <w:pPr>
              <w:rPr>
                <w:b/>
                <w:color w:val="FFFFFF"/>
                <w:szCs w:val="12"/>
              </w:rPr>
            </w:pPr>
            <w:r>
              <w:rPr>
                <w:b/>
                <w:color w:val="FFFFFF"/>
              </w:rPr>
              <w:lastRenderedPageBreak/>
              <w:t xml:space="preserve">Cut Medicare </w:t>
            </w:r>
            <w:r w:rsidR="0079351C">
              <w:rPr>
                <w:b/>
                <w:color w:val="FFFFFF"/>
              </w:rPr>
              <w:t xml:space="preserve">Insurance </w:t>
            </w:r>
            <w:r>
              <w:rPr>
                <w:b/>
                <w:color w:val="FFFFFF"/>
              </w:rPr>
              <w:t xml:space="preserve">Premiums </w:t>
            </w:r>
          </w:p>
        </w:tc>
      </w:tr>
      <w:tr w:rsidR="003672B0" w:rsidRPr="00604D27" w14:paraId="6BAB1629" w14:textId="77777777" w:rsidTr="00645117">
        <w:tc>
          <w:tcPr>
            <w:tcW w:w="9637" w:type="dxa"/>
            <w:shd w:val="clear" w:color="auto" w:fill="FFFFFF"/>
            <w:tcMar>
              <w:top w:w="72" w:type="dxa"/>
              <w:left w:w="115" w:type="dxa"/>
              <w:bottom w:w="72" w:type="dxa"/>
              <w:right w:w="115" w:type="dxa"/>
            </w:tcMar>
          </w:tcPr>
          <w:p w14:paraId="6B1CF456" w14:textId="7AD27140" w:rsidR="001207EC" w:rsidRDefault="003A322F" w:rsidP="001207EC">
            <w:pPr>
              <w:rPr>
                <w:color w:val="000000"/>
              </w:rPr>
            </w:pPr>
            <w:r>
              <w:rPr>
                <w:color w:val="000000"/>
              </w:rPr>
              <w:t xml:space="preserve">When would </w:t>
            </w:r>
            <w:r w:rsidR="001441AB">
              <w:rPr>
                <w:color w:val="000000"/>
              </w:rPr>
              <w:t xml:space="preserve">anyone </w:t>
            </w:r>
            <w:r>
              <w:rPr>
                <w:color w:val="000000"/>
              </w:rPr>
              <w:t xml:space="preserve">ever </w:t>
            </w:r>
            <w:r w:rsidR="00F45092">
              <w:rPr>
                <w:color w:val="000000"/>
              </w:rPr>
              <w:t>over</w:t>
            </w:r>
            <w:r>
              <w:rPr>
                <w:color w:val="000000"/>
              </w:rPr>
              <w:t xml:space="preserve">pay for health insurance premiums? Whenever </w:t>
            </w:r>
            <w:r w:rsidR="001441AB">
              <w:rPr>
                <w:color w:val="000000"/>
              </w:rPr>
              <w:t>they</w:t>
            </w:r>
            <w:r>
              <w:rPr>
                <w:color w:val="000000"/>
              </w:rPr>
              <w:t xml:space="preserve"> fail to </w:t>
            </w:r>
            <w:r w:rsidR="001441AB">
              <w:rPr>
                <w:color w:val="000000"/>
              </w:rPr>
              <w:t xml:space="preserve">take advantage of </w:t>
            </w:r>
            <w:r>
              <w:rPr>
                <w:color w:val="000000"/>
              </w:rPr>
              <w:t xml:space="preserve">the Roth IRA to reduce those </w:t>
            </w:r>
            <w:r w:rsidR="00095E0E">
              <w:rPr>
                <w:color w:val="000000"/>
              </w:rPr>
              <w:t>premiums that</w:t>
            </w:r>
            <w:r w:rsidR="00F45092">
              <w:rPr>
                <w:color w:val="000000"/>
              </w:rPr>
              <w:t xml:space="preserve"> is when</w:t>
            </w:r>
            <w:r>
              <w:rPr>
                <w:color w:val="000000"/>
              </w:rPr>
              <w:t xml:space="preserve">! </w:t>
            </w:r>
            <w:r w:rsidR="001207EC">
              <w:rPr>
                <w:color w:val="000000"/>
              </w:rPr>
              <w:t>Premiums for Medicare Part</w:t>
            </w:r>
            <w:r w:rsidR="00F45092">
              <w:rPr>
                <w:color w:val="000000"/>
              </w:rPr>
              <w:t>s</w:t>
            </w:r>
            <w:r w:rsidR="001207EC">
              <w:rPr>
                <w:color w:val="000000"/>
              </w:rPr>
              <w:t xml:space="preserve"> B and D are means tested. Means testing is a term applied to the increase in premiums </w:t>
            </w:r>
            <w:r w:rsidR="001441AB">
              <w:rPr>
                <w:color w:val="000000"/>
              </w:rPr>
              <w:t>based upon an individual</w:t>
            </w:r>
            <w:r w:rsidR="005E4B77">
              <w:rPr>
                <w:color w:val="000000"/>
              </w:rPr>
              <w:t>’s</w:t>
            </w:r>
            <w:r w:rsidR="001441AB">
              <w:rPr>
                <w:color w:val="000000"/>
              </w:rPr>
              <w:t xml:space="preserve"> or couple’s</w:t>
            </w:r>
            <w:r w:rsidR="001207EC">
              <w:rPr>
                <w:color w:val="000000"/>
              </w:rPr>
              <w:t xml:space="preserve"> income.</w:t>
            </w:r>
          </w:p>
          <w:p w14:paraId="50D66700" w14:textId="50218C6D" w:rsidR="001207EC" w:rsidRDefault="001207EC" w:rsidP="001207EC">
            <w:pPr>
              <w:rPr>
                <w:color w:val="000000"/>
              </w:rPr>
            </w:pPr>
            <w:r w:rsidRPr="000A2B22">
              <w:rPr>
                <w:color w:val="000000"/>
              </w:rPr>
              <w:t xml:space="preserve">Medicare Part B covers </w:t>
            </w:r>
            <w:r>
              <w:rPr>
                <w:color w:val="000000"/>
              </w:rPr>
              <w:t>physician</w:t>
            </w:r>
            <w:r w:rsidRPr="00F20463">
              <w:rPr>
                <w:color w:val="000000"/>
              </w:rPr>
              <w:t xml:space="preserve"> services and outpatient care. Part B </w:t>
            </w:r>
            <w:r w:rsidRPr="00767AB6">
              <w:rPr>
                <w:color w:val="000000"/>
              </w:rPr>
              <w:t xml:space="preserve">coverage </w:t>
            </w:r>
            <w:r w:rsidRPr="0040614F">
              <w:rPr>
                <w:color w:val="000000"/>
              </w:rPr>
              <w:t xml:space="preserve">requires payment of a monthly premium that varies dramatically based upon </w:t>
            </w:r>
            <w:r w:rsidRPr="0045433A">
              <w:rPr>
                <w:color w:val="000000"/>
              </w:rPr>
              <w:t xml:space="preserve">your client’s </w:t>
            </w:r>
            <w:r w:rsidRPr="001F3D42">
              <w:rPr>
                <w:color w:val="000000"/>
              </w:rPr>
              <w:t xml:space="preserve">modified </w:t>
            </w:r>
            <w:r w:rsidRPr="000A2B22">
              <w:rPr>
                <w:color w:val="000000"/>
              </w:rPr>
              <w:t xml:space="preserve">AGI. </w:t>
            </w:r>
            <w:r w:rsidR="003A322F">
              <w:rPr>
                <w:color w:val="000000"/>
              </w:rPr>
              <w:t>J</w:t>
            </w:r>
            <w:r>
              <w:rPr>
                <w:color w:val="000000"/>
              </w:rPr>
              <w:t xml:space="preserve">oint income tax return filers </w:t>
            </w:r>
            <w:r w:rsidR="003A322F">
              <w:rPr>
                <w:color w:val="000000"/>
              </w:rPr>
              <w:t xml:space="preserve">with modest AGIs </w:t>
            </w:r>
            <w:r>
              <w:rPr>
                <w:color w:val="000000"/>
              </w:rPr>
              <w:t>pay as little as $1,</w:t>
            </w:r>
            <w:r w:rsidR="00006B2C">
              <w:rPr>
                <w:color w:val="000000"/>
              </w:rPr>
              <w:t>461</w:t>
            </w:r>
            <w:r>
              <w:rPr>
                <w:color w:val="000000"/>
              </w:rPr>
              <w:t xml:space="preserve"> (</w:t>
            </w:r>
            <w:r w:rsidR="002D2503">
              <w:rPr>
                <w:color w:val="000000"/>
              </w:rPr>
              <w:t>2016</w:t>
            </w:r>
            <w:r w:rsidR="001441AB">
              <w:rPr>
                <w:color w:val="000000"/>
              </w:rPr>
              <w:t>) per year while higher AGI</w:t>
            </w:r>
            <w:r>
              <w:rPr>
                <w:color w:val="000000"/>
              </w:rPr>
              <w:t xml:space="preserve"> </w:t>
            </w:r>
            <w:r w:rsidR="003A322F">
              <w:rPr>
                <w:color w:val="000000"/>
              </w:rPr>
              <w:t xml:space="preserve">joint filers </w:t>
            </w:r>
            <w:r>
              <w:rPr>
                <w:color w:val="000000"/>
              </w:rPr>
              <w:t xml:space="preserve">may </w:t>
            </w:r>
            <w:r w:rsidR="003A322F">
              <w:rPr>
                <w:color w:val="000000"/>
              </w:rPr>
              <w:t xml:space="preserve">pay </w:t>
            </w:r>
            <w:r w:rsidR="001441AB">
              <w:rPr>
                <w:color w:val="000000"/>
              </w:rPr>
              <w:t xml:space="preserve">over </w:t>
            </w:r>
            <w:r w:rsidR="001441AB" w:rsidRPr="003731C1">
              <w:rPr>
                <w:b/>
              </w:rPr>
              <w:t>320%</w:t>
            </w:r>
            <w:r w:rsidR="001441AB">
              <w:rPr>
                <w:color w:val="000000"/>
              </w:rPr>
              <w:t xml:space="preserve"> </w:t>
            </w:r>
            <w:r w:rsidR="00006B2C">
              <w:rPr>
                <w:color w:val="000000"/>
              </w:rPr>
              <w:t xml:space="preserve">more annually </w:t>
            </w:r>
            <w:r w:rsidR="001441AB">
              <w:rPr>
                <w:color w:val="000000"/>
              </w:rPr>
              <w:t>(</w:t>
            </w:r>
            <w:r>
              <w:rPr>
                <w:color w:val="000000"/>
              </w:rPr>
              <w:t>$4,</w:t>
            </w:r>
            <w:r w:rsidR="00006B2C">
              <w:rPr>
                <w:color w:val="000000"/>
              </w:rPr>
              <w:t>678</w:t>
            </w:r>
            <w:r w:rsidR="00AD5E16">
              <w:rPr>
                <w:color w:val="000000"/>
              </w:rPr>
              <w:t xml:space="preserve"> </w:t>
            </w:r>
            <w:r w:rsidR="00006B2C">
              <w:rPr>
                <w:color w:val="000000"/>
              </w:rPr>
              <w:t xml:space="preserve">in </w:t>
            </w:r>
            <w:r w:rsidR="002D2503">
              <w:rPr>
                <w:color w:val="000000"/>
              </w:rPr>
              <w:t>2016</w:t>
            </w:r>
            <w:r w:rsidR="001441AB">
              <w:rPr>
                <w:color w:val="000000"/>
              </w:rPr>
              <w:t>)</w:t>
            </w:r>
            <w:r w:rsidR="003A322F">
              <w:rPr>
                <w:color w:val="000000"/>
              </w:rPr>
              <w:t>.</w:t>
            </w:r>
            <w:r>
              <w:rPr>
                <w:color w:val="000000"/>
              </w:rPr>
              <w:t xml:space="preserve"> </w:t>
            </w:r>
            <w:r w:rsidRPr="0045433A">
              <w:rPr>
                <w:color w:val="000000"/>
              </w:rPr>
              <w:t xml:space="preserve"> </w:t>
            </w:r>
          </w:p>
          <w:p w14:paraId="4C3A4A3C" w14:textId="32151361" w:rsidR="001207EC" w:rsidRDefault="001207EC" w:rsidP="001207EC">
            <w:pPr>
              <w:rPr>
                <w:color w:val="000000"/>
              </w:rPr>
            </w:pPr>
            <w:r w:rsidRPr="000A2B22">
              <w:rPr>
                <w:color w:val="000000"/>
              </w:rPr>
              <w:t xml:space="preserve">Medicare Part </w:t>
            </w:r>
            <w:r>
              <w:rPr>
                <w:color w:val="000000"/>
              </w:rPr>
              <w:t>D</w:t>
            </w:r>
            <w:r w:rsidRPr="000A2B22">
              <w:rPr>
                <w:color w:val="000000"/>
              </w:rPr>
              <w:t xml:space="preserve"> covers </w:t>
            </w:r>
            <w:r>
              <w:rPr>
                <w:color w:val="000000"/>
              </w:rPr>
              <w:t>prescription drug costs and require</w:t>
            </w:r>
            <w:r w:rsidRPr="00FF1667">
              <w:rPr>
                <w:color w:val="000000"/>
              </w:rPr>
              <w:t>s payment of a monthly premium</w:t>
            </w:r>
            <w:r>
              <w:rPr>
                <w:color w:val="000000"/>
              </w:rPr>
              <w:t xml:space="preserve"> as well. The monthly Part D premium </w:t>
            </w:r>
            <w:r w:rsidR="00006B2C">
              <w:rPr>
                <w:color w:val="000000"/>
              </w:rPr>
              <w:t xml:space="preserve">is also means tested. The premium </w:t>
            </w:r>
            <w:r>
              <w:rPr>
                <w:color w:val="000000"/>
              </w:rPr>
              <w:t>incr</w:t>
            </w:r>
            <w:r w:rsidR="00F45092">
              <w:rPr>
                <w:color w:val="000000"/>
              </w:rPr>
              <w:t>eases as modified AGI increases</w:t>
            </w:r>
            <w:r w:rsidR="00AD5E16">
              <w:rPr>
                <w:color w:val="000000"/>
              </w:rPr>
              <w:t xml:space="preserve"> - </w:t>
            </w:r>
            <w:r w:rsidR="00F45092">
              <w:rPr>
                <w:color w:val="000000"/>
              </w:rPr>
              <w:t>a</w:t>
            </w:r>
            <w:r>
              <w:rPr>
                <w:color w:val="000000"/>
              </w:rPr>
              <w:t xml:space="preserve"> married couple’s annual premium can increase </w:t>
            </w:r>
            <w:r w:rsidR="00013535">
              <w:rPr>
                <w:color w:val="000000"/>
              </w:rPr>
              <w:t>approximat</w:t>
            </w:r>
            <w:r>
              <w:rPr>
                <w:color w:val="000000"/>
              </w:rPr>
              <w:t xml:space="preserve">ely $1,500 at higher AGI levels. </w:t>
            </w:r>
          </w:p>
          <w:p w14:paraId="056CE367" w14:textId="4E095A51" w:rsidR="00AA288C" w:rsidRDefault="001207EC" w:rsidP="001207EC">
            <w:pPr>
              <w:rPr>
                <w:color w:val="000000"/>
              </w:rPr>
            </w:pPr>
            <w:r>
              <w:rPr>
                <w:color w:val="000000"/>
              </w:rPr>
              <w:t xml:space="preserve">Roth IRA </w:t>
            </w:r>
            <w:r w:rsidRPr="000635A2">
              <w:rPr>
                <w:color w:val="000000"/>
              </w:rPr>
              <w:t xml:space="preserve">distributions </w:t>
            </w:r>
            <w:r>
              <w:rPr>
                <w:color w:val="000000"/>
              </w:rPr>
              <w:t xml:space="preserve">do not increase modified AGI and, </w:t>
            </w:r>
            <w:r w:rsidR="00F45092">
              <w:rPr>
                <w:color w:val="000000"/>
              </w:rPr>
              <w:t>so</w:t>
            </w:r>
            <w:r>
              <w:rPr>
                <w:color w:val="000000"/>
              </w:rPr>
              <w:t xml:space="preserve"> far as Medicare Parts B and D premiums go, happiness is a low modified AGI! </w:t>
            </w:r>
          </w:p>
          <w:p w14:paraId="0493C6E0" w14:textId="766C85D4" w:rsidR="003A322F" w:rsidRDefault="003A322F" w:rsidP="003A322F">
            <w:pPr>
              <w:spacing w:before="0" w:after="0"/>
              <w:rPr>
                <w:b/>
              </w:rPr>
            </w:pPr>
            <w:r>
              <w:t xml:space="preserve"> </w:t>
            </w:r>
            <w:r w:rsidR="00AA288C" w:rsidRPr="008E3F14">
              <w:rPr>
                <w:rFonts w:ascii="Helvetica" w:hAnsi="Helvetica" w:cs="Helvetica"/>
                <w:noProof/>
                <w:sz w:val="24"/>
                <w:szCs w:val="24"/>
                <w:lang w:eastAsia="zh-CN"/>
              </w:rPr>
              <w:drawing>
                <wp:inline distT="0" distB="0" distL="0" distR="0" wp14:anchorId="730F8FB2" wp14:editId="0C4F6430">
                  <wp:extent cx="388883" cy="388883"/>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249" cy="389249"/>
                          </a:xfrm>
                          <a:prstGeom prst="rect">
                            <a:avLst/>
                          </a:prstGeom>
                          <a:noFill/>
                          <a:ln>
                            <a:noFill/>
                          </a:ln>
                        </pic:spPr>
                      </pic:pic>
                    </a:graphicData>
                  </a:graphic>
                </wp:inline>
              </w:drawing>
            </w:r>
            <w:r>
              <w:t xml:space="preserve"> </w:t>
            </w:r>
            <w:r w:rsidR="00266126">
              <w:t>The Crystal Ball</w:t>
            </w:r>
          </w:p>
          <w:p w14:paraId="3441334D" w14:textId="77777777" w:rsidR="003A322F" w:rsidRPr="007746E2" w:rsidRDefault="003A322F" w:rsidP="003A322F">
            <w:pPr>
              <w:spacing w:before="0" w:after="0"/>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7"/>
            </w:tblGrid>
            <w:tr w:rsidR="003A322F" w:rsidRPr="00120E33" w14:paraId="650994E3" w14:textId="77777777" w:rsidTr="003A322F">
              <w:tc>
                <w:tcPr>
                  <w:tcW w:w="0" w:type="auto"/>
                  <w:shd w:val="clear" w:color="auto" w:fill="E7D9CF"/>
                </w:tcPr>
                <w:p w14:paraId="00A56B14" w14:textId="4CE370B3" w:rsidR="003A322F" w:rsidRPr="00120E33" w:rsidRDefault="000F5BFF" w:rsidP="008E3F14">
                  <w:pPr>
                    <w:rPr>
                      <w:rStyle w:val="Strong"/>
                      <w:b w:val="0"/>
                    </w:rPr>
                  </w:pPr>
                  <w:r>
                    <w:rPr>
                      <w:color w:val="000000"/>
                    </w:rPr>
                    <w:t xml:space="preserve">If the past is prologue to the future, means testing </w:t>
                  </w:r>
                  <w:r w:rsidR="00013535">
                    <w:rPr>
                      <w:color w:val="000000"/>
                    </w:rPr>
                    <w:t>could</w:t>
                  </w:r>
                  <w:r>
                    <w:rPr>
                      <w:color w:val="000000"/>
                    </w:rPr>
                    <w:t xml:space="preserve"> s</w:t>
                  </w:r>
                  <w:r w:rsidR="00013535">
                    <w:rPr>
                      <w:color w:val="000000"/>
                    </w:rPr>
                    <w:t>pread to other Medicare premiums</w:t>
                  </w:r>
                  <w:r w:rsidR="00AD5E16">
                    <w:rPr>
                      <w:color w:val="000000"/>
                    </w:rPr>
                    <w:t>,</w:t>
                  </w:r>
                  <w:r w:rsidR="00013535">
                    <w:rPr>
                      <w:color w:val="000000"/>
                    </w:rPr>
                    <w:t xml:space="preserve"> such as Medicare Part A (hospital insurance)</w:t>
                  </w:r>
                  <w:r w:rsidR="00AD5E16">
                    <w:rPr>
                      <w:color w:val="000000"/>
                    </w:rPr>
                    <w:t>,</w:t>
                  </w:r>
                  <w:r>
                    <w:rPr>
                      <w:color w:val="000000"/>
                    </w:rPr>
                    <w:t xml:space="preserve"> as well.</w:t>
                  </w:r>
                </w:p>
              </w:tc>
            </w:tr>
          </w:tbl>
          <w:p w14:paraId="368371A2" w14:textId="176AE1BF" w:rsidR="003672B0" w:rsidRPr="00604D27" w:rsidRDefault="003672B0" w:rsidP="001207EC"/>
        </w:tc>
      </w:tr>
    </w:tbl>
    <w:p w14:paraId="5ED10D20" w14:textId="59244A56" w:rsidR="00AC40A8" w:rsidRDefault="007B4941" w:rsidP="00E07B42">
      <w:pPr>
        <w:rPr>
          <w:rStyle w:val="Hyperlink"/>
          <w:b w:val="0"/>
          <w:color w:val="auto"/>
          <w:u w:val="none"/>
        </w:rPr>
      </w:pPr>
      <w:r>
        <w:rPr>
          <w:rStyle w:val="Hyperlink"/>
          <w:b w:val="0"/>
          <w:color w:val="000000"/>
          <w:u w:val="none"/>
        </w:rPr>
        <w:t xml:space="preserve">Our goal in this discussion is to raise your awareness rather than bog you down with the details of every possible permutation of the foregoing opportunities. </w:t>
      </w:r>
      <w:r w:rsidR="00F45092">
        <w:rPr>
          <w:rStyle w:val="Hyperlink"/>
          <w:b w:val="0"/>
          <w:color w:val="auto"/>
          <w:u w:val="none"/>
        </w:rPr>
        <w:t>The scope of</w:t>
      </w:r>
      <w:r w:rsidR="0075507B">
        <w:rPr>
          <w:rStyle w:val="Hyperlink"/>
          <w:b w:val="0"/>
          <w:color w:val="auto"/>
          <w:u w:val="none"/>
        </w:rPr>
        <w:t xml:space="preserve"> this course does not permit an exhaustive presentation of all </w:t>
      </w:r>
      <w:r w:rsidR="00F7260D">
        <w:rPr>
          <w:rStyle w:val="Hyperlink"/>
          <w:b w:val="0"/>
          <w:color w:val="auto"/>
          <w:u w:val="none"/>
        </w:rPr>
        <w:t>t</w:t>
      </w:r>
      <w:r w:rsidR="0075507B">
        <w:rPr>
          <w:rStyle w:val="Hyperlink"/>
          <w:b w:val="0"/>
          <w:color w:val="auto"/>
          <w:u w:val="none"/>
        </w:rPr>
        <w:t xml:space="preserve">ax, Social Security, and Medicare </w:t>
      </w:r>
      <w:r w:rsidR="0075507B">
        <w:rPr>
          <w:rStyle w:val="Hyperlink"/>
          <w:b w:val="0"/>
          <w:color w:val="auto"/>
          <w:u w:val="none"/>
        </w:rPr>
        <w:lastRenderedPageBreak/>
        <w:t>variables that may apply to your client’s individual situation. We encourage consult</w:t>
      </w:r>
      <w:r w:rsidR="006D1395">
        <w:rPr>
          <w:rStyle w:val="Hyperlink"/>
          <w:b w:val="0"/>
          <w:color w:val="auto"/>
          <w:u w:val="none"/>
        </w:rPr>
        <w:t>ation</w:t>
      </w:r>
      <w:r w:rsidR="0075507B">
        <w:rPr>
          <w:rStyle w:val="Hyperlink"/>
          <w:b w:val="0"/>
          <w:color w:val="auto"/>
          <w:u w:val="none"/>
        </w:rPr>
        <w:t xml:space="preserve"> </w:t>
      </w:r>
      <w:r w:rsidR="006D1395">
        <w:rPr>
          <w:rStyle w:val="Hyperlink"/>
          <w:b w:val="0"/>
          <w:color w:val="auto"/>
          <w:u w:val="none"/>
        </w:rPr>
        <w:t xml:space="preserve">with your </w:t>
      </w:r>
      <w:r w:rsidR="0075507B">
        <w:rPr>
          <w:rStyle w:val="Hyperlink"/>
          <w:b w:val="0"/>
          <w:color w:val="auto"/>
          <w:u w:val="none"/>
        </w:rPr>
        <w:t xml:space="preserve">in-house experts before making </w:t>
      </w:r>
      <w:r w:rsidR="00F7260D">
        <w:rPr>
          <w:rStyle w:val="Hyperlink"/>
          <w:b w:val="0"/>
          <w:color w:val="auto"/>
          <w:u w:val="none"/>
        </w:rPr>
        <w:t xml:space="preserve">specific </w:t>
      </w:r>
      <w:r w:rsidR="0075507B">
        <w:rPr>
          <w:rStyle w:val="Hyperlink"/>
          <w:b w:val="0"/>
          <w:color w:val="auto"/>
          <w:u w:val="none"/>
        </w:rPr>
        <w:t xml:space="preserve">recommendations to clients. In addition, your </w:t>
      </w:r>
      <w:r w:rsidR="006704DA">
        <w:rPr>
          <w:rStyle w:val="Hyperlink"/>
          <w:b w:val="0"/>
          <w:color w:val="auto"/>
          <w:u w:val="none"/>
        </w:rPr>
        <w:t>client should consult their CFP</w:t>
      </w:r>
      <w:r w:rsidR="006704DA" w:rsidRPr="001F3D42">
        <w:rPr>
          <w:rStyle w:val="Hyperlink"/>
          <w:b w:val="0"/>
          <w:color w:val="auto"/>
          <w:u w:val="none"/>
          <w:vertAlign w:val="superscript"/>
        </w:rPr>
        <w:t>®</w:t>
      </w:r>
      <w:r w:rsidR="00AD5E16">
        <w:rPr>
          <w:rStyle w:val="Hyperlink"/>
          <w:b w:val="0"/>
          <w:color w:val="auto"/>
          <w:u w:val="none"/>
        </w:rPr>
        <w:t xml:space="preserve"> </w:t>
      </w:r>
      <w:proofErr w:type="spellStart"/>
      <w:r w:rsidR="00516360">
        <w:rPr>
          <w:rStyle w:val="Hyperlink"/>
          <w:b w:val="0"/>
          <w:color w:val="auto"/>
          <w:u w:val="none"/>
        </w:rPr>
        <w:t>Certificant</w:t>
      </w:r>
      <w:proofErr w:type="spellEnd"/>
      <w:r w:rsidR="006704DA">
        <w:rPr>
          <w:rStyle w:val="Hyperlink"/>
          <w:b w:val="0"/>
          <w:color w:val="auto"/>
          <w:u w:val="none"/>
        </w:rPr>
        <w:t>, CPA</w:t>
      </w:r>
      <w:r w:rsidR="00AC40A8">
        <w:rPr>
          <w:rStyle w:val="Hyperlink"/>
          <w:b w:val="0"/>
          <w:color w:val="auto"/>
          <w:u w:val="none"/>
        </w:rPr>
        <w:t xml:space="preserve"> or professional tax advisor before any planning decisions are made</w:t>
      </w:r>
      <w:r w:rsidR="006704DA">
        <w:rPr>
          <w:rStyle w:val="Hyperlink"/>
          <w:b w:val="0"/>
          <w:color w:val="auto"/>
          <w:u w:val="none"/>
        </w:rPr>
        <w:t>.</w:t>
      </w:r>
      <w:r w:rsidR="00AC40A8">
        <w:rPr>
          <w:rStyle w:val="Hyperlink"/>
          <w:b w:val="0"/>
          <w:color w:val="auto"/>
          <w:u w:val="none"/>
        </w:rPr>
        <w:t xml:space="preserve">  </w:t>
      </w:r>
    </w:p>
    <w:p w14:paraId="4E374F34" w14:textId="77777777" w:rsidR="00023F90" w:rsidRDefault="00023F90" w:rsidP="00E07B42"/>
    <w:p w14:paraId="354CC9BD" w14:textId="77777777" w:rsidR="00023F90" w:rsidRDefault="00023F90">
      <w:pPr>
        <w:spacing w:before="0" w:after="0"/>
        <w:rPr>
          <w:b/>
          <w:bCs/>
          <w:iCs/>
          <w:color w:val="17365D"/>
          <w:sz w:val="28"/>
          <w:szCs w:val="12"/>
        </w:rPr>
      </w:pPr>
      <w:r>
        <w:br w:type="page"/>
      </w:r>
    </w:p>
    <w:p w14:paraId="74E1C8D1" w14:textId="60449BEF" w:rsidR="00AC40A8" w:rsidRPr="000A2B22" w:rsidRDefault="00A94482" w:rsidP="004344CA">
      <w:pPr>
        <w:pStyle w:val="Heading2"/>
      </w:pPr>
      <w:r>
        <w:lastRenderedPageBreak/>
        <w:t>Health Savings Account</w:t>
      </w:r>
      <w:r w:rsidR="00AC40A8" w:rsidRPr="000A2B22">
        <w:t>s (HSAs)</w:t>
      </w:r>
    </w:p>
    <w:p w14:paraId="14E1E454" w14:textId="13E460CC" w:rsidR="00AC40A8" w:rsidRDefault="00AC40A8" w:rsidP="00C84DA3">
      <w:r w:rsidRPr="000635A2">
        <w:t xml:space="preserve">Here’s an interesting strategy. </w:t>
      </w:r>
      <w:r w:rsidRPr="00F20463">
        <w:t xml:space="preserve">What if </w:t>
      </w:r>
      <w:r w:rsidRPr="00767AB6">
        <w:t>your client</w:t>
      </w:r>
      <w:r w:rsidRPr="0040614F">
        <w:t xml:space="preserve"> could establish </w:t>
      </w:r>
      <w:r>
        <w:t xml:space="preserve">one account to pay medical expenses with tax-free dollars, receive an income tax deduction for contributions </w:t>
      </w:r>
      <w:r w:rsidRPr="001F3D42">
        <w:rPr>
          <w:b/>
          <w:i/>
        </w:rPr>
        <w:t>and</w:t>
      </w:r>
      <w:r w:rsidR="000D647B">
        <w:t xml:space="preserve"> create tax-</w:t>
      </w:r>
      <w:r>
        <w:t xml:space="preserve">deferred retirement income? </w:t>
      </w:r>
      <w:r w:rsidRPr="0045433A">
        <w:t xml:space="preserve">The </w:t>
      </w:r>
      <w:r>
        <w:t>HSA, nicknamed “health care IRA” by some,</w:t>
      </w:r>
      <w:r w:rsidRPr="0045433A">
        <w:t xml:space="preserve"> </w:t>
      </w:r>
      <w:r>
        <w:t xml:space="preserve">has the potential to accomplish this impressive triple play. While not technically an IRA, the HSA combines the following </w:t>
      </w:r>
      <w:r w:rsidR="001D4EDD">
        <w:t>benefits o</w:t>
      </w:r>
      <w:r>
        <w:t>f both Roth and deductible Traditional IRAs.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8838"/>
      </w:tblGrid>
      <w:tr w:rsidR="00AC40A8" w14:paraId="15F4426A" w14:textId="77777777" w:rsidTr="00663A43">
        <w:tc>
          <w:tcPr>
            <w:tcW w:w="8838" w:type="dxa"/>
            <w:shd w:val="clear" w:color="auto" w:fill="DBD9BD"/>
          </w:tcPr>
          <w:p w14:paraId="39011B4B" w14:textId="7EDEE44D" w:rsidR="00AC40A8" w:rsidRDefault="00AC40A8" w:rsidP="00822DE7">
            <w:pPr>
              <w:numPr>
                <w:ilvl w:val="0"/>
                <w:numId w:val="51"/>
              </w:numPr>
            </w:pPr>
            <w:r>
              <w:t>Earnings grow eithe</w:t>
            </w:r>
            <w:r w:rsidR="000D647B">
              <w:t>r income tax-free or income tax-</w:t>
            </w:r>
            <w:r>
              <w:t>deferred.</w:t>
            </w:r>
          </w:p>
          <w:p w14:paraId="7A80EF99" w14:textId="5DF16020" w:rsidR="00AC40A8" w:rsidRDefault="00AC40A8" w:rsidP="00822DE7">
            <w:pPr>
              <w:numPr>
                <w:ilvl w:val="0"/>
                <w:numId w:val="51"/>
              </w:numPr>
            </w:pPr>
            <w:r>
              <w:t>Withdrawal of contributi</w:t>
            </w:r>
            <w:r w:rsidR="000D647B">
              <w:t>ons and earnings are income tax-</w:t>
            </w:r>
            <w:r>
              <w:t xml:space="preserve">free if used to pay for </w:t>
            </w:r>
            <w:r w:rsidRPr="001F3D42">
              <w:rPr>
                <w:rStyle w:val="Hyperlink"/>
              </w:rPr>
              <w:t>qualified medical expenses</w:t>
            </w:r>
            <w:r>
              <w:t>.</w:t>
            </w:r>
          </w:p>
          <w:p w14:paraId="3F74BB3D" w14:textId="28FEEEA6" w:rsidR="00AC40A8" w:rsidRDefault="000D647B" w:rsidP="00822DE7">
            <w:pPr>
              <w:numPr>
                <w:ilvl w:val="0"/>
                <w:numId w:val="51"/>
              </w:numPr>
            </w:pPr>
            <w:r>
              <w:t>Tax-</w:t>
            </w:r>
            <w:r w:rsidR="00AC40A8">
              <w:t>deferred earnings become taxable only when withdrawn for nonqualified expenses.</w:t>
            </w:r>
            <w:r w:rsidR="005A4555">
              <w:t xml:space="preserve"> A </w:t>
            </w:r>
            <w:r w:rsidR="005A4555" w:rsidRPr="00907333">
              <w:rPr>
                <w:rStyle w:val="Hyperlink"/>
              </w:rPr>
              <w:t>20% penalty</w:t>
            </w:r>
            <w:r w:rsidR="005A4555">
              <w:t xml:space="preserve"> may apply to premature nonqualified distributions.</w:t>
            </w:r>
          </w:p>
          <w:p w14:paraId="7C3FFA55" w14:textId="07A6BF9C" w:rsidR="00AC40A8" w:rsidRDefault="00AC40A8" w:rsidP="00822DE7">
            <w:pPr>
              <w:numPr>
                <w:ilvl w:val="0"/>
                <w:numId w:val="51"/>
              </w:numPr>
            </w:pPr>
            <w:r>
              <w:t>C</w:t>
            </w:r>
            <w:r w:rsidRPr="0045433A">
              <w:t xml:space="preserve">ontributions are deductible on </w:t>
            </w:r>
            <w:r>
              <w:t xml:space="preserve">a taxpayer’s </w:t>
            </w:r>
            <w:r w:rsidRPr="0045433A">
              <w:t>income tax return</w:t>
            </w:r>
            <w:r w:rsidR="000D647B">
              <w:t xml:space="preserve"> and subject to</w:t>
            </w:r>
            <w:r>
              <w:t xml:space="preserve"> </w:t>
            </w:r>
            <w:r w:rsidRPr="00502110">
              <w:rPr>
                <w:rStyle w:val="Hyperlink"/>
              </w:rPr>
              <w:t>annual limits</w:t>
            </w:r>
            <w:r>
              <w:t>.</w:t>
            </w:r>
          </w:p>
          <w:p w14:paraId="3D7393A7" w14:textId="77777777" w:rsidR="00AC40A8" w:rsidRPr="00FF1667" w:rsidRDefault="00AC40A8" w:rsidP="00822DE7">
            <w:pPr>
              <w:numPr>
                <w:ilvl w:val="0"/>
                <w:numId w:val="51"/>
              </w:numPr>
              <w:rPr>
                <w:b/>
                <w:bCs/>
              </w:rPr>
            </w:pPr>
            <w:r>
              <w:t xml:space="preserve">If HSA funds are not required for medical expenses, distributions may be taken to supplement a client’s retirement income. </w:t>
            </w:r>
          </w:p>
        </w:tc>
      </w:tr>
    </w:tbl>
    <w:p w14:paraId="56A4A0B1" w14:textId="77777777" w:rsidR="00AC40A8" w:rsidRDefault="00AC40A8" w:rsidP="00757EEC"/>
    <w:tbl>
      <w:tblPr>
        <w:tblW w:w="8894"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894"/>
      </w:tblGrid>
      <w:tr w:rsidR="00AC40A8" w:rsidRPr="0028324A" w14:paraId="740EC8BC" w14:textId="77777777" w:rsidTr="001F3D42">
        <w:trPr>
          <w:trHeight w:val="1646"/>
        </w:trPr>
        <w:tc>
          <w:tcPr>
            <w:tcW w:w="8894" w:type="dxa"/>
            <w:shd w:val="clear" w:color="auto" w:fill="D9D9D9"/>
          </w:tcPr>
          <w:p w14:paraId="04B58B62" w14:textId="77777777" w:rsidR="00AC40A8" w:rsidRPr="00813D5C" w:rsidRDefault="00AC40A8" w:rsidP="00BB17B4">
            <w:pPr>
              <w:rPr>
                <w:rStyle w:val="Hyperlink"/>
                <w:u w:val="none"/>
              </w:rPr>
            </w:pPr>
            <w:r w:rsidRPr="00813D5C">
              <w:rPr>
                <w:rStyle w:val="Hyperlink"/>
                <w:u w:val="none"/>
              </w:rPr>
              <w:t>Qualified Medical Expenses</w:t>
            </w:r>
          </w:p>
          <w:p w14:paraId="43B0E35A" w14:textId="754853A2" w:rsidR="00AC40A8" w:rsidRPr="00911F10" w:rsidRDefault="00AC40A8" w:rsidP="00911F10">
            <w:pPr>
              <w:rPr>
                <w:b/>
                <w:color w:val="4F81BD"/>
                <w:u w:val="single"/>
              </w:rPr>
            </w:pPr>
            <w:r w:rsidRPr="001F3D42">
              <w:rPr>
                <w:rFonts w:cs="Times New Roman"/>
              </w:rPr>
              <w:t xml:space="preserve">The costs to diagnose, treat or prevent disease are qualified medical expenses. Medical services must be provided by a licensed physician, surgeon, dentist, or other certified medical practitioner. </w:t>
            </w:r>
            <w:r>
              <w:rPr>
                <w:rFonts w:cs="Times New Roman"/>
              </w:rPr>
              <w:t>P</w:t>
            </w:r>
            <w:r w:rsidRPr="001F3D42">
              <w:rPr>
                <w:rFonts w:cs="Times New Roman"/>
              </w:rPr>
              <w:t xml:space="preserve">remiums </w:t>
            </w:r>
            <w:r>
              <w:rPr>
                <w:rFonts w:cs="Times New Roman"/>
              </w:rPr>
              <w:t>an individual pays for medical care insurance and qualifie</w:t>
            </w:r>
            <w:r w:rsidR="00117216">
              <w:rPr>
                <w:rFonts w:cs="Times New Roman"/>
              </w:rPr>
              <w:t>d long-</w:t>
            </w:r>
            <w:r>
              <w:rPr>
                <w:rFonts w:cs="Times New Roman"/>
              </w:rPr>
              <w:t>term care insurance</w:t>
            </w:r>
            <w:r w:rsidRPr="00BB17B4">
              <w:rPr>
                <w:rFonts w:cs="Times New Roman"/>
              </w:rPr>
              <w:t xml:space="preserve"> </w:t>
            </w:r>
            <w:r w:rsidRPr="00911F10">
              <w:rPr>
                <w:rFonts w:cs="Times New Roman"/>
              </w:rPr>
              <w:t>are qualified medical expenses as well.</w:t>
            </w:r>
          </w:p>
        </w:tc>
      </w:tr>
    </w:tbl>
    <w:p w14:paraId="7637DAB7" w14:textId="77777777" w:rsidR="00AC40A8" w:rsidRDefault="00AC40A8" w:rsidP="00757EEC"/>
    <w:tbl>
      <w:tblPr>
        <w:tblW w:w="8894"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894"/>
      </w:tblGrid>
      <w:tr w:rsidR="00117216" w:rsidRPr="0028324A" w14:paraId="62CA1981" w14:textId="77777777" w:rsidTr="005F76CA">
        <w:trPr>
          <w:trHeight w:val="1223"/>
        </w:trPr>
        <w:tc>
          <w:tcPr>
            <w:tcW w:w="8894" w:type="dxa"/>
            <w:shd w:val="clear" w:color="auto" w:fill="D9D9D9"/>
          </w:tcPr>
          <w:p w14:paraId="45FE513E" w14:textId="77777777" w:rsidR="00117216" w:rsidRPr="00813D5C" w:rsidRDefault="00117216" w:rsidP="005F76CA">
            <w:pPr>
              <w:rPr>
                <w:rStyle w:val="Hyperlink"/>
                <w:u w:val="none"/>
              </w:rPr>
            </w:pPr>
            <w:r w:rsidRPr="00813D5C">
              <w:rPr>
                <w:rStyle w:val="Hyperlink"/>
                <w:u w:val="none"/>
              </w:rPr>
              <w:t>20% Penalty</w:t>
            </w:r>
          </w:p>
          <w:p w14:paraId="487F9D80" w14:textId="77777777" w:rsidR="00117216" w:rsidRPr="00502110" w:rsidRDefault="00117216" w:rsidP="005F76CA">
            <w:pPr>
              <w:rPr>
                <w:b/>
                <w:color w:val="4F81BD"/>
                <w:u w:val="single"/>
              </w:rPr>
            </w:pPr>
            <w:r>
              <w:t xml:space="preserve">The penalty </w:t>
            </w:r>
            <w:r w:rsidRPr="0045433A">
              <w:t>for non</w:t>
            </w:r>
            <w:r>
              <w:t xml:space="preserve">qualified withdrawals taken before age 65 is a confiscatory </w:t>
            </w:r>
            <w:r w:rsidRPr="0045433A">
              <w:t>20%</w:t>
            </w:r>
            <w:r>
              <w:t>. There is no penalty for nonqualified withdrawals taken on or after age 65 or as a result of death or disability.</w:t>
            </w:r>
          </w:p>
        </w:tc>
      </w:tr>
    </w:tbl>
    <w:p w14:paraId="4609ADF2" w14:textId="77777777" w:rsidR="00117216" w:rsidRDefault="00117216" w:rsidP="00757EEC"/>
    <w:tbl>
      <w:tblPr>
        <w:tblW w:w="8894"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894"/>
      </w:tblGrid>
      <w:tr w:rsidR="00AC40A8" w:rsidRPr="0028324A" w14:paraId="056D2920" w14:textId="77777777" w:rsidTr="001F3D42">
        <w:trPr>
          <w:trHeight w:val="1853"/>
        </w:trPr>
        <w:tc>
          <w:tcPr>
            <w:tcW w:w="8894" w:type="dxa"/>
            <w:shd w:val="clear" w:color="auto" w:fill="D9D9D9"/>
          </w:tcPr>
          <w:p w14:paraId="57CE9996" w14:textId="77777777" w:rsidR="00AC40A8" w:rsidRPr="00813D5C" w:rsidRDefault="00AC40A8" w:rsidP="002978BF">
            <w:pPr>
              <w:rPr>
                <w:rStyle w:val="Hyperlink"/>
                <w:u w:val="none"/>
              </w:rPr>
            </w:pPr>
            <w:r w:rsidRPr="00813D5C">
              <w:rPr>
                <w:rStyle w:val="Hyperlink"/>
                <w:u w:val="none"/>
              </w:rPr>
              <w:t>Annual Limits</w:t>
            </w:r>
          </w:p>
          <w:p w14:paraId="525B8DBE" w14:textId="1384103A" w:rsidR="00CE6EF1" w:rsidRDefault="00AC40A8" w:rsidP="002978BF">
            <w:r w:rsidRPr="0045433A">
              <w:t>An eligible individual may contribute and deduct a maximum of $3,3</w:t>
            </w:r>
            <w:r w:rsidR="00FB2B09">
              <w:t xml:space="preserve">50 </w:t>
            </w:r>
            <w:r w:rsidR="00BC65B9">
              <w:t>(</w:t>
            </w:r>
            <w:r w:rsidR="002D2503">
              <w:t>2016</w:t>
            </w:r>
            <w:r w:rsidR="00BC65B9">
              <w:t>)</w:t>
            </w:r>
            <w:r w:rsidR="00433F22">
              <w:t>.</w:t>
            </w:r>
            <w:r w:rsidRPr="0045433A">
              <w:t xml:space="preserve"> </w:t>
            </w:r>
            <w:r w:rsidR="00CE6EF1">
              <w:t>Individuals age 55 or more may contribute an additional $1,000 (</w:t>
            </w:r>
            <w:r w:rsidR="002D2503">
              <w:t>2016</w:t>
            </w:r>
            <w:r w:rsidR="00CE6EF1">
              <w:t xml:space="preserve">). </w:t>
            </w:r>
            <w:r w:rsidRPr="0045433A">
              <w:t xml:space="preserve">Contribution limits are higher for HSAs established for an entire family. </w:t>
            </w:r>
          </w:p>
          <w:p w14:paraId="2BE6FA1E" w14:textId="57F68FEE" w:rsidR="00AC40A8" w:rsidRPr="008E3F14" w:rsidRDefault="00AC40A8" w:rsidP="002978BF">
            <w:pPr>
              <w:keepNext/>
              <w:ind w:left="720"/>
              <w:outlineLvl w:val="0"/>
              <w:rPr>
                <w:i/>
              </w:rPr>
            </w:pPr>
            <w:r w:rsidRPr="008E3F14">
              <w:rPr>
                <w:i/>
              </w:rPr>
              <w:t>HSA contributions do not reduce a client’s maximum contribution to Traditional or Roth IRAs.</w:t>
            </w:r>
          </w:p>
          <w:p w14:paraId="57161695" w14:textId="4C6F2A5B" w:rsidR="008C5BD1" w:rsidRPr="00502110" w:rsidRDefault="008C5BD1" w:rsidP="00436400">
            <w:pPr>
              <w:rPr>
                <w:b/>
                <w:color w:val="4F81BD"/>
                <w:u w:val="single"/>
              </w:rPr>
            </w:pPr>
            <w:r>
              <w:t>An employer may also contribute to an employee’s HSA. Employ</w:t>
            </w:r>
            <w:r w:rsidR="00117216">
              <w:t>er contributions are income tax-</w:t>
            </w:r>
            <w:r>
              <w:t xml:space="preserve">free to the employee. Combined employer and employee contributions must remain within </w:t>
            </w:r>
            <w:r w:rsidR="00DE47AF">
              <w:t>the annual limits</w:t>
            </w:r>
            <w:r w:rsidR="00636720">
              <w:t>.</w:t>
            </w:r>
          </w:p>
        </w:tc>
      </w:tr>
    </w:tbl>
    <w:p w14:paraId="47CF5FAE" w14:textId="77777777" w:rsidR="00AC40A8" w:rsidRDefault="00AC40A8" w:rsidP="00E737EB"/>
    <w:p w14:paraId="2B1F9AE6" w14:textId="67DEB08C" w:rsidR="00AC40A8" w:rsidRDefault="00AC40A8" w:rsidP="001D6EBC">
      <w:r>
        <w:lastRenderedPageBreak/>
        <w:t xml:space="preserve">To this impressive list we can </w:t>
      </w:r>
      <w:r w:rsidR="00117216">
        <w:t xml:space="preserve">add one benefit found in no IRA - </w:t>
      </w:r>
      <w:r w:rsidRPr="003731C1">
        <w:rPr>
          <w:b/>
        </w:rPr>
        <w:t>earned income is not required to contribute to an HSA</w:t>
      </w:r>
      <w:r>
        <w:t>. However, in retirement accumulation planning</w:t>
      </w:r>
      <w:r w:rsidR="003A32FA">
        <w:t>,</w:t>
      </w:r>
      <w:r>
        <w:t xml:space="preserve"> </w:t>
      </w:r>
      <w:r w:rsidR="00A31B9F">
        <w:t xml:space="preserve">as in </w:t>
      </w:r>
      <w:r>
        <w:t>life itself, there is no free lunch. Whereas Traditional and Roth IRAs enjoy bankruptcy protection under federal law, bankruptcy protection of HSAs is based upon state law. Not all states exempt HSA balances from an individual’s creditors in bankruptcy.</w:t>
      </w:r>
    </w:p>
    <w:p w14:paraId="76862160" w14:textId="117C8C6C" w:rsidR="00AC40A8" w:rsidRDefault="00AC40A8" w:rsidP="0056046B">
      <w:r>
        <w:t xml:space="preserve">When HSAs were enacted in 2003, relatively few individuals or families were eligible because a </w:t>
      </w:r>
      <w:r w:rsidR="00405FD7" w:rsidRPr="00502110">
        <w:rPr>
          <w:rStyle w:val="Hyperlink"/>
        </w:rPr>
        <w:t>High Deductible Health Plan</w:t>
      </w:r>
      <w:r>
        <w:rPr>
          <w:rStyle w:val="Hyperlink"/>
        </w:rPr>
        <w:t xml:space="preserve"> (HDHP)</w:t>
      </w:r>
      <w:r>
        <w:t xml:space="preserve"> was required. HDHPs are still required</w:t>
      </w:r>
      <w:r w:rsidR="00117216">
        <w:t>;</w:t>
      </w:r>
      <w:r>
        <w:t xml:space="preserve"> yet, as higher deductible health plans are increasingly adopted by employers, more clients </w:t>
      </w:r>
      <w:r w:rsidR="0030792D">
        <w:t>a</w:t>
      </w:r>
      <w:r w:rsidR="00CE6EF1">
        <w:t xml:space="preserve">nd employers are adopting HSAs. </w:t>
      </w:r>
      <w:r w:rsidR="0030792D">
        <w:t>Over 800,000 new HSAs were created between 2012 and 2013 according to the Employee Benefit Research Institute</w:t>
      </w:r>
      <w:r w:rsidR="0030792D" w:rsidRPr="008E3F14">
        <w:rPr>
          <w:vertAlign w:val="superscript"/>
        </w:rPr>
        <w:t>®</w:t>
      </w:r>
      <w:r w:rsidR="0030792D">
        <w:t xml:space="preserve"> </w:t>
      </w:r>
      <w:r w:rsidR="0030792D">
        <w:rPr>
          <w:rStyle w:val="FootnoteReference"/>
        </w:rPr>
        <w:footnoteReference w:id="5"/>
      </w:r>
      <w:r>
        <w:t xml:space="preserve">. </w:t>
      </w:r>
      <w:r w:rsidR="008A0999">
        <w:t xml:space="preserve">Individuals covered by Medicare and those who can be claimed as </w:t>
      </w:r>
      <w:r w:rsidR="00D50552">
        <w:t xml:space="preserve">a </w:t>
      </w:r>
      <w:r w:rsidR="008A0999">
        <w:t>dependent on another taxpayer’s income tax return are not eligible for an HSA.</w:t>
      </w:r>
    </w:p>
    <w:tbl>
      <w:tblPr>
        <w:tblW w:w="890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909"/>
      </w:tblGrid>
      <w:tr w:rsidR="00AC40A8" w:rsidRPr="0028324A" w14:paraId="7A5C3883" w14:textId="77777777" w:rsidTr="001F3D42">
        <w:trPr>
          <w:trHeight w:val="1871"/>
        </w:trPr>
        <w:tc>
          <w:tcPr>
            <w:tcW w:w="8909" w:type="dxa"/>
            <w:shd w:val="clear" w:color="auto" w:fill="D9D9D9"/>
          </w:tcPr>
          <w:p w14:paraId="12BB4615" w14:textId="0FEFDC47" w:rsidR="00AC40A8" w:rsidRPr="00813D5C" w:rsidRDefault="00AC40A8" w:rsidP="001F3D42">
            <w:pPr>
              <w:rPr>
                <w:rStyle w:val="Hyperlink"/>
                <w:u w:val="none"/>
              </w:rPr>
            </w:pPr>
            <w:r w:rsidRPr="00813D5C">
              <w:rPr>
                <w:rStyle w:val="Hyperlink"/>
                <w:u w:val="none"/>
              </w:rPr>
              <w:t>High Deductible Health Plan (HDHP)</w:t>
            </w:r>
          </w:p>
          <w:p w14:paraId="4292AC7C" w14:textId="74FED8E2" w:rsidR="00CE6EF1" w:rsidRDefault="00AC40A8" w:rsidP="005A4555">
            <w:r w:rsidRPr="0045433A">
              <w:t xml:space="preserve">HDHPs </w:t>
            </w:r>
            <w:r w:rsidR="00117216">
              <w:t xml:space="preserve">not only </w:t>
            </w:r>
            <w:r w:rsidRPr="0045433A">
              <w:t xml:space="preserve">have a </w:t>
            </w:r>
            <w:r>
              <w:t xml:space="preserve">significantly </w:t>
            </w:r>
            <w:r w:rsidRPr="0045433A">
              <w:t>higher deductible than</w:t>
            </w:r>
            <w:r>
              <w:t xml:space="preserve"> previous traditional</w:t>
            </w:r>
            <w:r w:rsidRPr="0045433A">
              <w:t xml:space="preserve"> employer-provided group health insurance plans</w:t>
            </w:r>
            <w:r w:rsidR="00117216">
              <w:t>,</w:t>
            </w:r>
            <w:r w:rsidR="00CE6EF1">
              <w:t xml:space="preserve"> but also protects the individual with a maximum limit to out</w:t>
            </w:r>
            <w:r w:rsidR="00117216">
              <w:t>-</w:t>
            </w:r>
            <w:r w:rsidR="00CE6EF1">
              <w:t>of</w:t>
            </w:r>
            <w:r w:rsidR="00117216">
              <w:t>-</w:t>
            </w:r>
            <w:r w:rsidR="00CE6EF1">
              <w:t xml:space="preserve">pocket expenses as well. </w:t>
            </w:r>
          </w:p>
          <w:p w14:paraId="4EE8FA2F" w14:textId="544006C2" w:rsidR="00AC40A8" w:rsidRDefault="00AC40A8" w:rsidP="005A4555">
            <w:r w:rsidRPr="0045433A">
              <w:t>An HDHP for an individual must have a minimum annual deductible of $1,</w:t>
            </w:r>
            <w:r w:rsidR="002058EE">
              <w:t>300</w:t>
            </w:r>
            <w:r w:rsidR="002058EE" w:rsidRPr="0045433A">
              <w:t xml:space="preserve"> </w:t>
            </w:r>
            <w:r w:rsidR="008A0999">
              <w:t>(</w:t>
            </w:r>
            <w:r w:rsidR="002D2503">
              <w:t>2016</w:t>
            </w:r>
            <w:r w:rsidR="008A0999">
              <w:t xml:space="preserve">) </w:t>
            </w:r>
            <w:r w:rsidR="00117216">
              <w:t>and a maximum out-of-p</w:t>
            </w:r>
            <w:r w:rsidRPr="0045433A">
              <w:t>ocket expense limit of $6,</w:t>
            </w:r>
            <w:r w:rsidR="00603692">
              <w:t>5</w:t>
            </w:r>
            <w:r w:rsidRPr="0045433A">
              <w:t xml:space="preserve">50 </w:t>
            </w:r>
            <w:r w:rsidR="008A0999">
              <w:t>(</w:t>
            </w:r>
            <w:r w:rsidR="002D2503">
              <w:t>2016</w:t>
            </w:r>
            <w:r w:rsidR="008A0999">
              <w:t>).</w:t>
            </w:r>
            <w:r>
              <w:t xml:space="preserve"> </w:t>
            </w:r>
          </w:p>
          <w:p w14:paraId="357C3DD1" w14:textId="1BA2DBF8" w:rsidR="00CE6EF1" w:rsidRPr="001F3D42" w:rsidRDefault="00CE6EF1" w:rsidP="00603692">
            <w:pPr>
              <w:rPr>
                <w:b/>
                <w:color w:val="4F81BD"/>
                <w:u w:val="single"/>
              </w:rPr>
            </w:pPr>
            <w:r>
              <w:t xml:space="preserve">Family limits include </w:t>
            </w:r>
            <w:r w:rsidRPr="0045433A">
              <w:t>a min</w:t>
            </w:r>
            <w:r>
              <w:t>imum annual deductible of $2,</w:t>
            </w:r>
            <w:r w:rsidR="002058EE">
              <w:t>6</w:t>
            </w:r>
            <w:r>
              <w:t>00</w:t>
            </w:r>
            <w:r w:rsidRPr="0045433A">
              <w:t xml:space="preserve"> </w:t>
            </w:r>
            <w:r>
              <w:t>(</w:t>
            </w:r>
            <w:r w:rsidR="002D2503">
              <w:t>2016</w:t>
            </w:r>
            <w:r>
              <w:t xml:space="preserve">) </w:t>
            </w:r>
            <w:r w:rsidRPr="0045433A">
              <w:t>and a maximum out</w:t>
            </w:r>
            <w:r w:rsidR="00117216">
              <w:t>-</w:t>
            </w:r>
            <w:r w:rsidRPr="0045433A">
              <w:t>o</w:t>
            </w:r>
            <w:r>
              <w:t>f</w:t>
            </w:r>
            <w:r w:rsidR="00117216">
              <w:t>-</w:t>
            </w:r>
            <w:r>
              <w:t>pocket expense limit of $</w:t>
            </w:r>
            <w:r w:rsidR="00603692">
              <w:t>13,100</w:t>
            </w:r>
            <w:r w:rsidRPr="0045433A">
              <w:t xml:space="preserve"> </w:t>
            </w:r>
            <w:r>
              <w:t>(</w:t>
            </w:r>
            <w:r w:rsidR="002D2503">
              <w:t>2016</w:t>
            </w:r>
            <w:r>
              <w:t xml:space="preserve">). </w:t>
            </w:r>
          </w:p>
        </w:tc>
      </w:tr>
    </w:tbl>
    <w:p w14:paraId="3EF105A2" w14:textId="77777777" w:rsidR="008D5FD3" w:rsidRDefault="008D5FD3" w:rsidP="008603A5">
      <w:r>
        <w:t>The following example demonstrates the power of the HSA.</w:t>
      </w:r>
    </w:p>
    <w:tbl>
      <w:tblPr>
        <w:tblW w:w="8928" w:type="dxa"/>
        <w:tblInd w:w="720" w:type="dxa"/>
        <w:tblBorders>
          <w:top w:val="single" w:sz="4" w:space="0" w:color="auto"/>
          <w:left w:val="single" w:sz="4" w:space="0" w:color="auto"/>
          <w:bottom w:val="single" w:sz="4" w:space="0" w:color="auto"/>
          <w:right w:val="single" w:sz="4" w:space="0" w:color="auto"/>
        </w:tblBorders>
        <w:shd w:val="clear" w:color="auto" w:fill="FFFF00"/>
        <w:tblLook w:val="04A0" w:firstRow="1" w:lastRow="0" w:firstColumn="1" w:lastColumn="0" w:noHBand="0" w:noVBand="1"/>
      </w:tblPr>
      <w:tblGrid>
        <w:gridCol w:w="8928"/>
      </w:tblGrid>
      <w:tr w:rsidR="00AC40A8" w:rsidRPr="0045433A" w14:paraId="229C6C87" w14:textId="77777777" w:rsidTr="003620EF">
        <w:trPr>
          <w:trHeight w:val="404"/>
        </w:trPr>
        <w:tc>
          <w:tcPr>
            <w:tcW w:w="8928" w:type="dxa"/>
            <w:tcBorders>
              <w:top w:val="single" w:sz="4" w:space="0" w:color="auto"/>
              <w:bottom w:val="single" w:sz="4" w:space="0" w:color="auto"/>
            </w:tcBorders>
            <w:shd w:val="clear" w:color="auto" w:fill="FFFF99"/>
          </w:tcPr>
          <w:p w14:paraId="3F71DE0F" w14:textId="77777777" w:rsidR="00AC40A8" w:rsidRPr="001F3D42" w:rsidRDefault="00AC40A8" w:rsidP="00D334D4">
            <w:pPr>
              <w:rPr>
                <w:b/>
              </w:rPr>
            </w:pPr>
            <w:r w:rsidRPr="001F3D42">
              <w:rPr>
                <w:b/>
              </w:rPr>
              <w:t>Example</w:t>
            </w:r>
          </w:p>
          <w:p w14:paraId="0E60C6DC" w14:textId="51DD7C61" w:rsidR="00AC40A8" w:rsidRDefault="00AC40A8" w:rsidP="00BB17B4">
            <w:r w:rsidRPr="0045433A">
              <w:t xml:space="preserve">Your client Bruce, age </w:t>
            </w:r>
            <w:r>
              <w:t>35</w:t>
            </w:r>
            <w:r w:rsidRPr="0045433A">
              <w:t xml:space="preserve">, </w:t>
            </w:r>
            <w:r>
              <w:t>contributed and deducted $5,50</w:t>
            </w:r>
            <w:r w:rsidR="00AB4E7D">
              <w:t xml:space="preserve">0 </w:t>
            </w:r>
            <w:r>
              <w:t>to</w:t>
            </w:r>
            <w:r w:rsidRPr="0045433A">
              <w:t xml:space="preserve"> a deductible Traditional IRA</w:t>
            </w:r>
            <w:r>
              <w:t xml:space="preserve"> for </w:t>
            </w:r>
            <w:r w:rsidR="002D2503">
              <w:t>2016</w:t>
            </w:r>
            <w:r>
              <w:t>.</w:t>
            </w:r>
            <w:r w:rsidRPr="0045433A">
              <w:t xml:space="preserve"> Bruce also qualifies for an </w:t>
            </w:r>
            <w:r>
              <w:t>HSA because he is covered under an HDHP and has no other health insurance. His IRA contribution does not reduce his maximum HSA contribution and any HSA contributions do not reduce his maximum IRA contribution.</w:t>
            </w:r>
          </w:p>
          <w:p w14:paraId="31B99E7E" w14:textId="38F9736D" w:rsidR="00AC40A8" w:rsidRDefault="00AC40A8" w:rsidP="00911F10">
            <w:r w:rsidRPr="0045433A">
              <w:t>He may contribute and deduct $</w:t>
            </w:r>
            <w:r w:rsidR="002F0C54">
              <w:t>3</w:t>
            </w:r>
            <w:r>
              <w:t>,</w:t>
            </w:r>
            <w:r w:rsidRPr="0045433A">
              <w:t>3</w:t>
            </w:r>
            <w:r w:rsidR="000021B6">
              <w:t>5</w:t>
            </w:r>
            <w:r w:rsidRPr="0045433A">
              <w:t xml:space="preserve">0 </w:t>
            </w:r>
            <w:r w:rsidR="008A0999">
              <w:t>(</w:t>
            </w:r>
            <w:r w:rsidR="002D2503">
              <w:t>2016</w:t>
            </w:r>
            <w:r w:rsidR="008A0999">
              <w:t xml:space="preserve">, as indexed) </w:t>
            </w:r>
            <w:r>
              <w:t xml:space="preserve">to an </w:t>
            </w:r>
            <w:r w:rsidR="008A0999">
              <w:t>HSA.</w:t>
            </w:r>
            <w:r>
              <w:t xml:space="preserve"> Assuming that Bruce makes annual contributions of $</w:t>
            </w:r>
            <w:r w:rsidR="002F0C54">
              <w:t>3</w:t>
            </w:r>
            <w:r>
              <w:t>,3</w:t>
            </w:r>
            <w:r w:rsidR="000021B6">
              <w:t>5</w:t>
            </w:r>
            <w:r>
              <w:t>0 for the next 30 years and uses only one-half of each annual contribution for medical expenses, his HSA will grow to over $1</w:t>
            </w:r>
            <w:r w:rsidR="002F0C54">
              <w:t>4</w:t>
            </w:r>
            <w:r>
              <w:t>0,000 at a 6% annual net investment return.</w:t>
            </w:r>
          </w:p>
          <w:p w14:paraId="390226EF" w14:textId="7B8A12C3" w:rsidR="00AC40A8" w:rsidRPr="0045433A" w:rsidRDefault="00AC40A8" w:rsidP="002F0C54">
            <w:r>
              <w:t xml:space="preserve">The annual HSA contribution, in a 28% marginal tax bracket, </w:t>
            </w:r>
            <w:r w:rsidR="00A31B9F">
              <w:t xml:space="preserve">also </w:t>
            </w:r>
            <w:r>
              <w:t xml:space="preserve">saves Bruce </w:t>
            </w:r>
            <w:r w:rsidR="002F0C54">
              <w:t>over $900</w:t>
            </w:r>
            <w:r>
              <w:t xml:space="preserve"> annually in federal income taxes. </w:t>
            </w:r>
          </w:p>
        </w:tc>
      </w:tr>
    </w:tbl>
    <w:p w14:paraId="65FC3861" w14:textId="14882E97" w:rsidR="00AC40A8" w:rsidRDefault="00AC40A8" w:rsidP="00C10527">
      <w:r w:rsidRPr="000A2B22">
        <w:t xml:space="preserve">The HSA </w:t>
      </w:r>
      <w:r w:rsidRPr="000635A2">
        <w:t>would be a</w:t>
      </w:r>
      <w:r w:rsidRPr="00F20463">
        <w:t xml:space="preserve"> powerful </w:t>
      </w:r>
      <w:r>
        <w:t>strategy even if it did not offer a potential addition to a client’s retirement income. However, a</w:t>
      </w:r>
      <w:r w:rsidRPr="0040614F">
        <w:t>t age 65,</w:t>
      </w:r>
      <w:r w:rsidRPr="0045433A">
        <w:t xml:space="preserve"> the 20% penalty for non</w:t>
      </w:r>
      <w:r>
        <w:t xml:space="preserve">qualified </w:t>
      </w:r>
      <w:r w:rsidRPr="0045433A">
        <w:t>withdrawal</w:t>
      </w:r>
      <w:r>
        <w:t>s</w:t>
      </w:r>
      <w:r w:rsidRPr="0045433A">
        <w:t xml:space="preserve"> disappears and </w:t>
      </w:r>
      <w:r>
        <w:t>dis</w:t>
      </w:r>
      <w:r w:rsidR="005F76CA">
        <w:t>tributions may be taken penalty-</w:t>
      </w:r>
      <w:r>
        <w:t xml:space="preserve">free to supplement a retiree’s income. </w:t>
      </w:r>
      <w:r w:rsidR="00A31B9F">
        <w:t xml:space="preserve">Taxable income will result to the extent withdrawals are taken for </w:t>
      </w:r>
      <w:proofErr w:type="spellStart"/>
      <w:r w:rsidR="00A31B9F">
        <w:t>nonqualifying</w:t>
      </w:r>
      <w:proofErr w:type="spellEnd"/>
      <w:r w:rsidR="00A31B9F">
        <w:t xml:space="preserve"> purposes.</w:t>
      </w:r>
    </w:p>
    <w:p w14:paraId="180BCA11" w14:textId="77777777" w:rsidR="00AC40A8" w:rsidRDefault="00AC40A8" w:rsidP="004344CA">
      <w:pPr>
        <w:pStyle w:val="Heading2"/>
      </w:pPr>
      <w:r>
        <w:br w:type="page"/>
      </w:r>
      <w:r>
        <w:lastRenderedPageBreak/>
        <w:t>IRAs Established by Employers</w:t>
      </w:r>
    </w:p>
    <w:p w14:paraId="1753A613" w14:textId="30C1EB1F" w:rsidR="00AC40A8" w:rsidRDefault="00AC40A8" w:rsidP="004344CA">
      <w:r>
        <w:t xml:space="preserve">Our discussion of “Key </w:t>
      </w:r>
      <w:r w:rsidR="00174E14">
        <w:t xml:space="preserve">Issue </w:t>
      </w:r>
      <w:r>
        <w:t xml:space="preserve">4 – Tax-Efficient </w:t>
      </w:r>
      <w:r w:rsidR="00174E14">
        <w:t>Savings Strategy</w:t>
      </w:r>
      <w:r>
        <w:t>” continues as we change our foc</w:t>
      </w:r>
      <w:r w:rsidR="005F76CA">
        <w:t>us from “IRAs E</w:t>
      </w:r>
      <w:r>
        <w:t>stablished by Individuals” to “IRAs Established by Employers.”</w:t>
      </w:r>
    </w:p>
    <w:p w14:paraId="2F6EF44F" w14:textId="77777777" w:rsidR="00FF4C3E" w:rsidRDefault="00FF4C3E" w:rsidP="00A94572"/>
    <w:tbl>
      <w:tblPr>
        <w:tblStyle w:val="TableGrid"/>
        <w:tblW w:w="0" w:type="auto"/>
        <w:tblInd w:w="2718" w:type="dxa"/>
        <w:tblLook w:val="04A0" w:firstRow="1" w:lastRow="0" w:firstColumn="1" w:lastColumn="0" w:noHBand="0" w:noVBand="1"/>
      </w:tblPr>
      <w:tblGrid>
        <w:gridCol w:w="4140"/>
      </w:tblGrid>
      <w:tr w:rsidR="000F5D9A" w14:paraId="5D8427E5" w14:textId="77777777" w:rsidTr="003731C1">
        <w:tc>
          <w:tcPr>
            <w:tcW w:w="4140" w:type="dxa"/>
            <w:shd w:val="clear" w:color="auto" w:fill="auto"/>
          </w:tcPr>
          <w:p w14:paraId="31FB71C1" w14:textId="5EAE7B18" w:rsidR="000F5D9A" w:rsidRDefault="000F5D9A" w:rsidP="003731C1">
            <w:pPr>
              <w:jc w:val="center"/>
            </w:pPr>
            <w:r w:rsidRPr="003731C1">
              <w:rPr>
                <w:b/>
              </w:rPr>
              <w:t>IRAs:</w:t>
            </w:r>
            <w:r>
              <w:t xml:space="preserve">  Sponsored by Employers</w:t>
            </w:r>
          </w:p>
          <w:p w14:paraId="1647D2BB" w14:textId="66B527B3" w:rsidR="000F5D9A" w:rsidRDefault="000F5D9A" w:rsidP="00A94572">
            <w:r>
              <w:rPr>
                <w:noProof/>
                <w:lang w:eastAsia="zh-CN"/>
              </w:rPr>
              <mc:AlternateContent>
                <mc:Choice Requires="wps">
                  <w:drawing>
                    <wp:anchor distT="0" distB="0" distL="114300" distR="114300" simplePos="0" relativeHeight="251664384" behindDoc="0" locked="0" layoutInCell="1" allowOverlap="1" wp14:anchorId="0D89C2D8" wp14:editId="5CC32B33">
                      <wp:simplePos x="0" y="0"/>
                      <wp:positionH relativeFrom="column">
                        <wp:posOffset>614680</wp:posOffset>
                      </wp:positionH>
                      <wp:positionV relativeFrom="paragraph">
                        <wp:posOffset>441325</wp:posOffset>
                      </wp:positionV>
                      <wp:extent cx="1261745" cy="228600"/>
                      <wp:effectExtent l="0" t="0" r="33655" b="25400"/>
                      <wp:wrapNone/>
                      <wp:docPr id="67" name="Rectangle 67"/>
                      <wp:cNvGraphicFramePr/>
                      <a:graphic xmlns:a="http://schemas.openxmlformats.org/drawingml/2006/main">
                        <a:graphicData uri="http://schemas.microsoft.com/office/word/2010/wordprocessingShape">
                          <wps:wsp>
                            <wps:cNvSpPr/>
                            <wps:spPr>
                              <a:xfrm>
                                <a:off x="0" y="0"/>
                                <a:ext cx="1261745" cy="2286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F30EB05" w14:textId="19B303D0" w:rsidR="004507AE" w:rsidRPr="003731C1" w:rsidRDefault="004507AE" w:rsidP="003731C1">
                                  <w:pPr>
                                    <w:spacing w:before="40" w:after="0"/>
                                    <w:jc w:val="center"/>
                                    <w:rPr>
                                      <w:color w:val="000000" w:themeColor="text1"/>
                                    </w:rPr>
                                  </w:pPr>
                                  <w:r>
                                    <w:rPr>
                                      <w:color w:val="000000" w:themeColor="text1"/>
                                    </w:rPr>
                                    <w:t>SIMPLE IRA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89C2D8" id="Rectangle_x0020_67" o:spid="_x0000_s1028" style="position:absolute;margin-left:48.4pt;margin-top:34.75pt;width:99.35pt;height: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" filled="f" strokecolor="black [3213]">
                      <v:textbox inset="0,0,0,0">
                        <w:txbxContent>
                          <w:p w14:paraId="3F30EB05" w14:textId="19B303D0" w:rsidR="004507AE" w:rsidRPr="003731C1" w:rsidRDefault="004507AE" w:rsidP="003731C1">
                            <w:pPr>
                              <w:spacing w:before="40" w:after="0"/>
                              <w:jc w:val="center"/>
                              <w:rPr>
                                <w:color w:val="000000" w:themeColor="text1"/>
                              </w:rPr>
                            </w:pPr>
                            <w:r>
                              <w:rPr>
                                <w:color w:val="000000" w:themeColor="text1"/>
                              </w:rPr>
                              <w:t>SIMPLE IRA</w:t>
                            </w:r>
                          </w:p>
                        </w:txbxContent>
                      </v:textbox>
                    </v:rect>
                  </w:pict>
                </mc:Fallback>
              </mc:AlternateContent>
            </w:r>
            <w:r>
              <w:rPr>
                <w:noProof/>
                <w:lang w:eastAsia="zh-CN"/>
              </w:rPr>
              <mc:AlternateContent>
                <mc:Choice Requires="wps">
                  <w:drawing>
                    <wp:anchor distT="0" distB="0" distL="114300" distR="114300" simplePos="0" relativeHeight="251660288" behindDoc="0" locked="0" layoutInCell="1" allowOverlap="1" wp14:anchorId="00BC83FD" wp14:editId="465D3259">
                      <wp:simplePos x="0" y="0"/>
                      <wp:positionH relativeFrom="column">
                        <wp:posOffset>614680</wp:posOffset>
                      </wp:positionH>
                      <wp:positionV relativeFrom="paragraph">
                        <wp:posOffset>102870</wp:posOffset>
                      </wp:positionV>
                      <wp:extent cx="1261745" cy="228600"/>
                      <wp:effectExtent l="0" t="0" r="33655" b="25400"/>
                      <wp:wrapNone/>
                      <wp:docPr id="11" name="Rectangle 11"/>
                      <wp:cNvGraphicFramePr/>
                      <a:graphic xmlns:a="http://schemas.openxmlformats.org/drawingml/2006/main">
                        <a:graphicData uri="http://schemas.microsoft.com/office/word/2010/wordprocessingShape">
                          <wps:wsp>
                            <wps:cNvSpPr/>
                            <wps:spPr>
                              <a:xfrm>
                                <a:off x="0" y="0"/>
                                <a:ext cx="1261745" cy="2286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0A4DAF0" w14:textId="40CB89D0" w:rsidR="004507AE" w:rsidRPr="003731C1" w:rsidRDefault="004507AE" w:rsidP="003731C1">
                                  <w:pPr>
                                    <w:spacing w:before="40" w:after="0"/>
                                    <w:jc w:val="center"/>
                                    <w:rPr>
                                      <w:color w:val="000000" w:themeColor="text1"/>
                                    </w:rPr>
                                  </w:pPr>
                                  <w:r>
                                    <w:rPr>
                                      <w:color w:val="000000" w:themeColor="text1"/>
                                    </w:rPr>
                                    <w:t>SEP IRA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BC83FD" id="Rectangle_x0020_11" o:spid="_x0000_s1029" style="position:absolute;margin-left:48.4pt;margin-top:8.1pt;width:99.35pt;height:1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" filled="f" strokecolor="black [3213]">
                      <v:textbox inset="0,0,0,0">
                        <w:txbxContent>
                          <w:p w14:paraId="10A4DAF0" w14:textId="40CB89D0" w:rsidR="004507AE" w:rsidRPr="003731C1" w:rsidRDefault="004507AE" w:rsidP="003731C1">
                            <w:pPr>
                              <w:spacing w:before="40" w:after="0"/>
                              <w:jc w:val="center"/>
                              <w:rPr>
                                <w:color w:val="000000" w:themeColor="text1"/>
                              </w:rPr>
                            </w:pPr>
                            <w:r>
                              <w:rPr>
                                <w:color w:val="000000" w:themeColor="text1"/>
                              </w:rPr>
                              <w:t>SEP IRA</w:t>
                            </w:r>
                          </w:p>
                        </w:txbxContent>
                      </v:textbox>
                    </v:rect>
                  </w:pict>
                </mc:Fallback>
              </mc:AlternateContent>
            </w:r>
            <w:r>
              <w:rPr>
                <w:noProof/>
                <w:lang w:eastAsia="zh-CN"/>
              </w:rPr>
              <mc:AlternateContent>
                <mc:Choice Requires="wps">
                  <w:drawing>
                    <wp:anchor distT="0" distB="0" distL="114300" distR="114300" simplePos="0" relativeHeight="251662336" behindDoc="0" locked="0" layoutInCell="1" allowOverlap="1" wp14:anchorId="4E33DE75" wp14:editId="00614C9D">
                      <wp:simplePos x="0" y="0"/>
                      <wp:positionH relativeFrom="column">
                        <wp:posOffset>614680</wp:posOffset>
                      </wp:positionH>
                      <wp:positionV relativeFrom="paragraph">
                        <wp:posOffset>102870</wp:posOffset>
                      </wp:positionV>
                      <wp:extent cx="1261745" cy="45085"/>
                      <wp:effectExtent l="0" t="0" r="33655" b="31115"/>
                      <wp:wrapNone/>
                      <wp:docPr id="12" name="Rectangle 12"/>
                      <wp:cNvGraphicFramePr/>
                      <a:graphic xmlns:a="http://schemas.openxmlformats.org/drawingml/2006/main">
                        <a:graphicData uri="http://schemas.microsoft.com/office/word/2010/wordprocessingShape">
                          <wps:wsp>
                            <wps:cNvSpPr/>
                            <wps:spPr>
                              <a:xfrm>
                                <a:off x="0" y="0"/>
                                <a:ext cx="1261745" cy="45085"/>
                              </a:xfrm>
                              <a:prstGeom prst="rect">
                                <a:avLst/>
                              </a:prstGeom>
                              <a:solidFill>
                                <a:srgbClr val="0225C7"/>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A6817" id="Rectangle_x0020_12" o:spid="_x0000_s1026" style="position:absolute;margin-left:48.4pt;margin-top:8.1pt;width:99.35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" fillcolor="#0225c7" strokecolor="black [3213]"/>
                  </w:pict>
                </mc:Fallback>
              </mc:AlternateContent>
            </w:r>
          </w:p>
          <w:p w14:paraId="5C6C0CB3" w14:textId="346D1FD2" w:rsidR="000F5D9A" w:rsidRDefault="000F5D9A" w:rsidP="00A94572">
            <w:r>
              <w:rPr>
                <w:noProof/>
                <w:lang w:eastAsia="zh-CN"/>
              </w:rPr>
              <mc:AlternateContent>
                <mc:Choice Requires="wps">
                  <w:drawing>
                    <wp:anchor distT="0" distB="0" distL="114300" distR="114300" simplePos="0" relativeHeight="251665408" behindDoc="0" locked="0" layoutInCell="1" allowOverlap="1" wp14:anchorId="3D5198E9" wp14:editId="2FC4D311">
                      <wp:simplePos x="0" y="0"/>
                      <wp:positionH relativeFrom="column">
                        <wp:posOffset>614680</wp:posOffset>
                      </wp:positionH>
                      <wp:positionV relativeFrom="paragraph">
                        <wp:posOffset>210820</wp:posOffset>
                      </wp:positionV>
                      <wp:extent cx="1261872" cy="45085"/>
                      <wp:effectExtent l="0" t="0" r="33655" b="31115"/>
                      <wp:wrapNone/>
                      <wp:docPr id="68" name="Rectangle 68"/>
                      <wp:cNvGraphicFramePr/>
                      <a:graphic xmlns:a="http://schemas.openxmlformats.org/drawingml/2006/main">
                        <a:graphicData uri="http://schemas.microsoft.com/office/word/2010/wordprocessingShape">
                          <wps:wsp>
                            <wps:cNvSpPr/>
                            <wps:spPr>
                              <a:xfrm>
                                <a:off x="0" y="0"/>
                                <a:ext cx="1261872" cy="45085"/>
                              </a:xfrm>
                              <a:prstGeom prst="rect">
                                <a:avLst/>
                              </a:prstGeom>
                              <a:solidFill>
                                <a:schemeClr val="accent3">
                                  <a:lumMod val="50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B100C" id="Rectangle_x0020_68" o:spid="_x0000_s1026" style="position:absolute;margin-left:48.4pt;margin-top:16.6pt;width:99.3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" fillcolor="#4e6128 [1606]" strokecolor="black [3213]"/>
                  </w:pict>
                </mc:Fallback>
              </mc:AlternateContent>
            </w:r>
          </w:p>
          <w:p w14:paraId="1A2F10C6" w14:textId="4DE42376" w:rsidR="000F5D9A" w:rsidRDefault="000F5D9A" w:rsidP="00A94572"/>
          <w:p w14:paraId="7CDB2718" w14:textId="50E560FA" w:rsidR="000F5D9A" w:rsidRDefault="000F5D9A" w:rsidP="00A94572">
            <w:r>
              <w:rPr>
                <w:noProof/>
                <w:lang w:eastAsia="zh-CN"/>
              </w:rPr>
              <mc:AlternateContent>
                <mc:Choice Requires="wps">
                  <w:drawing>
                    <wp:anchor distT="0" distB="0" distL="114300" distR="114300" simplePos="0" relativeHeight="251667456" behindDoc="0" locked="0" layoutInCell="1" allowOverlap="1" wp14:anchorId="6BE435A6" wp14:editId="2CE1F737">
                      <wp:simplePos x="0" y="0"/>
                      <wp:positionH relativeFrom="column">
                        <wp:posOffset>612140</wp:posOffset>
                      </wp:positionH>
                      <wp:positionV relativeFrom="paragraph">
                        <wp:posOffset>89535</wp:posOffset>
                      </wp:positionV>
                      <wp:extent cx="1261745" cy="228600"/>
                      <wp:effectExtent l="0" t="0" r="33655" b="25400"/>
                      <wp:wrapNone/>
                      <wp:docPr id="69" name="Rectangle 69"/>
                      <wp:cNvGraphicFramePr/>
                      <a:graphic xmlns:a="http://schemas.openxmlformats.org/drawingml/2006/main">
                        <a:graphicData uri="http://schemas.microsoft.com/office/word/2010/wordprocessingShape">
                          <wps:wsp>
                            <wps:cNvSpPr/>
                            <wps:spPr>
                              <a:xfrm>
                                <a:off x="0" y="0"/>
                                <a:ext cx="1261745" cy="2286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1DF4821" w14:textId="50EB9DBF" w:rsidR="004507AE" w:rsidRPr="003731C1" w:rsidRDefault="004507AE" w:rsidP="003731C1">
                                  <w:pPr>
                                    <w:spacing w:before="40" w:after="0"/>
                                    <w:jc w:val="center"/>
                                    <w:rPr>
                                      <w:color w:val="000000" w:themeColor="text1"/>
                                    </w:rPr>
                                  </w:pPr>
                                  <w:proofErr w:type="spellStart"/>
                                  <w:r>
                                    <w:rPr>
                                      <w:i/>
                                      <w:color w:val="000000" w:themeColor="text1"/>
                                    </w:rPr>
                                    <w:t>my</w:t>
                                  </w:r>
                                  <w:r>
                                    <w:rPr>
                                      <w:color w:val="000000" w:themeColor="text1"/>
                                    </w:rPr>
                                    <w:t>RA</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E435A6" id="Rectangle_x0020_69" o:spid="_x0000_s1030" style="position:absolute;margin-left:48.2pt;margin-top:7.05pt;width:99.35pt;height:1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" filled="f" strokecolor="black [3213]">
                      <v:textbox inset="0,0,0,0">
                        <w:txbxContent>
                          <w:p w14:paraId="21DF4821" w14:textId="50EB9DBF" w:rsidR="004507AE" w:rsidRPr="003731C1" w:rsidRDefault="004507AE" w:rsidP="003731C1">
                            <w:pPr>
                              <w:spacing w:before="40" w:after="0"/>
                              <w:jc w:val="center"/>
                              <w:rPr>
                                <w:color w:val="000000" w:themeColor="text1"/>
                              </w:rPr>
                            </w:pPr>
                            <w:proofErr w:type="spellStart"/>
                            <w:r>
                              <w:rPr>
                                <w:i/>
                                <w:color w:val="000000" w:themeColor="text1"/>
                              </w:rPr>
                              <w:t>my</w:t>
                            </w:r>
                            <w:r>
                              <w:rPr>
                                <w:color w:val="000000" w:themeColor="text1"/>
                              </w:rPr>
                              <w:t>RA</w:t>
                            </w:r>
                            <w:proofErr w:type="spellEnd"/>
                          </w:p>
                        </w:txbxContent>
                      </v:textbox>
                    </v:rect>
                  </w:pict>
                </mc:Fallback>
              </mc:AlternateContent>
            </w:r>
            <w:r>
              <w:rPr>
                <w:noProof/>
                <w:lang w:eastAsia="zh-CN"/>
              </w:rPr>
              <mc:AlternateContent>
                <mc:Choice Requires="wps">
                  <w:drawing>
                    <wp:anchor distT="0" distB="0" distL="114300" distR="114300" simplePos="0" relativeHeight="251668480" behindDoc="0" locked="0" layoutInCell="1" allowOverlap="1" wp14:anchorId="5209FA37" wp14:editId="73D5B824">
                      <wp:simplePos x="0" y="0"/>
                      <wp:positionH relativeFrom="column">
                        <wp:posOffset>612648</wp:posOffset>
                      </wp:positionH>
                      <wp:positionV relativeFrom="paragraph">
                        <wp:posOffset>89535</wp:posOffset>
                      </wp:positionV>
                      <wp:extent cx="1261872" cy="45085"/>
                      <wp:effectExtent l="0" t="0" r="33655" b="31115"/>
                      <wp:wrapNone/>
                      <wp:docPr id="70" name="Rectangle 70"/>
                      <wp:cNvGraphicFramePr/>
                      <a:graphic xmlns:a="http://schemas.openxmlformats.org/drawingml/2006/main">
                        <a:graphicData uri="http://schemas.microsoft.com/office/word/2010/wordprocessingShape">
                          <wps:wsp>
                            <wps:cNvSpPr/>
                            <wps:spPr>
                              <a:xfrm>
                                <a:off x="0" y="0"/>
                                <a:ext cx="1261872" cy="45085"/>
                              </a:xfrm>
                              <a:prstGeom prst="rect">
                                <a:avLst/>
                              </a:prstGeom>
                              <a:solidFill>
                                <a:srgbClr val="BD190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B8F4D" id="Rectangle_x0020_70" o:spid="_x0000_s1026" style="position:absolute;margin-left:48.25pt;margin-top:7.05pt;width:99.35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" fillcolor="#bd1902" strokecolor="black [3213]"/>
                  </w:pict>
                </mc:Fallback>
              </mc:AlternateContent>
            </w:r>
          </w:p>
          <w:p w14:paraId="0A57988E" w14:textId="77777777" w:rsidR="000F5D9A" w:rsidRDefault="000F5D9A" w:rsidP="00A94572"/>
        </w:tc>
      </w:tr>
    </w:tbl>
    <w:p w14:paraId="4E9F586F" w14:textId="77777777" w:rsidR="00FF4C3E" w:rsidRDefault="00FF4C3E" w:rsidP="00A94572"/>
    <w:p w14:paraId="745557D2" w14:textId="77777777" w:rsidR="00AC40A8" w:rsidRPr="003B7B6A" w:rsidRDefault="00AC40A8" w:rsidP="00A94572">
      <w:r w:rsidRPr="003B7B6A">
        <w:t xml:space="preserve">Two of the least complex </w:t>
      </w:r>
      <w:r>
        <w:t xml:space="preserve">and least costly </w:t>
      </w:r>
      <w:r w:rsidRPr="003B7B6A">
        <w:t>retirement plans offered by employers are Simplified Employee Pension Plans (SEPs) and Savings Incentive Match Plan for Em</w:t>
      </w:r>
      <w:r>
        <w:t>ployees (SIMPLEs</w:t>
      </w:r>
      <w:r w:rsidRPr="003B7B6A">
        <w:t xml:space="preserve">). These plans have some qualified plan characteristics and are </w:t>
      </w:r>
      <w:r>
        <w:t xml:space="preserve">also </w:t>
      </w:r>
      <w:r w:rsidRPr="003B7B6A" w:rsidDel="00CD30B2">
        <w:t>governed</w:t>
      </w:r>
      <w:r w:rsidRPr="003B7B6A">
        <w:t xml:space="preserve"> by rules similar to the Traditional IRA. Their primary differences from IRAs are two-fold:</w:t>
      </w:r>
    </w:p>
    <w:p w14:paraId="09171BD0" w14:textId="77777777" w:rsidR="00AC40A8" w:rsidRPr="003B7B6A" w:rsidRDefault="00AC40A8" w:rsidP="00822DE7">
      <w:pPr>
        <w:numPr>
          <w:ilvl w:val="0"/>
          <w:numId w:val="30"/>
        </w:numPr>
      </w:pPr>
      <w:r w:rsidRPr="003B7B6A">
        <w:t xml:space="preserve">The ability to make </w:t>
      </w:r>
      <w:r>
        <w:t xml:space="preserve">much </w:t>
      </w:r>
      <w:r w:rsidRPr="003B7B6A">
        <w:t>larger contributions.</w:t>
      </w:r>
    </w:p>
    <w:p w14:paraId="5692AC3D" w14:textId="77777777" w:rsidR="00AC40A8" w:rsidRPr="003B7B6A" w:rsidRDefault="00AC40A8" w:rsidP="00822DE7">
      <w:pPr>
        <w:numPr>
          <w:ilvl w:val="0"/>
          <w:numId w:val="30"/>
        </w:numPr>
      </w:pPr>
      <w:r w:rsidRPr="003B7B6A">
        <w:t>The ability for employers to make deductible contributions.</w:t>
      </w:r>
    </w:p>
    <w:p w14:paraId="53E68A68" w14:textId="77777777" w:rsidR="00AC40A8" w:rsidRDefault="00AC40A8" w:rsidP="004344CA">
      <w:r>
        <w:t xml:space="preserve">We begin with a presentation of the SEP IRA. </w:t>
      </w:r>
      <w:r>
        <w:br w:type="page"/>
      </w:r>
      <w:r w:rsidRPr="001F3D42">
        <w:rPr>
          <w:rStyle w:val="Heading2Char"/>
        </w:rPr>
        <w:lastRenderedPageBreak/>
        <w:t>SEP IRA</w:t>
      </w:r>
    </w:p>
    <w:p w14:paraId="6BFFFFFC" w14:textId="1259F442" w:rsidR="00A14C23" w:rsidRDefault="0021260F" w:rsidP="00A14C23">
      <w:r>
        <w:t>Small business owners are attracted to the SEP for its simplicity, low set</w:t>
      </w:r>
      <w:r w:rsidR="00535989">
        <w:t>-</w:t>
      </w:r>
      <w:r>
        <w:t xml:space="preserve">up costs, and inexpensive annual administrative costs. </w:t>
      </w:r>
      <w:r w:rsidR="00AC40A8" w:rsidRPr="003B7B6A">
        <w:t xml:space="preserve">With a SEP, individual IRAs are established for each employee. </w:t>
      </w:r>
      <w:r w:rsidR="00A14C23">
        <w:t>S</w:t>
      </w:r>
      <w:r w:rsidR="00AC40A8" w:rsidRPr="003B7B6A">
        <w:t xml:space="preserve">elf-employed </w:t>
      </w:r>
      <w:r w:rsidR="00A14C23">
        <w:t>individuals may</w:t>
      </w:r>
      <w:r w:rsidR="00AC40A8" w:rsidRPr="003B7B6A">
        <w:t xml:space="preserve"> open a SEP IRA, in which case the individual is both the employee and the employer. Once the employer makes contributions, these SEP IRAs are subject to the same rules regarding transfer, withdrawal and taxation as a Traditional IRA.</w:t>
      </w:r>
      <w:r w:rsidR="00A14C23">
        <w:t xml:space="preserve"> </w:t>
      </w:r>
      <w:r w:rsidR="00C06E0B">
        <w:t>Uniquely, t</w:t>
      </w:r>
      <w:r w:rsidR="00A14C23">
        <w:t xml:space="preserve">he SEP IRA has been called the </w:t>
      </w:r>
      <w:r w:rsidR="00A14C23" w:rsidRPr="008E3F14">
        <w:rPr>
          <w:rStyle w:val="Hyperlink"/>
        </w:rPr>
        <w:t>procrasti</w:t>
      </w:r>
      <w:r w:rsidR="004139FD" w:rsidRPr="008E3F14">
        <w:rPr>
          <w:rStyle w:val="Hyperlink"/>
        </w:rPr>
        <w:t>nator’s retirement plan</w:t>
      </w:r>
      <w:r w:rsidR="004139FD">
        <w:t xml:space="preserve"> because of its liberal set</w:t>
      </w:r>
      <w:r w:rsidR="00535989">
        <w:t>-</w:t>
      </w:r>
      <w:r w:rsidR="004139FD">
        <w:t xml:space="preserve">up deadlines. </w:t>
      </w:r>
      <w:r w:rsidR="00A14C23">
        <w:t xml:space="preserve"> </w:t>
      </w:r>
    </w:p>
    <w:tbl>
      <w:tblPr>
        <w:tblW w:w="8894"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894"/>
      </w:tblGrid>
      <w:tr w:rsidR="00A14C23" w:rsidRPr="0028324A" w14:paraId="5DCE90B6" w14:textId="77777777" w:rsidTr="00A14C23">
        <w:trPr>
          <w:trHeight w:val="1223"/>
        </w:trPr>
        <w:tc>
          <w:tcPr>
            <w:tcW w:w="8894" w:type="dxa"/>
            <w:shd w:val="clear" w:color="auto" w:fill="D9D9D9"/>
          </w:tcPr>
          <w:p w14:paraId="570C4FE5" w14:textId="4EAF8330" w:rsidR="00A14C23" w:rsidRPr="00813D5C" w:rsidRDefault="004139FD" w:rsidP="00A14C23">
            <w:r w:rsidRPr="00813D5C">
              <w:rPr>
                <w:rStyle w:val="Hyperlink"/>
                <w:u w:val="none"/>
              </w:rPr>
              <w:t>Procrastinator’s Retirement Plan</w:t>
            </w:r>
          </w:p>
          <w:p w14:paraId="4E0FC96F" w14:textId="1FFC3862" w:rsidR="004139FD" w:rsidRDefault="004139FD" w:rsidP="00A14C23">
            <w:r>
              <w:t>Most employer</w:t>
            </w:r>
            <w:r w:rsidR="00D056A3">
              <w:t>-</w:t>
            </w:r>
            <w:r>
              <w:t>sponsored retirement plans require set</w:t>
            </w:r>
            <w:r w:rsidR="00535989">
              <w:t>-</w:t>
            </w:r>
            <w:r>
              <w:t xml:space="preserve">up before the end of the tax year in order to make a </w:t>
            </w:r>
            <w:r w:rsidR="00600ABA">
              <w:t>tax-deductible</w:t>
            </w:r>
            <w:r>
              <w:t xml:space="preserve"> contribution for that year. The SEP IRA may be set up as late as the due date of the income tax return, including extensions.</w:t>
            </w:r>
          </w:p>
          <w:tbl>
            <w:tblPr>
              <w:tblStyle w:val="TableGrid"/>
              <w:tblW w:w="0" w:type="auto"/>
              <w:tblBorders>
                <w:insideH w:val="none" w:sz="0" w:space="0" w:color="auto"/>
                <w:insideV w:val="none" w:sz="0" w:space="0" w:color="auto"/>
              </w:tblBorders>
              <w:shd w:val="clear" w:color="auto" w:fill="FFFF99"/>
              <w:tblLook w:val="04A0" w:firstRow="1" w:lastRow="0" w:firstColumn="1" w:lastColumn="0" w:noHBand="0" w:noVBand="1"/>
            </w:tblPr>
            <w:tblGrid>
              <w:gridCol w:w="8663"/>
            </w:tblGrid>
            <w:tr w:rsidR="004139FD" w14:paraId="055D81D1" w14:textId="77777777" w:rsidTr="008E3F14">
              <w:tc>
                <w:tcPr>
                  <w:tcW w:w="8663" w:type="dxa"/>
                  <w:shd w:val="clear" w:color="auto" w:fill="FFFF99"/>
                </w:tcPr>
                <w:p w14:paraId="41490B2D" w14:textId="3D4C93D2" w:rsidR="004139FD" w:rsidRDefault="004139FD">
                  <w:r>
                    <w:t xml:space="preserve">Tom T. Tardy is your client.  He’s panicked because he needs to set up a retirement plan for his business, fund a contribution, and deduct the contribution on his Year 1 income tax return. But Tom has a problem.  Today’s date is now September 30 of </w:t>
                  </w:r>
                  <w:r w:rsidR="00D056A3">
                    <w:t>Y</w:t>
                  </w:r>
                  <w:r>
                    <w:t xml:space="preserve">ear 2! </w:t>
                  </w:r>
                </w:p>
                <w:p w14:paraId="3006865E" w14:textId="32ED24F0" w:rsidR="004139FD" w:rsidRDefault="004139FD">
                  <w:r>
                    <w:t xml:space="preserve">You have a solution. Tom may set up and fund a SEP IRA by October 15, Year 2 and take the income tax deduction on his Year 1 income tax return. </w:t>
                  </w:r>
                </w:p>
              </w:tc>
            </w:tr>
          </w:tbl>
          <w:p w14:paraId="0E61ED05" w14:textId="2786845A" w:rsidR="00A14C23" w:rsidRPr="00502110" w:rsidRDefault="00A14C23" w:rsidP="00A14C23">
            <w:pPr>
              <w:rPr>
                <w:b/>
                <w:color w:val="4F81BD"/>
                <w:u w:val="single"/>
              </w:rPr>
            </w:pPr>
            <w:r>
              <w:t xml:space="preserve"> </w:t>
            </w:r>
          </w:p>
        </w:tc>
      </w:tr>
    </w:tbl>
    <w:p w14:paraId="4E58A759" w14:textId="6CEE249C" w:rsidR="00AC40A8" w:rsidRDefault="00AC40A8" w:rsidP="00916801"/>
    <w:p w14:paraId="3A18ECEE" w14:textId="77777777" w:rsidR="00405FD7" w:rsidRPr="001F3D42" w:rsidRDefault="00405FD7" w:rsidP="001F3D42">
      <w:pPr>
        <w:pStyle w:val="NormalWeb"/>
        <w:spacing w:before="0" w:beforeAutospacing="0" w:after="0" w:afterAutospacing="0"/>
        <w:rPr>
          <w:rFonts w:cs="Arial"/>
          <w:b/>
          <w:color w:val="FF0000"/>
          <w:sz w:val="20"/>
          <w:szCs w:val="20"/>
        </w:rPr>
      </w:pPr>
      <w:r w:rsidRPr="008C6375">
        <w:rPr>
          <w:rFonts w:cs="Arial"/>
          <w:b/>
          <w:color w:val="FF0000"/>
          <w:sz w:val="20"/>
          <w:szCs w:val="20"/>
        </w:rPr>
        <w:t>Click each benefit</w:t>
      </w:r>
      <w:r>
        <w:rPr>
          <w:rFonts w:cs="Arial"/>
          <w:b/>
          <w:color w:val="FF0000"/>
          <w:sz w:val="20"/>
          <w:szCs w:val="20"/>
        </w:rPr>
        <w:t xml:space="preserve"> and restriction to learn more.</w:t>
      </w:r>
    </w:p>
    <w:p w14:paraId="69463A01" w14:textId="77777777" w:rsidR="00AC40A8" w:rsidRPr="003B7B6A" w:rsidRDefault="00AC40A8" w:rsidP="00916801">
      <w:pPr>
        <w:spacing w:before="0" w:after="0"/>
      </w:pPr>
    </w:p>
    <w:p w14:paraId="462C2682" w14:textId="77777777" w:rsidR="00AC40A8" w:rsidRDefault="00AC40A8" w:rsidP="00916801">
      <w:pPr>
        <w:pStyle w:val="Sub-Headings"/>
      </w:pPr>
      <w:r>
        <w:t>SEP Benefits</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AC40A8" w:rsidRPr="005A7851" w14:paraId="4D355412" w14:textId="77777777" w:rsidTr="0019169F">
        <w:tc>
          <w:tcPr>
            <w:tcW w:w="8748" w:type="dxa"/>
            <w:tcBorders>
              <w:bottom w:val="single" w:sz="4" w:space="0" w:color="6CA8CD"/>
            </w:tcBorders>
            <w:shd w:val="clear" w:color="auto" w:fill="6CA8CD"/>
            <w:tcMar>
              <w:top w:w="72" w:type="dxa"/>
              <w:left w:w="115" w:type="dxa"/>
              <w:bottom w:w="72" w:type="dxa"/>
              <w:right w:w="115" w:type="dxa"/>
            </w:tcMar>
          </w:tcPr>
          <w:p w14:paraId="26CE2384" w14:textId="2A0BC81E" w:rsidR="00AC40A8" w:rsidRPr="00E97569" w:rsidRDefault="00AC40A8" w:rsidP="0019169F">
            <w:pPr>
              <w:rPr>
                <w:b/>
                <w:color w:val="FFFFFF"/>
              </w:rPr>
            </w:pPr>
            <w:r w:rsidRPr="00E97569">
              <w:rPr>
                <w:b/>
                <w:color w:val="FFFFFF"/>
              </w:rPr>
              <w:t>Ease of set</w:t>
            </w:r>
            <w:r w:rsidR="00535989">
              <w:rPr>
                <w:b/>
                <w:color w:val="FFFFFF"/>
              </w:rPr>
              <w:t>-</w:t>
            </w:r>
            <w:r w:rsidRPr="00E97569">
              <w:rPr>
                <w:b/>
                <w:color w:val="FFFFFF"/>
              </w:rPr>
              <w:t>up and administration</w:t>
            </w:r>
          </w:p>
        </w:tc>
      </w:tr>
      <w:tr w:rsidR="00AC40A8" w:rsidRPr="005A7851" w14:paraId="6A661426" w14:textId="77777777" w:rsidTr="0019169F">
        <w:tc>
          <w:tcPr>
            <w:tcW w:w="8748" w:type="dxa"/>
            <w:shd w:val="clear" w:color="auto" w:fill="FFFFFF"/>
            <w:tcMar>
              <w:top w:w="72" w:type="dxa"/>
              <w:left w:w="115" w:type="dxa"/>
              <w:bottom w:w="72" w:type="dxa"/>
              <w:right w:w="115" w:type="dxa"/>
            </w:tcMar>
          </w:tcPr>
          <w:p w14:paraId="11E71D92" w14:textId="77777777" w:rsidR="00AC40A8" w:rsidRPr="00E97569" w:rsidRDefault="00AC40A8" w:rsidP="0019169F">
            <w:r w:rsidRPr="00E97569">
              <w:t>Establishing and administering the plan is a fairly simple process.  Because the contributed funds are owned and managed by the employees, the employer has no ongoing administrative and fiduciary responsibilities regarding contributed funds.</w:t>
            </w:r>
          </w:p>
        </w:tc>
      </w:tr>
      <w:tr w:rsidR="00AC40A8" w:rsidRPr="005A7851" w14:paraId="04E6792F" w14:textId="77777777" w:rsidTr="0019169F">
        <w:tc>
          <w:tcPr>
            <w:tcW w:w="8748" w:type="dxa"/>
            <w:tcBorders>
              <w:bottom w:val="single" w:sz="4" w:space="0" w:color="6CA8CD"/>
            </w:tcBorders>
            <w:shd w:val="clear" w:color="auto" w:fill="6CA8CD"/>
            <w:tcMar>
              <w:top w:w="72" w:type="dxa"/>
              <w:left w:w="115" w:type="dxa"/>
              <w:bottom w:w="72" w:type="dxa"/>
              <w:right w:w="115" w:type="dxa"/>
            </w:tcMar>
          </w:tcPr>
          <w:p w14:paraId="691FD2CA" w14:textId="4E297AB4" w:rsidR="00AC40A8" w:rsidRPr="00E97569" w:rsidRDefault="00D056A3" w:rsidP="00D056A3">
            <w:pPr>
              <w:rPr>
                <w:b/>
                <w:color w:val="FFFFFF"/>
              </w:rPr>
            </w:pPr>
            <w:r>
              <w:rPr>
                <w:b/>
                <w:color w:val="FFFFFF"/>
              </w:rPr>
              <w:t>Positive income tax i</w:t>
            </w:r>
            <w:r w:rsidR="00AC40A8" w:rsidRPr="00E97569">
              <w:rPr>
                <w:b/>
                <w:color w:val="FFFFFF"/>
              </w:rPr>
              <w:t>mplications</w:t>
            </w:r>
          </w:p>
        </w:tc>
      </w:tr>
      <w:tr w:rsidR="00AC40A8" w:rsidRPr="005A7851" w14:paraId="29895A57" w14:textId="77777777" w:rsidTr="0019169F">
        <w:tc>
          <w:tcPr>
            <w:tcW w:w="8748" w:type="dxa"/>
            <w:shd w:val="clear" w:color="auto" w:fill="FFFFFF"/>
            <w:tcMar>
              <w:top w:w="72" w:type="dxa"/>
              <w:left w:w="115" w:type="dxa"/>
              <w:bottom w:w="72" w:type="dxa"/>
              <w:right w:w="115" w:type="dxa"/>
            </w:tcMar>
          </w:tcPr>
          <w:p w14:paraId="18C3C5D6" w14:textId="77777777" w:rsidR="00AC40A8" w:rsidRPr="00E97569" w:rsidRDefault="00AC40A8" w:rsidP="008C4172">
            <w:r w:rsidRPr="00E97569">
              <w:t>The employer can deduct the employer contribution as a business expense. The employee receives the employer contribution on a pre-tax basis, with no deduction to claim on his or her tax return for the employer’s contribution.</w:t>
            </w:r>
            <w:r>
              <w:t xml:space="preserve"> </w:t>
            </w:r>
            <w:r w:rsidRPr="008C6375">
              <w:t xml:space="preserve">The employer contribution is </w:t>
            </w:r>
            <w:r>
              <w:t>not subject</w:t>
            </w:r>
            <w:r w:rsidRPr="008C6375">
              <w:t xml:space="preserve"> to </w:t>
            </w:r>
            <w:r>
              <w:t xml:space="preserve">Social Security, Medicare, or unemployment </w:t>
            </w:r>
            <w:r w:rsidRPr="008C6375">
              <w:t>tax</w:t>
            </w:r>
            <w:r>
              <w:t>es</w:t>
            </w:r>
            <w:r w:rsidRPr="008C6375">
              <w:t>.</w:t>
            </w:r>
          </w:p>
        </w:tc>
      </w:tr>
      <w:tr w:rsidR="00AC40A8" w:rsidRPr="005A7851" w14:paraId="743956D4" w14:textId="77777777" w:rsidTr="0019169F">
        <w:tc>
          <w:tcPr>
            <w:tcW w:w="8748" w:type="dxa"/>
            <w:tcBorders>
              <w:bottom w:val="single" w:sz="4" w:space="0" w:color="6CA8CD"/>
            </w:tcBorders>
            <w:shd w:val="clear" w:color="auto" w:fill="6CA8CD"/>
            <w:tcMar>
              <w:top w:w="72" w:type="dxa"/>
              <w:left w:w="115" w:type="dxa"/>
              <w:bottom w:w="72" w:type="dxa"/>
              <w:right w:w="115" w:type="dxa"/>
            </w:tcMar>
          </w:tcPr>
          <w:p w14:paraId="155B8CE8" w14:textId="77777777" w:rsidR="00AC40A8" w:rsidRPr="00E97569" w:rsidRDefault="00AC40A8" w:rsidP="0019169F">
            <w:pPr>
              <w:rPr>
                <w:b/>
                <w:color w:val="FFFFFF"/>
              </w:rPr>
            </w:pPr>
            <w:r w:rsidRPr="00E97569">
              <w:rPr>
                <w:b/>
                <w:color w:val="FFFFFF"/>
              </w:rPr>
              <w:t>Flexibility regarding contributions</w:t>
            </w:r>
          </w:p>
        </w:tc>
      </w:tr>
      <w:tr w:rsidR="00AC40A8" w:rsidRPr="005A7851" w14:paraId="5AB27FC9" w14:textId="77777777" w:rsidTr="0019169F">
        <w:tc>
          <w:tcPr>
            <w:tcW w:w="8748" w:type="dxa"/>
            <w:tcBorders>
              <w:bottom w:val="single" w:sz="4" w:space="0" w:color="6CA8CD"/>
            </w:tcBorders>
            <w:shd w:val="clear" w:color="auto" w:fill="FFFFFF"/>
            <w:tcMar>
              <w:top w:w="72" w:type="dxa"/>
              <w:left w:w="115" w:type="dxa"/>
              <w:bottom w:w="72" w:type="dxa"/>
              <w:right w:w="115" w:type="dxa"/>
            </w:tcMar>
          </w:tcPr>
          <w:p w14:paraId="56C4E5D8" w14:textId="11019192" w:rsidR="00AC40A8" w:rsidRPr="00E97569" w:rsidRDefault="00AC40A8" w:rsidP="0021260F">
            <w:r w:rsidRPr="00E97569">
              <w:t>There is no requirement to make employer contributions on an annual basis. But when they are made, there can be no discriminat</w:t>
            </w:r>
            <w:r w:rsidR="00D056A3">
              <w:t xml:space="preserve">ion in favor of the more </w:t>
            </w:r>
            <w:r w:rsidR="00095E0E">
              <w:t>highly compensated</w:t>
            </w:r>
            <w:r w:rsidRPr="00E97569">
              <w:t xml:space="preserve"> employees in terms of the rate of contribution. The same rate must be used for all </w:t>
            </w:r>
            <w:r w:rsidRPr="00E97569">
              <w:lastRenderedPageBreak/>
              <w:t>participating employees.</w:t>
            </w:r>
          </w:p>
        </w:tc>
      </w:tr>
      <w:tr w:rsidR="00AC40A8" w:rsidRPr="005A7851" w14:paraId="1B1DA61A" w14:textId="77777777" w:rsidTr="0019169F">
        <w:tc>
          <w:tcPr>
            <w:tcW w:w="8748" w:type="dxa"/>
            <w:shd w:val="clear" w:color="auto" w:fill="6CA8CD"/>
            <w:tcMar>
              <w:top w:w="72" w:type="dxa"/>
              <w:left w:w="115" w:type="dxa"/>
              <w:bottom w:w="72" w:type="dxa"/>
              <w:right w:w="115" w:type="dxa"/>
            </w:tcMar>
          </w:tcPr>
          <w:p w14:paraId="0CDD2694" w14:textId="77777777" w:rsidR="00AC40A8" w:rsidRPr="00E97569" w:rsidRDefault="00AC40A8" w:rsidP="0019169F">
            <w:pPr>
              <w:rPr>
                <w:b/>
                <w:color w:val="FFFFFF"/>
              </w:rPr>
            </w:pPr>
            <w:r w:rsidRPr="00E97569">
              <w:rPr>
                <w:b/>
                <w:color w:val="FFFFFF"/>
              </w:rPr>
              <w:lastRenderedPageBreak/>
              <w:t>High contribution limits relative to a Traditional IRA</w:t>
            </w:r>
          </w:p>
        </w:tc>
      </w:tr>
      <w:tr w:rsidR="00AC40A8" w:rsidRPr="005A7851" w14:paraId="723773E4" w14:textId="77777777" w:rsidTr="0019169F">
        <w:tc>
          <w:tcPr>
            <w:tcW w:w="8748" w:type="dxa"/>
            <w:tcBorders>
              <w:bottom w:val="single" w:sz="4" w:space="0" w:color="6CA8CD"/>
            </w:tcBorders>
            <w:shd w:val="clear" w:color="auto" w:fill="FFFFFF"/>
            <w:tcMar>
              <w:top w:w="72" w:type="dxa"/>
              <w:left w:w="115" w:type="dxa"/>
              <w:bottom w:w="72" w:type="dxa"/>
              <w:right w:w="115" w:type="dxa"/>
            </w:tcMar>
          </w:tcPr>
          <w:p w14:paraId="5B79FEF9" w14:textId="48D14AF1" w:rsidR="00AC40A8" w:rsidRPr="00E97569" w:rsidRDefault="00AC40A8" w:rsidP="00602663">
            <w:r w:rsidRPr="00E97569">
              <w:t>The employer may contribute up to 25% of the first $2</w:t>
            </w:r>
            <w:r>
              <w:t>6</w:t>
            </w:r>
            <w:r w:rsidR="00CD7E2C">
              <w:t>5</w:t>
            </w:r>
            <w:r w:rsidRPr="00E97569">
              <w:t>,000 of an employee’s compensation or $</w:t>
            </w:r>
            <w:r>
              <w:t>5</w:t>
            </w:r>
            <w:r w:rsidR="00CD7E2C">
              <w:t>3</w:t>
            </w:r>
            <w:r>
              <w:t>,</w:t>
            </w:r>
            <w:r w:rsidRPr="00E97569">
              <w:t>000 for</w:t>
            </w:r>
            <w:r>
              <w:t xml:space="preserve"> </w:t>
            </w:r>
            <w:r w:rsidR="002D2503">
              <w:t>2016</w:t>
            </w:r>
            <w:r>
              <w:t xml:space="preserve"> </w:t>
            </w:r>
            <w:r w:rsidRPr="00E97569">
              <w:t>(adjusted</w:t>
            </w:r>
            <w:r>
              <w:t xml:space="preserve"> annually</w:t>
            </w:r>
            <w:r w:rsidR="00D056A3">
              <w:t xml:space="preserve"> for inflation),</w:t>
            </w:r>
            <w:r w:rsidRPr="00E97569">
              <w:t xml:space="preserve"> </w:t>
            </w:r>
            <w:r w:rsidRPr="001003F6">
              <w:t>whichever is less</w:t>
            </w:r>
            <w:r w:rsidRPr="00E97569">
              <w:t>, without generating current federal income tax to the employee. For self-employed participants, business income is used in place of compensation. The $2</w:t>
            </w:r>
            <w:r>
              <w:t>6</w:t>
            </w:r>
            <w:r w:rsidR="00CD7E2C">
              <w:t>5</w:t>
            </w:r>
            <w:r w:rsidRPr="00E97569">
              <w:t>,000 compensation limit will be adjusted in future years for inflation in $5,000 increments. The $</w:t>
            </w:r>
            <w:r w:rsidR="00975A2D">
              <w:t>53,000</w:t>
            </w:r>
            <w:r w:rsidRPr="00E97569">
              <w:t xml:space="preserve"> limit will be indexed for inflation in $1,000 increments.</w:t>
            </w:r>
          </w:p>
        </w:tc>
      </w:tr>
    </w:tbl>
    <w:p w14:paraId="5465DF13" w14:textId="77777777" w:rsidR="00AC40A8" w:rsidRDefault="00AC40A8" w:rsidP="00916801">
      <w:pPr>
        <w:spacing w:before="0" w:after="0"/>
      </w:pPr>
    </w:p>
    <w:p w14:paraId="632BAF72" w14:textId="77777777" w:rsidR="00AC40A8" w:rsidRPr="00E3113C" w:rsidRDefault="00AC40A8" w:rsidP="00916801">
      <w:pPr>
        <w:pStyle w:val="Sub-Headings"/>
      </w:pPr>
      <w:r>
        <w:t>SEP Restrictions</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AC40A8" w:rsidRPr="008C6375" w14:paraId="17FAC63E" w14:textId="77777777" w:rsidTr="0019169F">
        <w:tc>
          <w:tcPr>
            <w:tcW w:w="8748" w:type="dxa"/>
            <w:tcBorders>
              <w:bottom w:val="single" w:sz="4" w:space="0" w:color="6CA8CD"/>
            </w:tcBorders>
            <w:shd w:val="clear" w:color="auto" w:fill="6CA8CD"/>
            <w:tcMar>
              <w:top w:w="72" w:type="dxa"/>
              <w:left w:w="115" w:type="dxa"/>
              <w:bottom w:w="72" w:type="dxa"/>
              <w:right w:w="115" w:type="dxa"/>
            </w:tcMar>
          </w:tcPr>
          <w:p w14:paraId="1DF69690" w14:textId="77777777" w:rsidR="00AC40A8" w:rsidRPr="008C6375" w:rsidRDefault="00AC40A8" w:rsidP="0019169F">
            <w:pPr>
              <w:rPr>
                <w:b/>
                <w:color w:val="FFFFFF"/>
              </w:rPr>
            </w:pPr>
            <w:r w:rsidRPr="008C6375">
              <w:rPr>
                <w:b/>
                <w:color w:val="FFFFFF"/>
              </w:rPr>
              <w:t>Employees are not allowed to make salary reduction contributions</w:t>
            </w:r>
          </w:p>
        </w:tc>
      </w:tr>
      <w:tr w:rsidR="00AC40A8" w:rsidRPr="008C6375" w14:paraId="671C75D1" w14:textId="77777777" w:rsidTr="0019169F">
        <w:tc>
          <w:tcPr>
            <w:tcW w:w="8748" w:type="dxa"/>
            <w:shd w:val="clear" w:color="auto" w:fill="FFFFFF"/>
            <w:tcMar>
              <w:top w:w="72" w:type="dxa"/>
              <w:left w:w="115" w:type="dxa"/>
              <w:bottom w:w="72" w:type="dxa"/>
              <w:right w:w="115" w:type="dxa"/>
            </w:tcMar>
          </w:tcPr>
          <w:p w14:paraId="0A93E748" w14:textId="510B2C57" w:rsidR="00AC40A8" w:rsidRPr="008C6375" w:rsidRDefault="00AC40A8" w:rsidP="00646578">
            <w:r>
              <w:t>In a SEP IRA, only employ</w:t>
            </w:r>
            <w:r w:rsidR="00D056A3">
              <w:t xml:space="preserve">er contributions are permitted - </w:t>
            </w:r>
            <w:r>
              <w:t xml:space="preserve">employee salary reduction deferrals are not allowed. However, prior to January 1, 1997, a SEP </w:t>
            </w:r>
            <w:r w:rsidRPr="008C6375">
              <w:t xml:space="preserve">IRA could have included a salary reduction arrangement (known as a SARSEP) whereby employees could elect to defer compensation and have the funds placed in an IRA.  While a SARSEP created prior to that date may continue to function, new </w:t>
            </w:r>
            <w:r>
              <w:t xml:space="preserve">SARSEP </w:t>
            </w:r>
            <w:r w:rsidRPr="008C6375">
              <w:t xml:space="preserve">plans cannot be created. They have been replaced with SIMPLE Plans.  </w:t>
            </w:r>
          </w:p>
        </w:tc>
      </w:tr>
      <w:tr w:rsidR="00AC40A8" w:rsidRPr="008C6375" w14:paraId="4FA91AD3" w14:textId="77777777" w:rsidTr="0019169F">
        <w:tc>
          <w:tcPr>
            <w:tcW w:w="8748" w:type="dxa"/>
            <w:tcBorders>
              <w:bottom w:val="single" w:sz="4" w:space="0" w:color="6CA8CD"/>
            </w:tcBorders>
            <w:shd w:val="clear" w:color="auto" w:fill="6CA8CD"/>
            <w:tcMar>
              <w:top w:w="72" w:type="dxa"/>
              <w:left w:w="115" w:type="dxa"/>
              <w:bottom w:w="72" w:type="dxa"/>
              <w:right w:w="115" w:type="dxa"/>
            </w:tcMar>
          </w:tcPr>
          <w:p w14:paraId="49E0C9C3" w14:textId="77777777" w:rsidR="00AC40A8" w:rsidRPr="008C6375" w:rsidRDefault="00AC40A8" w:rsidP="0019169F">
            <w:pPr>
              <w:rPr>
                <w:b/>
                <w:color w:val="FFFFFF"/>
              </w:rPr>
            </w:pPr>
            <w:r w:rsidRPr="008C6375">
              <w:rPr>
                <w:b/>
                <w:color w:val="FFFFFF"/>
              </w:rPr>
              <w:t>All eligible employees must be covered</w:t>
            </w:r>
          </w:p>
        </w:tc>
      </w:tr>
      <w:tr w:rsidR="00AC40A8" w:rsidRPr="008C6375" w14:paraId="7155A329" w14:textId="77777777" w:rsidTr="0019169F">
        <w:tc>
          <w:tcPr>
            <w:tcW w:w="8748" w:type="dxa"/>
            <w:shd w:val="clear" w:color="auto" w:fill="FFFFFF"/>
            <w:tcMar>
              <w:top w:w="72" w:type="dxa"/>
              <w:left w:w="115" w:type="dxa"/>
              <w:bottom w:w="72" w:type="dxa"/>
              <w:right w:w="115" w:type="dxa"/>
            </w:tcMar>
          </w:tcPr>
          <w:p w14:paraId="2576FA74" w14:textId="77777777" w:rsidR="00AC40A8" w:rsidRPr="008C6375" w:rsidRDefault="00AC40A8" w:rsidP="0019169F">
            <w:r w:rsidRPr="008C6375">
              <w:t xml:space="preserve">The employer cannot exclude employees who: </w:t>
            </w:r>
          </w:p>
          <w:p w14:paraId="6072F9E6" w14:textId="7F22D979" w:rsidR="00AC40A8" w:rsidRPr="008C6375" w:rsidRDefault="00D056A3" w:rsidP="00822DE7">
            <w:pPr>
              <w:numPr>
                <w:ilvl w:val="0"/>
                <w:numId w:val="29"/>
              </w:numPr>
            </w:pPr>
            <w:r>
              <w:t>Are 21 years of age or older</w:t>
            </w:r>
          </w:p>
          <w:p w14:paraId="35E9CA84" w14:textId="06AF60DA" w:rsidR="00AC40A8" w:rsidRPr="008C6375" w:rsidRDefault="00AC40A8" w:rsidP="00822DE7">
            <w:pPr>
              <w:numPr>
                <w:ilvl w:val="0"/>
                <w:numId w:val="29"/>
              </w:numPr>
            </w:pPr>
            <w:r w:rsidRPr="008C6375">
              <w:t>Are employed for at least 3 of th</w:t>
            </w:r>
            <w:r w:rsidR="00D056A3">
              <w:t>e immediately preceding 5 years</w:t>
            </w:r>
          </w:p>
          <w:p w14:paraId="650AFB40" w14:textId="2034E515" w:rsidR="00AC40A8" w:rsidRPr="008C6375" w:rsidRDefault="00AC40A8" w:rsidP="00474146">
            <w:pPr>
              <w:numPr>
                <w:ilvl w:val="0"/>
                <w:numId w:val="29"/>
              </w:numPr>
            </w:pPr>
            <w:r w:rsidRPr="008C6375">
              <w:t>Earn at least $</w:t>
            </w:r>
            <w:r w:rsidR="00474146">
              <w:t>600</w:t>
            </w:r>
            <w:r w:rsidR="00474146" w:rsidRPr="008C6375">
              <w:t xml:space="preserve"> </w:t>
            </w:r>
            <w:r>
              <w:t xml:space="preserve">(in </w:t>
            </w:r>
            <w:r w:rsidR="002D2503">
              <w:t>2016</w:t>
            </w:r>
            <w:r>
              <w:t xml:space="preserve">, as indexed) </w:t>
            </w:r>
            <w:r w:rsidRPr="008C6375">
              <w:t>in the current year</w:t>
            </w:r>
          </w:p>
        </w:tc>
      </w:tr>
    </w:tbl>
    <w:p w14:paraId="7D613EB9" w14:textId="77777777" w:rsidR="00AC40A8" w:rsidRDefault="00AC40A8" w:rsidP="00916801">
      <w:pPr>
        <w:spacing w:before="0" w:after="0"/>
      </w:pPr>
    </w:p>
    <w:p w14:paraId="16B02F87" w14:textId="3319324C" w:rsidR="00AC40A8" w:rsidRDefault="00114D13" w:rsidP="00A94572">
      <w:pPr>
        <w:spacing w:before="0" w:after="0"/>
      </w:pPr>
      <w:r>
        <w:t xml:space="preserve">Employee deferrals are not permitted in a SEP. However, employee deferrals were permitted in </w:t>
      </w:r>
      <w:r w:rsidR="00846284">
        <w:t>a previous version of</w:t>
      </w:r>
      <w:r>
        <w:t xml:space="preserve"> the SEP, the S</w:t>
      </w:r>
      <w:r w:rsidR="00846284">
        <w:t>alary Reduction SEP (SARSEP).</w:t>
      </w:r>
      <w:r>
        <w:t xml:space="preserve"> New SARSEPs </w:t>
      </w:r>
      <w:r w:rsidR="00846284">
        <w:t>were not allowed after 1996</w:t>
      </w:r>
      <w:r w:rsidR="00D056A3">
        <w:t>,</w:t>
      </w:r>
      <w:r w:rsidR="00846284">
        <w:t xml:space="preserve"> but SARSEPs existing</w:t>
      </w:r>
      <w:r w:rsidR="00D014B7">
        <w:t xml:space="preserve"> as of that date may continue to operate</w:t>
      </w:r>
      <w:r w:rsidR="00846284">
        <w:t xml:space="preserve">.  </w:t>
      </w:r>
    </w:p>
    <w:p w14:paraId="001C0C50" w14:textId="77777777" w:rsidR="00AC40A8" w:rsidRDefault="00AC40A8" w:rsidP="00A94572">
      <w:pPr>
        <w:spacing w:before="0" w:after="0"/>
      </w:pPr>
    </w:p>
    <w:p w14:paraId="33CB2660" w14:textId="77777777" w:rsidR="00AC40A8" w:rsidRDefault="00AC40A8" w:rsidP="00A94572">
      <w:pPr>
        <w:spacing w:before="0" w:after="0"/>
      </w:pPr>
    </w:p>
    <w:p w14:paraId="42E5B1A0" w14:textId="77777777" w:rsidR="00AC40A8" w:rsidRDefault="00AC40A8" w:rsidP="004344CA">
      <w:pPr>
        <w:pStyle w:val="Heading2"/>
        <w:rPr>
          <w:sz w:val="20"/>
        </w:rPr>
      </w:pPr>
      <w:r>
        <w:br w:type="page"/>
      </w:r>
      <w:r>
        <w:lastRenderedPageBreak/>
        <w:t>SIMPLE IRA</w:t>
      </w:r>
    </w:p>
    <w:p w14:paraId="7EDC07AD" w14:textId="0E12C98E" w:rsidR="00917FA1" w:rsidRDefault="00917FA1" w:rsidP="00927494">
      <w:r>
        <w:t xml:space="preserve">A small business owner may consider the SIMPLE IRA for its deferral opportunities (not available in the SEP) and relatively administrative costs when compared to qualified plans. </w:t>
      </w:r>
    </w:p>
    <w:p w14:paraId="00DC2F94" w14:textId="47CAE78C" w:rsidR="00AC40A8" w:rsidRDefault="00AC40A8" w:rsidP="00927494">
      <w:r>
        <w:t xml:space="preserve">A SIMPLE IRA </w:t>
      </w:r>
      <w:r w:rsidRPr="008C6375">
        <w:t>is a</w:t>
      </w:r>
      <w:r w:rsidR="00D056A3">
        <w:t>n employer-</w:t>
      </w:r>
      <w:r>
        <w:t>sponsored</w:t>
      </w:r>
      <w:r w:rsidR="00D056A3">
        <w:t xml:space="preserve"> </w:t>
      </w:r>
      <w:r w:rsidRPr="008C6375">
        <w:t>retirement plan that allows the employee (including self-employed individuals) to</w:t>
      </w:r>
      <w:r>
        <w:t xml:space="preserve"> make pre-tax compensation deferrals. </w:t>
      </w:r>
      <w:r w:rsidRPr="008C6375">
        <w:t>The employer is also required to make contributions. Once established, the SIMPLE IRA offers very appealing benefits</w:t>
      </w:r>
      <w:r>
        <w:t>,</w:t>
      </w:r>
      <w:r w:rsidRPr="008C6375">
        <w:t xml:space="preserve"> although it also has noteworthy restrictions.  </w:t>
      </w:r>
    </w:p>
    <w:p w14:paraId="1A19FC30" w14:textId="77777777" w:rsidR="00405FD7" w:rsidRDefault="00405FD7" w:rsidP="001F3D42">
      <w:pPr>
        <w:pStyle w:val="NormalWeb"/>
        <w:spacing w:before="0" w:beforeAutospacing="0" w:after="0" w:afterAutospacing="0"/>
        <w:rPr>
          <w:rFonts w:cs="Arial"/>
          <w:b/>
          <w:color w:val="FF0000"/>
          <w:sz w:val="20"/>
          <w:szCs w:val="20"/>
        </w:rPr>
      </w:pPr>
      <w:r w:rsidRPr="008C6375">
        <w:rPr>
          <w:rFonts w:cs="Arial"/>
          <w:b/>
          <w:color w:val="FF0000"/>
          <w:sz w:val="20"/>
          <w:szCs w:val="20"/>
        </w:rPr>
        <w:t>Click each benefit</w:t>
      </w:r>
      <w:r>
        <w:rPr>
          <w:rFonts w:cs="Arial"/>
          <w:b/>
          <w:color w:val="FF0000"/>
          <w:sz w:val="20"/>
          <w:szCs w:val="20"/>
        </w:rPr>
        <w:t xml:space="preserve"> and restriction to learn more.</w:t>
      </w:r>
    </w:p>
    <w:p w14:paraId="71EC727C" w14:textId="77777777" w:rsidR="00405FD7" w:rsidRPr="001F3D42" w:rsidRDefault="00405FD7" w:rsidP="001F3D42">
      <w:pPr>
        <w:pStyle w:val="NormalWeb"/>
        <w:spacing w:before="0" w:beforeAutospacing="0" w:after="0" w:afterAutospacing="0"/>
        <w:rPr>
          <w:rFonts w:cs="Arial"/>
          <w:b/>
          <w:color w:val="FF0000"/>
          <w:sz w:val="20"/>
          <w:szCs w:val="20"/>
        </w:rPr>
      </w:pPr>
    </w:p>
    <w:p w14:paraId="16F0FB78" w14:textId="77777777" w:rsidR="00AC40A8" w:rsidRDefault="00AC40A8" w:rsidP="00927494">
      <w:pPr>
        <w:pStyle w:val="Sub-Headings"/>
      </w:pPr>
      <w:r>
        <w:t>SIMPLE Benefits</w:t>
      </w:r>
    </w:p>
    <w:tbl>
      <w:tblPr>
        <w:tblW w:w="9637" w:type="dxa"/>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637"/>
      </w:tblGrid>
      <w:tr w:rsidR="00AC40A8" w:rsidRPr="008C6375" w14:paraId="355FA274" w14:textId="77777777" w:rsidTr="009F47D1">
        <w:tc>
          <w:tcPr>
            <w:tcW w:w="9637" w:type="dxa"/>
            <w:tcBorders>
              <w:bottom w:val="single" w:sz="4" w:space="0" w:color="6CA8CD"/>
            </w:tcBorders>
            <w:shd w:val="clear" w:color="auto" w:fill="6CA8CD"/>
            <w:tcMar>
              <w:top w:w="72" w:type="dxa"/>
              <w:left w:w="115" w:type="dxa"/>
              <w:bottom w:w="72" w:type="dxa"/>
              <w:right w:w="115" w:type="dxa"/>
            </w:tcMar>
          </w:tcPr>
          <w:p w14:paraId="35EBE291" w14:textId="2108E970" w:rsidR="00AC40A8" w:rsidRPr="008C6375" w:rsidRDefault="00AC40A8" w:rsidP="00DE669E">
            <w:pPr>
              <w:rPr>
                <w:b/>
                <w:color w:val="FFFFFF"/>
              </w:rPr>
            </w:pPr>
            <w:r w:rsidRPr="008C6375">
              <w:rPr>
                <w:b/>
                <w:color w:val="FFFFFF"/>
              </w:rPr>
              <w:t>Ease of set</w:t>
            </w:r>
            <w:r w:rsidR="00535989">
              <w:rPr>
                <w:b/>
                <w:color w:val="FFFFFF"/>
              </w:rPr>
              <w:t>-</w:t>
            </w:r>
            <w:r w:rsidRPr="008C6375">
              <w:rPr>
                <w:b/>
                <w:color w:val="FFFFFF"/>
              </w:rPr>
              <w:t>up and administration</w:t>
            </w:r>
          </w:p>
        </w:tc>
      </w:tr>
      <w:tr w:rsidR="00AC40A8" w:rsidRPr="008C6375" w14:paraId="4FFF6E1E" w14:textId="77777777" w:rsidTr="009F47D1">
        <w:tc>
          <w:tcPr>
            <w:tcW w:w="9637" w:type="dxa"/>
            <w:shd w:val="clear" w:color="auto" w:fill="FFFFFF"/>
            <w:tcMar>
              <w:top w:w="72" w:type="dxa"/>
              <w:left w:w="115" w:type="dxa"/>
              <w:bottom w:w="72" w:type="dxa"/>
              <w:right w:w="115" w:type="dxa"/>
            </w:tcMar>
          </w:tcPr>
          <w:p w14:paraId="30E80473" w14:textId="15633B46" w:rsidR="00AC40A8" w:rsidRPr="008C6375" w:rsidRDefault="00AC40A8" w:rsidP="00911F10">
            <w:r w:rsidRPr="008C6375">
              <w:t xml:space="preserve">Compared to Qualified Plans (e.g., 401(k) or </w:t>
            </w:r>
            <w:r w:rsidR="001554EF" w:rsidRPr="008C6375">
              <w:t>Profit Sharing</w:t>
            </w:r>
            <w:r w:rsidRPr="008C6375">
              <w:t>), this is a much simpler</w:t>
            </w:r>
            <w:r w:rsidR="00D056A3">
              <w:t xml:space="preserve"> and less costly p</w:t>
            </w:r>
            <w:r w:rsidRPr="008C6375">
              <w:t>lan to establish and administer.</w:t>
            </w:r>
          </w:p>
        </w:tc>
      </w:tr>
      <w:tr w:rsidR="00AC40A8" w:rsidRPr="008C6375" w14:paraId="7A01720D" w14:textId="77777777" w:rsidTr="009F47D1">
        <w:tc>
          <w:tcPr>
            <w:tcW w:w="9637" w:type="dxa"/>
            <w:tcBorders>
              <w:bottom w:val="single" w:sz="4" w:space="0" w:color="6CA8CD"/>
            </w:tcBorders>
            <w:shd w:val="clear" w:color="auto" w:fill="6CA8CD"/>
            <w:tcMar>
              <w:top w:w="72" w:type="dxa"/>
              <w:left w:w="115" w:type="dxa"/>
              <w:bottom w:w="72" w:type="dxa"/>
              <w:right w:w="115" w:type="dxa"/>
            </w:tcMar>
          </w:tcPr>
          <w:p w14:paraId="15305389" w14:textId="77777777" w:rsidR="00AC40A8" w:rsidRPr="008C6375" w:rsidRDefault="00AC40A8" w:rsidP="00DE669E">
            <w:pPr>
              <w:rPr>
                <w:b/>
                <w:color w:val="FFFFFF"/>
              </w:rPr>
            </w:pPr>
            <w:r w:rsidRPr="008C6375">
              <w:rPr>
                <w:b/>
                <w:color w:val="FFFFFF"/>
              </w:rPr>
              <w:t>Deductibility of employer contributions</w:t>
            </w:r>
          </w:p>
        </w:tc>
      </w:tr>
      <w:tr w:rsidR="00AC40A8" w:rsidRPr="008C6375" w14:paraId="127D7A59" w14:textId="77777777" w:rsidTr="009F47D1">
        <w:tc>
          <w:tcPr>
            <w:tcW w:w="9637" w:type="dxa"/>
            <w:shd w:val="clear" w:color="auto" w:fill="FFFFFF"/>
            <w:tcMar>
              <w:top w:w="72" w:type="dxa"/>
              <w:left w:w="115" w:type="dxa"/>
              <w:bottom w:w="72" w:type="dxa"/>
              <w:right w:w="115" w:type="dxa"/>
            </w:tcMar>
          </w:tcPr>
          <w:p w14:paraId="24816146" w14:textId="77777777" w:rsidR="00AC40A8" w:rsidRPr="008C6375" w:rsidRDefault="00AC40A8" w:rsidP="0035256A">
            <w:r w:rsidRPr="008C6375">
              <w:t xml:space="preserve">Just like the SEP IRA, the employer’s contributions are deductible on the company’s return.   The employer contribution is not included as taxable income to the employee and is not subject to </w:t>
            </w:r>
            <w:r>
              <w:t xml:space="preserve">Social Security, Medicare, or unemployment </w:t>
            </w:r>
            <w:r w:rsidRPr="008C6375">
              <w:t>tax</w:t>
            </w:r>
            <w:r>
              <w:t>es</w:t>
            </w:r>
            <w:r w:rsidRPr="008C6375">
              <w:t>.</w:t>
            </w:r>
          </w:p>
        </w:tc>
      </w:tr>
      <w:tr w:rsidR="00AC40A8" w:rsidRPr="008C6375" w14:paraId="7E34C9E0" w14:textId="77777777" w:rsidTr="009F47D1">
        <w:tc>
          <w:tcPr>
            <w:tcW w:w="9637" w:type="dxa"/>
            <w:tcBorders>
              <w:bottom w:val="single" w:sz="4" w:space="0" w:color="6CA8CD"/>
            </w:tcBorders>
            <w:shd w:val="clear" w:color="auto" w:fill="6CA8CD"/>
            <w:tcMar>
              <w:top w:w="72" w:type="dxa"/>
              <w:left w:w="115" w:type="dxa"/>
              <w:bottom w:w="72" w:type="dxa"/>
              <w:right w:w="115" w:type="dxa"/>
            </w:tcMar>
          </w:tcPr>
          <w:p w14:paraId="72CB597B" w14:textId="77777777" w:rsidR="00AC40A8" w:rsidRPr="008C6375" w:rsidRDefault="00AC40A8" w:rsidP="00DE669E">
            <w:pPr>
              <w:rPr>
                <w:b/>
                <w:color w:val="FFFFFF"/>
              </w:rPr>
            </w:pPr>
            <w:r w:rsidRPr="008C6375">
              <w:rPr>
                <w:b/>
                <w:color w:val="FFFFFF"/>
              </w:rPr>
              <w:t>Deferral of employee compensation</w:t>
            </w:r>
          </w:p>
        </w:tc>
      </w:tr>
      <w:tr w:rsidR="00AC40A8" w:rsidRPr="008C6375" w14:paraId="6D41E84D" w14:textId="77777777" w:rsidTr="00D056A3">
        <w:trPr>
          <w:trHeight w:val="1457"/>
        </w:trPr>
        <w:tc>
          <w:tcPr>
            <w:tcW w:w="9637" w:type="dxa"/>
            <w:tcBorders>
              <w:bottom w:val="single" w:sz="4" w:space="0" w:color="6CA8CD"/>
            </w:tcBorders>
            <w:shd w:val="clear" w:color="auto" w:fill="FFFFFF"/>
            <w:tcMar>
              <w:top w:w="72" w:type="dxa"/>
              <w:left w:w="115" w:type="dxa"/>
              <w:bottom w:w="72" w:type="dxa"/>
              <w:right w:w="115" w:type="dxa"/>
            </w:tcMar>
          </w:tcPr>
          <w:p w14:paraId="4A31A2DE" w14:textId="7C483184" w:rsidR="00AC40A8" w:rsidRPr="008C6375" w:rsidRDefault="00AC40A8" w:rsidP="00D056A3">
            <w:r w:rsidRPr="008C6375">
              <w:t xml:space="preserve">Employees are able to defer compensation on a pre-tax basis up to the annual limits listed below and do not report the income until funds are removed from the IRA. </w:t>
            </w:r>
            <w:r>
              <w:t>The employee is subject to Social Security and Medicare taxes on the compensation deferred.  The employer is subject to Social Security, Medicare, and unemployment taxes on the compensation deferred.</w:t>
            </w:r>
          </w:p>
        </w:tc>
      </w:tr>
      <w:tr w:rsidR="00AC40A8" w:rsidRPr="008C6375" w14:paraId="1DEE97CA" w14:textId="77777777" w:rsidTr="009F47D1">
        <w:tc>
          <w:tcPr>
            <w:tcW w:w="9637" w:type="dxa"/>
            <w:shd w:val="clear" w:color="auto" w:fill="6CA8CD"/>
            <w:tcMar>
              <w:top w:w="72" w:type="dxa"/>
              <w:left w:w="115" w:type="dxa"/>
              <w:bottom w:w="72" w:type="dxa"/>
              <w:right w:w="115" w:type="dxa"/>
            </w:tcMar>
          </w:tcPr>
          <w:p w14:paraId="1479C105" w14:textId="77777777" w:rsidR="00AC40A8" w:rsidRPr="008C6375" w:rsidRDefault="00AC40A8" w:rsidP="00DE669E">
            <w:pPr>
              <w:rPr>
                <w:b/>
                <w:color w:val="FFFFFF"/>
              </w:rPr>
            </w:pPr>
            <w:r w:rsidRPr="008C6375">
              <w:rPr>
                <w:b/>
                <w:color w:val="FFFFFF"/>
              </w:rPr>
              <w:t>High contribution limits relative to a Traditional IRA</w:t>
            </w:r>
          </w:p>
        </w:tc>
      </w:tr>
      <w:tr w:rsidR="00AC40A8" w:rsidRPr="008C6375" w14:paraId="4CCED537" w14:textId="77777777" w:rsidTr="009F47D1">
        <w:tc>
          <w:tcPr>
            <w:tcW w:w="9637" w:type="dxa"/>
            <w:tcBorders>
              <w:bottom w:val="single" w:sz="4" w:space="0" w:color="6CA8CD"/>
            </w:tcBorders>
            <w:shd w:val="clear" w:color="auto" w:fill="FFFFFF"/>
            <w:tcMar>
              <w:top w:w="72" w:type="dxa"/>
              <w:left w:w="115" w:type="dxa"/>
              <w:bottom w:w="72" w:type="dxa"/>
              <w:right w:w="115" w:type="dxa"/>
            </w:tcMar>
          </w:tcPr>
          <w:p w14:paraId="6541D1FC" w14:textId="433674E6" w:rsidR="00AC40A8" w:rsidRPr="008C6375" w:rsidRDefault="00AC40A8" w:rsidP="00DE669E">
            <w:r w:rsidRPr="008C6375">
              <w:t>Employees are able to defer compensation into the SIMPLE IRA at the following limits, which are significantly higher than those available with a Traditional IRA</w:t>
            </w:r>
            <w:r>
              <w:t xml:space="preserve"> (but significantly lower than 401(k) deferral limits)</w:t>
            </w:r>
            <w:r w:rsidRPr="008C6375">
              <w:t>.  Those age 50 and over can also make additional “catch up” deferrals (if the plan permits), in the amounts i</w:t>
            </w:r>
            <w:r w:rsidR="00D056A3">
              <w:t>ndicated below.</w:t>
            </w:r>
          </w:p>
          <w:p w14:paraId="292193D4" w14:textId="77777777" w:rsidR="00AC40A8" w:rsidRPr="008C6375" w:rsidRDefault="00AC40A8" w:rsidP="00DE669E">
            <w:pPr>
              <w:jc w:val="center"/>
            </w:pPr>
            <w:r w:rsidRPr="008C6375">
              <w:rPr>
                <w:b/>
                <w:bCs/>
              </w:rPr>
              <w:t>Simple IRA Annual Employee Elective Deferral Limits</w:t>
            </w:r>
          </w:p>
          <w:tbl>
            <w:tblPr>
              <w:tblW w:w="72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000" w:firstRow="0" w:lastRow="0" w:firstColumn="0" w:lastColumn="0" w:noHBand="0" w:noVBand="0"/>
            </w:tblPr>
            <w:tblGrid>
              <w:gridCol w:w="2521"/>
              <w:gridCol w:w="2521"/>
              <w:gridCol w:w="2166"/>
            </w:tblGrid>
            <w:tr w:rsidR="00AC40A8" w:rsidRPr="008C6375" w14:paraId="3C6E1F04" w14:textId="77777777" w:rsidTr="00DE669E">
              <w:trPr>
                <w:jc w:val="center"/>
              </w:trPr>
              <w:tc>
                <w:tcPr>
                  <w:tcW w:w="2521" w:type="dxa"/>
                  <w:shd w:val="clear" w:color="auto" w:fill="DBD9B9"/>
                </w:tcPr>
                <w:p w14:paraId="0830F958" w14:textId="77777777" w:rsidR="00AC40A8" w:rsidRPr="008C6375" w:rsidRDefault="00AC40A8" w:rsidP="00DE669E">
                  <w:pPr>
                    <w:spacing w:before="100" w:beforeAutospacing="1" w:after="100" w:afterAutospacing="1"/>
                    <w:jc w:val="center"/>
                    <w:rPr>
                      <w:b/>
                      <w:color w:val="000000"/>
                    </w:rPr>
                  </w:pPr>
                  <w:r w:rsidRPr="008C6375">
                    <w:rPr>
                      <w:b/>
                      <w:color w:val="000000"/>
                    </w:rPr>
                    <w:t>Year</w:t>
                  </w:r>
                </w:p>
              </w:tc>
              <w:tc>
                <w:tcPr>
                  <w:tcW w:w="2521" w:type="dxa"/>
                  <w:shd w:val="clear" w:color="auto" w:fill="DBD9B9"/>
                </w:tcPr>
                <w:p w14:paraId="59DA69D4" w14:textId="77777777" w:rsidR="00AC40A8" w:rsidRPr="008C6375" w:rsidRDefault="00AC40A8" w:rsidP="00DE669E">
                  <w:pPr>
                    <w:spacing w:before="100" w:beforeAutospacing="1" w:after="100" w:afterAutospacing="1"/>
                    <w:jc w:val="center"/>
                    <w:rPr>
                      <w:b/>
                      <w:color w:val="000000"/>
                    </w:rPr>
                  </w:pPr>
                  <w:r w:rsidRPr="008C6375">
                    <w:rPr>
                      <w:b/>
                      <w:color w:val="000000"/>
                    </w:rPr>
                    <w:t>Annual Limit</w:t>
                  </w:r>
                </w:p>
              </w:tc>
              <w:tc>
                <w:tcPr>
                  <w:tcW w:w="2166" w:type="dxa"/>
                  <w:shd w:val="clear" w:color="auto" w:fill="DBD9B9"/>
                </w:tcPr>
                <w:p w14:paraId="2B1AC115" w14:textId="77777777" w:rsidR="00AC40A8" w:rsidRPr="008C6375" w:rsidRDefault="00AC40A8" w:rsidP="00DE669E">
                  <w:pPr>
                    <w:spacing w:before="100" w:beforeAutospacing="1" w:after="100" w:afterAutospacing="1"/>
                    <w:jc w:val="center"/>
                    <w:rPr>
                      <w:b/>
                      <w:color w:val="000000"/>
                    </w:rPr>
                  </w:pPr>
                  <w:r w:rsidRPr="008C6375">
                    <w:rPr>
                      <w:b/>
                      <w:color w:val="000000"/>
                    </w:rPr>
                    <w:t>“Catch Up” Limit</w:t>
                  </w:r>
                </w:p>
              </w:tc>
            </w:tr>
            <w:tr w:rsidR="00AC40A8" w:rsidRPr="008C6375" w14:paraId="300A6F37" w14:textId="77777777" w:rsidTr="00DE669E">
              <w:trPr>
                <w:jc w:val="center"/>
              </w:trPr>
              <w:tc>
                <w:tcPr>
                  <w:tcW w:w="2521" w:type="dxa"/>
                  <w:shd w:val="clear" w:color="auto" w:fill="E7E6CF"/>
                </w:tcPr>
                <w:p w14:paraId="67A8B4DE" w14:textId="7C569754" w:rsidR="00AC40A8" w:rsidRPr="008C6375" w:rsidRDefault="002D2503" w:rsidP="00DE669E">
                  <w:pPr>
                    <w:tabs>
                      <w:tab w:val="left" w:pos="2486"/>
                      <w:tab w:val="left" w:pos="4828"/>
                      <w:tab w:val="left" w:pos="7898"/>
                    </w:tabs>
                    <w:jc w:val="center"/>
                    <w:rPr>
                      <w:color w:val="000000"/>
                    </w:rPr>
                  </w:pPr>
                  <w:r>
                    <w:rPr>
                      <w:color w:val="000000"/>
                    </w:rPr>
                    <w:t>2016</w:t>
                  </w:r>
                </w:p>
              </w:tc>
              <w:tc>
                <w:tcPr>
                  <w:tcW w:w="2521" w:type="dxa"/>
                  <w:shd w:val="clear" w:color="auto" w:fill="E7E6CF"/>
                </w:tcPr>
                <w:p w14:paraId="4E2F8F60" w14:textId="77C546EB" w:rsidR="00AC40A8" w:rsidRPr="008C6375" w:rsidRDefault="00AC40A8" w:rsidP="00DE669E">
                  <w:pPr>
                    <w:tabs>
                      <w:tab w:val="left" w:pos="2486"/>
                      <w:tab w:val="left" w:pos="4828"/>
                      <w:tab w:val="left" w:pos="7898"/>
                    </w:tabs>
                    <w:jc w:val="center"/>
                    <w:rPr>
                      <w:color w:val="000000"/>
                    </w:rPr>
                  </w:pPr>
                  <w:r w:rsidRPr="008C6375">
                    <w:rPr>
                      <w:color w:val="000000"/>
                    </w:rPr>
                    <w:t>$1</w:t>
                  </w:r>
                  <w:r>
                    <w:rPr>
                      <w:color w:val="000000"/>
                    </w:rPr>
                    <w:t>2</w:t>
                  </w:r>
                  <w:r w:rsidRPr="008C6375">
                    <w:rPr>
                      <w:color w:val="000000"/>
                    </w:rPr>
                    <w:t>,</w:t>
                  </w:r>
                  <w:r w:rsidR="00B93982">
                    <w:rPr>
                      <w:color w:val="000000"/>
                    </w:rPr>
                    <w:t>5</w:t>
                  </w:r>
                  <w:r w:rsidRPr="008C6375">
                    <w:rPr>
                      <w:color w:val="000000"/>
                    </w:rPr>
                    <w:t>00*</w:t>
                  </w:r>
                </w:p>
              </w:tc>
              <w:tc>
                <w:tcPr>
                  <w:tcW w:w="2166" w:type="dxa"/>
                  <w:shd w:val="clear" w:color="auto" w:fill="E7E6CF"/>
                </w:tcPr>
                <w:p w14:paraId="119C30D7" w14:textId="663EA559" w:rsidR="00AC40A8" w:rsidRPr="008C6375" w:rsidRDefault="00AC40A8" w:rsidP="00DE669E">
                  <w:pPr>
                    <w:tabs>
                      <w:tab w:val="left" w:pos="2486"/>
                      <w:tab w:val="left" w:pos="4828"/>
                      <w:tab w:val="left" w:pos="7898"/>
                    </w:tabs>
                    <w:jc w:val="center"/>
                    <w:rPr>
                      <w:color w:val="000000"/>
                    </w:rPr>
                  </w:pPr>
                  <w:r w:rsidRPr="008C6375">
                    <w:rPr>
                      <w:color w:val="000000"/>
                    </w:rPr>
                    <w:t>$</w:t>
                  </w:r>
                  <w:r w:rsidR="00B93982">
                    <w:rPr>
                      <w:color w:val="000000"/>
                    </w:rPr>
                    <w:t>3,0</w:t>
                  </w:r>
                  <w:r w:rsidRPr="008C6375">
                    <w:rPr>
                      <w:color w:val="000000"/>
                    </w:rPr>
                    <w:t>00*</w:t>
                  </w:r>
                </w:p>
              </w:tc>
            </w:tr>
          </w:tbl>
          <w:p w14:paraId="1B5952EC" w14:textId="77777777" w:rsidR="00AC40A8" w:rsidRPr="00F8471D" w:rsidRDefault="00AC40A8" w:rsidP="00DE669E">
            <w:pPr>
              <w:ind w:left="702"/>
              <w:rPr>
                <w:i/>
                <w:sz w:val="16"/>
                <w:szCs w:val="16"/>
              </w:rPr>
            </w:pPr>
            <w:r w:rsidRPr="000809A4">
              <w:rPr>
                <w:i/>
                <w:sz w:val="16"/>
                <w:szCs w:val="16"/>
              </w:rPr>
              <w:t>*Indexed fo</w:t>
            </w:r>
            <w:r>
              <w:rPr>
                <w:i/>
                <w:sz w:val="16"/>
                <w:szCs w:val="16"/>
              </w:rPr>
              <w:t>r inflation in $500 increments.</w:t>
            </w:r>
          </w:p>
        </w:tc>
      </w:tr>
    </w:tbl>
    <w:p w14:paraId="015E7106" w14:textId="77777777" w:rsidR="002875A5" w:rsidRDefault="002875A5">
      <w:pPr>
        <w:spacing w:before="0" w:after="0"/>
        <w:rPr>
          <w:b/>
          <w:bCs/>
          <w:color w:val="1F497D"/>
          <w:sz w:val="22"/>
          <w:szCs w:val="26"/>
        </w:rPr>
      </w:pPr>
      <w:r>
        <w:br w:type="page"/>
      </w:r>
    </w:p>
    <w:p w14:paraId="1F22A370" w14:textId="77777777" w:rsidR="00AC40A8" w:rsidRDefault="00AC40A8" w:rsidP="00927494">
      <w:pPr>
        <w:pStyle w:val="Sub-Headings"/>
      </w:pPr>
      <w:r>
        <w:lastRenderedPageBreak/>
        <w:t>SIMPLE Restrictions</w:t>
      </w:r>
    </w:p>
    <w:tbl>
      <w:tblPr>
        <w:tblW w:w="9637" w:type="dxa"/>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637"/>
      </w:tblGrid>
      <w:tr w:rsidR="00AC40A8" w:rsidRPr="008C6375" w14:paraId="7697B0FB" w14:textId="77777777" w:rsidTr="009F47D1">
        <w:tc>
          <w:tcPr>
            <w:tcW w:w="9637" w:type="dxa"/>
            <w:tcBorders>
              <w:bottom w:val="single" w:sz="4" w:space="0" w:color="6CA8CD"/>
            </w:tcBorders>
            <w:shd w:val="clear" w:color="auto" w:fill="6CA8CD"/>
            <w:tcMar>
              <w:top w:w="72" w:type="dxa"/>
              <w:left w:w="115" w:type="dxa"/>
              <w:bottom w:w="72" w:type="dxa"/>
              <w:right w:w="115" w:type="dxa"/>
            </w:tcMar>
          </w:tcPr>
          <w:p w14:paraId="0EE4B245" w14:textId="77777777" w:rsidR="00AC40A8" w:rsidRPr="008C6375" w:rsidRDefault="00AC40A8" w:rsidP="00DE669E">
            <w:pPr>
              <w:rPr>
                <w:b/>
                <w:color w:val="FFFFFF"/>
              </w:rPr>
            </w:pPr>
            <w:r w:rsidRPr="008C6375">
              <w:rPr>
                <w:b/>
                <w:color w:val="FFFFFF"/>
              </w:rPr>
              <w:t>Some companies are restricted from implementing a SIMPLE IRA.</w:t>
            </w:r>
          </w:p>
        </w:tc>
      </w:tr>
      <w:tr w:rsidR="00AC40A8" w:rsidRPr="008C6375" w14:paraId="454449FD" w14:textId="77777777" w:rsidTr="009F47D1">
        <w:tc>
          <w:tcPr>
            <w:tcW w:w="9637" w:type="dxa"/>
            <w:shd w:val="clear" w:color="auto" w:fill="FFFFFF"/>
            <w:tcMar>
              <w:top w:w="72" w:type="dxa"/>
              <w:left w:w="115" w:type="dxa"/>
              <w:bottom w:w="72" w:type="dxa"/>
              <w:right w:w="115" w:type="dxa"/>
            </w:tcMar>
          </w:tcPr>
          <w:p w14:paraId="346D8050" w14:textId="77777777" w:rsidR="00AC40A8" w:rsidRPr="008C6375" w:rsidRDefault="00AC40A8" w:rsidP="00DE669E">
            <w:r w:rsidRPr="008C6375">
              <w:t>To be eligible to start a SIMPLE IRA, a business must meet two requirements:</w:t>
            </w:r>
          </w:p>
          <w:p w14:paraId="67E04750" w14:textId="77777777" w:rsidR="00AC40A8" w:rsidRDefault="00AC40A8" w:rsidP="00822DE7">
            <w:pPr>
              <w:numPr>
                <w:ilvl w:val="0"/>
                <w:numId w:val="31"/>
              </w:numPr>
            </w:pPr>
            <w:r w:rsidRPr="008C6375">
              <w:t xml:space="preserve">Employ 100 or fewer employees who received at least $5,000 in compensation in the previous year, </w:t>
            </w:r>
            <w:r>
              <w:t xml:space="preserve">and </w:t>
            </w:r>
          </w:p>
          <w:p w14:paraId="221CC87E" w14:textId="77777777" w:rsidR="00AC40A8" w:rsidRPr="008C6375" w:rsidRDefault="00AC40A8" w:rsidP="00822DE7">
            <w:pPr>
              <w:numPr>
                <w:ilvl w:val="0"/>
                <w:numId w:val="31"/>
              </w:numPr>
            </w:pPr>
            <w:r w:rsidRPr="008C6375">
              <w:t xml:space="preserve">Not maintain another </w:t>
            </w:r>
            <w:r>
              <w:t>employer-sponsored plan</w:t>
            </w:r>
            <w:r w:rsidRPr="008C6375">
              <w:t>.</w:t>
            </w:r>
          </w:p>
        </w:tc>
      </w:tr>
      <w:tr w:rsidR="00AC40A8" w:rsidRPr="008C6375" w14:paraId="47233589" w14:textId="77777777" w:rsidTr="009F47D1">
        <w:tc>
          <w:tcPr>
            <w:tcW w:w="9637" w:type="dxa"/>
            <w:tcBorders>
              <w:bottom w:val="single" w:sz="4" w:space="0" w:color="6CA8CD"/>
            </w:tcBorders>
            <w:shd w:val="clear" w:color="auto" w:fill="6CA8CD"/>
            <w:tcMar>
              <w:top w:w="72" w:type="dxa"/>
              <w:left w:w="115" w:type="dxa"/>
              <w:bottom w:w="72" w:type="dxa"/>
              <w:right w:w="115" w:type="dxa"/>
            </w:tcMar>
          </w:tcPr>
          <w:p w14:paraId="67D73BEF" w14:textId="77777777" w:rsidR="00AC40A8" w:rsidRPr="008C6375" w:rsidRDefault="00AC40A8" w:rsidP="00DE669E">
            <w:pPr>
              <w:rPr>
                <w:b/>
                <w:color w:val="FFFFFF"/>
              </w:rPr>
            </w:pPr>
            <w:r w:rsidRPr="008C6375">
              <w:rPr>
                <w:b/>
                <w:color w:val="FFFFFF"/>
              </w:rPr>
              <w:t>Employer contributions are required.</w:t>
            </w:r>
          </w:p>
        </w:tc>
      </w:tr>
      <w:tr w:rsidR="00AC40A8" w:rsidRPr="008C6375" w14:paraId="4FD8C895" w14:textId="77777777" w:rsidTr="009F47D1">
        <w:tc>
          <w:tcPr>
            <w:tcW w:w="9637" w:type="dxa"/>
            <w:shd w:val="clear" w:color="auto" w:fill="FFFFFF"/>
            <w:tcMar>
              <w:top w:w="72" w:type="dxa"/>
              <w:left w:w="115" w:type="dxa"/>
              <w:bottom w:w="72" w:type="dxa"/>
              <w:right w:w="115" w:type="dxa"/>
            </w:tcMar>
          </w:tcPr>
          <w:p w14:paraId="2CC9B052" w14:textId="77777777" w:rsidR="00AC40A8" w:rsidRPr="008C6375" w:rsidRDefault="00AC40A8" w:rsidP="00DE669E">
            <w:r w:rsidRPr="008C6375">
              <w:t>Employers are required to make contributions, but have some flexibility in choosing between two methodologies:</w:t>
            </w:r>
          </w:p>
          <w:p w14:paraId="507E14AD" w14:textId="20F87A30" w:rsidR="00AC40A8" w:rsidRPr="008C6375" w:rsidRDefault="00AC40A8" w:rsidP="00822DE7">
            <w:pPr>
              <w:numPr>
                <w:ilvl w:val="0"/>
                <w:numId w:val="32"/>
              </w:numPr>
            </w:pPr>
            <w:r w:rsidRPr="008C6375">
              <w:t>Match participating employee deferrals dollar-for-dollar, provided the match does not exceed 3% of the employees’ compensation</w:t>
            </w:r>
            <w:r>
              <w:t xml:space="preserve"> </w:t>
            </w:r>
            <w:r w:rsidRPr="00F53AC0">
              <w:t>(on compensation up to $2</w:t>
            </w:r>
            <w:r>
              <w:t>6</w:t>
            </w:r>
            <w:r w:rsidR="00475D19">
              <w:t>5</w:t>
            </w:r>
            <w:r w:rsidRPr="00F53AC0">
              <w:t xml:space="preserve">,000, as indexed in </w:t>
            </w:r>
            <w:r w:rsidR="002D2503">
              <w:t>2016</w:t>
            </w:r>
            <w:r w:rsidRPr="00F53AC0">
              <w:t>).</w:t>
            </w:r>
            <w:r w:rsidRPr="008C6375">
              <w:t xml:space="preserve">  If this method is chosen, the employer has the further flexibility to elect a lower matching contribution of not less than 1% in any two out of five years.  Employees must be notified of the matching amount before the beginning of each new plan year.</w:t>
            </w:r>
          </w:p>
          <w:p w14:paraId="0FEC175A" w14:textId="77777777" w:rsidR="00AC40A8" w:rsidRPr="008C6375" w:rsidRDefault="00AC40A8" w:rsidP="00DE669E">
            <w:pPr>
              <w:ind w:left="702"/>
              <w:rPr>
                <w:b/>
              </w:rPr>
            </w:pPr>
            <w:r w:rsidRPr="008C6375">
              <w:rPr>
                <w:b/>
              </w:rPr>
              <w:t>AND</w:t>
            </w:r>
          </w:p>
          <w:p w14:paraId="6F489DC0" w14:textId="42376BFD" w:rsidR="00AC40A8" w:rsidRPr="008C6375" w:rsidRDefault="00AC40A8" w:rsidP="00822DE7">
            <w:pPr>
              <w:numPr>
                <w:ilvl w:val="0"/>
                <w:numId w:val="32"/>
              </w:numPr>
            </w:pPr>
            <w:r w:rsidRPr="008C6375">
              <w:t>Contribute a fixed 2% of employee compensation (on compensation up to $2</w:t>
            </w:r>
            <w:r>
              <w:t>6</w:t>
            </w:r>
            <w:r w:rsidR="00475D19">
              <w:t>5</w:t>
            </w:r>
            <w:r w:rsidRPr="008C6375">
              <w:t xml:space="preserve">,000 for </w:t>
            </w:r>
            <w:r w:rsidR="002D2503">
              <w:t>2016</w:t>
            </w:r>
            <w:r w:rsidRPr="008C6375">
              <w:t>) on behalf of all employees, whether the employees elect to make any contributions themselves or not. This translates into a maximum employer contribution per employee of $</w:t>
            </w:r>
            <w:r>
              <w:t>5</w:t>
            </w:r>
            <w:r w:rsidRPr="008C6375">
              <w:t>,</w:t>
            </w:r>
            <w:r w:rsidR="00475D19">
              <w:t>3</w:t>
            </w:r>
            <w:r w:rsidRPr="008C6375">
              <w:t>00</w:t>
            </w:r>
            <w:r w:rsidR="00475D19">
              <w:t xml:space="preserve"> (</w:t>
            </w:r>
            <w:r w:rsidR="002D2503">
              <w:t>2016</w:t>
            </w:r>
            <w:r w:rsidR="00475D19">
              <w:t>)</w:t>
            </w:r>
            <w:r w:rsidRPr="008C6375">
              <w:t>.</w:t>
            </w:r>
          </w:p>
        </w:tc>
      </w:tr>
      <w:tr w:rsidR="00AC40A8" w:rsidRPr="008C6375" w14:paraId="2689C57D" w14:textId="77777777" w:rsidTr="009F47D1">
        <w:tc>
          <w:tcPr>
            <w:tcW w:w="9637" w:type="dxa"/>
            <w:tcBorders>
              <w:bottom w:val="single" w:sz="4" w:space="0" w:color="6CA8CD"/>
            </w:tcBorders>
            <w:shd w:val="clear" w:color="auto" w:fill="6CA8CD"/>
            <w:tcMar>
              <w:top w:w="72" w:type="dxa"/>
              <w:left w:w="115" w:type="dxa"/>
              <w:bottom w:w="72" w:type="dxa"/>
              <w:right w:w="115" w:type="dxa"/>
            </w:tcMar>
          </w:tcPr>
          <w:p w14:paraId="4A93E374" w14:textId="77777777" w:rsidR="00AC40A8" w:rsidRPr="008C6375" w:rsidRDefault="00AC40A8" w:rsidP="00DE669E">
            <w:pPr>
              <w:rPr>
                <w:b/>
                <w:color w:val="FFFFFF"/>
              </w:rPr>
            </w:pPr>
            <w:r w:rsidRPr="008C6375">
              <w:rPr>
                <w:b/>
                <w:color w:val="FFFFFF"/>
              </w:rPr>
              <w:t>All eligible employees must be covered.</w:t>
            </w:r>
          </w:p>
        </w:tc>
      </w:tr>
      <w:tr w:rsidR="00AC40A8" w:rsidRPr="008C6375" w14:paraId="121DD8E9" w14:textId="77777777" w:rsidTr="009F47D1">
        <w:tc>
          <w:tcPr>
            <w:tcW w:w="9637" w:type="dxa"/>
            <w:tcBorders>
              <w:bottom w:val="single" w:sz="4" w:space="0" w:color="6CA8CD"/>
            </w:tcBorders>
            <w:shd w:val="clear" w:color="auto" w:fill="FFFFFF"/>
            <w:tcMar>
              <w:top w:w="72" w:type="dxa"/>
              <w:left w:w="115" w:type="dxa"/>
              <w:bottom w:w="72" w:type="dxa"/>
              <w:right w:w="115" w:type="dxa"/>
            </w:tcMar>
          </w:tcPr>
          <w:p w14:paraId="0E6A18EA" w14:textId="77777777" w:rsidR="00AC40A8" w:rsidRPr="008C6375" w:rsidRDefault="00AC40A8" w:rsidP="00DE669E">
            <w:r w:rsidRPr="008C6375">
              <w:t>The employer must allow participation by all employees who meet the following criteria:</w:t>
            </w:r>
          </w:p>
          <w:p w14:paraId="174A8DF2" w14:textId="77777777" w:rsidR="00AC40A8" w:rsidRPr="008C6375" w:rsidRDefault="00AC40A8" w:rsidP="00822DE7">
            <w:pPr>
              <w:numPr>
                <w:ilvl w:val="0"/>
                <w:numId w:val="32"/>
              </w:numPr>
            </w:pPr>
            <w:r w:rsidRPr="008C6375">
              <w:t xml:space="preserve">The employee received at least $5,000 in compensation from the employer during any 2 years prior to the current year. </w:t>
            </w:r>
          </w:p>
          <w:p w14:paraId="22343497" w14:textId="77777777" w:rsidR="00AC40A8" w:rsidRPr="008C6375" w:rsidRDefault="00AC40A8" w:rsidP="00DE669E">
            <w:pPr>
              <w:ind w:left="702"/>
              <w:rPr>
                <w:b/>
              </w:rPr>
            </w:pPr>
            <w:r w:rsidRPr="008C6375">
              <w:rPr>
                <w:b/>
              </w:rPr>
              <w:t>AND</w:t>
            </w:r>
          </w:p>
          <w:p w14:paraId="47D236C2" w14:textId="77777777" w:rsidR="00AC40A8" w:rsidRDefault="00AC40A8" w:rsidP="00822DE7">
            <w:pPr>
              <w:numPr>
                <w:ilvl w:val="0"/>
                <w:numId w:val="32"/>
              </w:numPr>
            </w:pPr>
            <w:r w:rsidRPr="008C6375">
              <w:t>The employee is reasonably expected to receive at least $5,000 in compensation during the calendar year for which contributions are to be made.</w:t>
            </w:r>
          </w:p>
          <w:p w14:paraId="668B8944" w14:textId="77777777" w:rsidR="00AC40A8" w:rsidRPr="008C6375" w:rsidRDefault="00AC40A8" w:rsidP="00DE669E">
            <w:r w:rsidRPr="008C6375">
              <w:t>Exceptions to this requirement are employees who are covered under a collective bargaining agreement or non-resident aliens who receive no U.S. source of earned income.</w:t>
            </w:r>
          </w:p>
        </w:tc>
      </w:tr>
      <w:tr w:rsidR="00AC40A8" w:rsidRPr="008C6375" w14:paraId="798CD457" w14:textId="77777777" w:rsidTr="009F47D1">
        <w:tc>
          <w:tcPr>
            <w:tcW w:w="9637" w:type="dxa"/>
            <w:shd w:val="clear" w:color="auto" w:fill="6CA8CD"/>
            <w:tcMar>
              <w:top w:w="72" w:type="dxa"/>
              <w:left w:w="115" w:type="dxa"/>
              <w:bottom w:w="72" w:type="dxa"/>
              <w:right w:w="115" w:type="dxa"/>
            </w:tcMar>
          </w:tcPr>
          <w:p w14:paraId="1E172901" w14:textId="77777777" w:rsidR="00AC40A8" w:rsidRPr="008C6375" w:rsidRDefault="00AC40A8" w:rsidP="00DE669E">
            <w:pPr>
              <w:rPr>
                <w:b/>
                <w:color w:val="FFFFFF"/>
              </w:rPr>
            </w:pPr>
            <w:r w:rsidRPr="008C6375">
              <w:rPr>
                <w:b/>
                <w:color w:val="FFFFFF"/>
              </w:rPr>
              <w:t>Early withdrawal penalty is increased in first two years of participation.</w:t>
            </w:r>
          </w:p>
        </w:tc>
      </w:tr>
      <w:tr w:rsidR="00AC40A8" w:rsidRPr="008C6375" w14:paraId="6494D560" w14:textId="77777777" w:rsidTr="009F47D1">
        <w:tc>
          <w:tcPr>
            <w:tcW w:w="9637" w:type="dxa"/>
            <w:tcBorders>
              <w:bottom w:val="single" w:sz="4" w:space="0" w:color="6CA8CD"/>
            </w:tcBorders>
            <w:shd w:val="clear" w:color="auto" w:fill="FFFFFF"/>
            <w:tcMar>
              <w:top w:w="72" w:type="dxa"/>
              <w:left w:w="115" w:type="dxa"/>
              <w:bottom w:w="72" w:type="dxa"/>
              <w:right w:w="115" w:type="dxa"/>
            </w:tcMar>
          </w:tcPr>
          <w:p w14:paraId="2ABB0AAA" w14:textId="14EC2A7D" w:rsidR="00AC40A8" w:rsidRPr="008C6375" w:rsidRDefault="00F620DE" w:rsidP="00DE669E">
            <w:r>
              <w:t xml:space="preserve">Here is a rule that your clients simply must know. </w:t>
            </w:r>
            <w:r w:rsidR="00AC40A8" w:rsidRPr="008C6375">
              <w:t xml:space="preserve">If early withdrawals occur (i.e., distributions prior to age 59½) within the 2-year period following the date of the employee's first participation, the 10% IRS penalty tax is increased to 25% unless an exception applies (e.g., death, disability, etc.). </w:t>
            </w:r>
            <w:r w:rsidR="00AC40A8">
              <w:t xml:space="preserve">Premature distribution penalties from other types of IRAs incur a smaller penalty of only 10%. The SIMPLE IRA 25% penalty may not be avoided by rolling </w:t>
            </w:r>
            <w:r w:rsidR="00AC40A8">
              <w:lastRenderedPageBreak/>
              <w:t>over a SIMPLE IRA to another type of IRA within the 2-year period described above.</w:t>
            </w:r>
            <w:r w:rsidR="00AC40A8" w:rsidRPr="008C6375">
              <w:t xml:space="preserve">  </w:t>
            </w:r>
          </w:p>
        </w:tc>
      </w:tr>
    </w:tbl>
    <w:p w14:paraId="3CCAB7DD" w14:textId="77777777" w:rsidR="00AC40A8" w:rsidRDefault="00AC40A8" w:rsidP="004344CA">
      <w:pPr>
        <w:pStyle w:val="Heading2"/>
      </w:pPr>
      <w:r>
        <w:lastRenderedPageBreak/>
        <w:br w:type="page"/>
      </w:r>
      <w:r>
        <w:lastRenderedPageBreak/>
        <w:t>Review Exercise</w:t>
      </w:r>
    </w:p>
    <w:p w14:paraId="47FC7A04" w14:textId="77777777" w:rsidR="00AC40A8" w:rsidRPr="00D329A1" w:rsidRDefault="00AC40A8" w:rsidP="00410398">
      <w:r w:rsidRPr="00F37122">
        <w:rPr>
          <w:b/>
          <w:color w:val="FF0000"/>
        </w:rPr>
        <w:t>Review your knowledge of the preceding pages by answering the following questions.</w:t>
      </w:r>
    </w:p>
    <w:p w14:paraId="3BE1D866" w14:textId="77777777" w:rsidR="00AC40A8" w:rsidRPr="00D329A1" w:rsidRDefault="00AC40A8" w:rsidP="00822DE7">
      <w:pPr>
        <w:numPr>
          <w:ilvl w:val="0"/>
          <w:numId w:val="33"/>
        </w:numPr>
        <w:ind w:left="360"/>
        <w:rPr>
          <w:b/>
        </w:rPr>
      </w:pPr>
      <w:r w:rsidRPr="00D329A1">
        <w:rPr>
          <w:b/>
        </w:rPr>
        <w:t xml:space="preserve">In general, once they are funded, the rules governing transfer, withdrawal, and taxation of SEPs are basically the same as for Traditional IRAs. </w:t>
      </w:r>
    </w:p>
    <w:p w14:paraId="62379EF0" w14:textId="77777777" w:rsidR="00AC40A8" w:rsidRPr="00F871A1" w:rsidRDefault="00AC40A8" w:rsidP="00822DE7">
      <w:pPr>
        <w:numPr>
          <w:ilvl w:val="0"/>
          <w:numId w:val="34"/>
        </w:numPr>
      </w:pPr>
      <w:r w:rsidRPr="00052B88">
        <w:rPr>
          <w:rStyle w:val="Strong"/>
        </w:rPr>
        <w:t>True</w:t>
      </w:r>
    </w:p>
    <w:p w14:paraId="0AD94DE2" w14:textId="77777777" w:rsidR="00AC40A8" w:rsidRPr="00F871A1" w:rsidRDefault="00AC40A8" w:rsidP="00410398">
      <w:pPr>
        <w:pStyle w:val="ReviewAnswer"/>
      </w:pPr>
      <w:r w:rsidRPr="00F871A1">
        <w:rPr>
          <w:rStyle w:val="Strong"/>
        </w:rPr>
        <w:t>Correct</w:t>
      </w:r>
      <w:r w:rsidRPr="00F871A1">
        <w:t>.</w:t>
      </w:r>
    </w:p>
    <w:p w14:paraId="4D8D91C5" w14:textId="77777777" w:rsidR="00AC40A8" w:rsidRPr="00F871A1" w:rsidRDefault="00AC40A8" w:rsidP="00822DE7">
      <w:pPr>
        <w:numPr>
          <w:ilvl w:val="0"/>
          <w:numId w:val="34"/>
        </w:numPr>
      </w:pPr>
      <w:r w:rsidRPr="00F871A1">
        <w:t>False</w:t>
      </w:r>
    </w:p>
    <w:p w14:paraId="4B1E1506" w14:textId="77777777" w:rsidR="00AC40A8" w:rsidRDefault="00AC40A8" w:rsidP="00410398">
      <w:pPr>
        <w:pStyle w:val="ReviewAnswer"/>
      </w:pPr>
      <w:r w:rsidRPr="00F871A1">
        <w:rPr>
          <w:rStyle w:val="Strong"/>
        </w:rPr>
        <w:t>Incorrect</w:t>
      </w:r>
      <w:r w:rsidRPr="00F871A1">
        <w:t>.</w:t>
      </w:r>
    </w:p>
    <w:p w14:paraId="5C195494" w14:textId="77777777" w:rsidR="00AC40A8" w:rsidRPr="00D329A1" w:rsidRDefault="00AC40A8" w:rsidP="00822DE7">
      <w:pPr>
        <w:numPr>
          <w:ilvl w:val="0"/>
          <w:numId w:val="33"/>
        </w:numPr>
        <w:ind w:left="360"/>
        <w:rPr>
          <w:b/>
          <w:bCs/>
        </w:rPr>
      </w:pPr>
      <w:r w:rsidRPr="00D329A1">
        <w:rPr>
          <w:b/>
          <w:bCs/>
        </w:rPr>
        <w:t>Indicate whether or not the following features are characteristic of SEP IRAs:</w:t>
      </w:r>
    </w:p>
    <w:p w14:paraId="52CEA3F5" w14:textId="77777777" w:rsidR="00AC40A8" w:rsidRPr="0009694E" w:rsidRDefault="00AC40A8" w:rsidP="00410398">
      <w:pPr>
        <w:ind w:left="360"/>
        <w:rPr>
          <w:b/>
        </w:rPr>
      </w:pPr>
      <w:r w:rsidRPr="0009694E">
        <w:rPr>
          <w:b/>
        </w:rPr>
        <w:t>The employer is required to make an annual contribution.</w:t>
      </w:r>
    </w:p>
    <w:p w14:paraId="5C74C0F3" w14:textId="77777777" w:rsidR="00AC40A8" w:rsidRPr="00521D1C" w:rsidRDefault="00AC40A8" w:rsidP="00822DE7">
      <w:pPr>
        <w:numPr>
          <w:ilvl w:val="0"/>
          <w:numId w:val="34"/>
        </w:numPr>
      </w:pPr>
      <w:r w:rsidRPr="00521D1C">
        <w:t>True</w:t>
      </w:r>
    </w:p>
    <w:p w14:paraId="061B070B" w14:textId="77777777" w:rsidR="00AC40A8" w:rsidRPr="00521D1C" w:rsidRDefault="00AC40A8" w:rsidP="00410398">
      <w:pPr>
        <w:pStyle w:val="ReviewAnswer"/>
      </w:pPr>
      <w:r w:rsidRPr="00521D1C">
        <w:rPr>
          <w:rStyle w:val="Strong"/>
        </w:rPr>
        <w:t>Incorrect</w:t>
      </w:r>
      <w:r w:rsidRPr="00521D1C">
        <w:t>.</w:t>
      </w:r>
    </w:p>
    <w:p w14:paraId="55E9DF87" w14:textId="77777777" w:rsidR="00AC40A8" w:rsidRPr="00521D1C" w:rsidRDefault="00AC40A8" w:rsidP="00822DE7">
      <w:pPr>
        <w:numPr>
          <w:ilvl w:val="0"/>
          <w:numId w:val="34"/>
        </w:numPr>
      </w:pPr>
      <w:r w:rsidRPr="00052B88">
        <w:rPr>
          <w:rStyle w:val="Strong"/>
        </w:rPr>
        <w:t>False</w:t>
      </w:r>
    </w:p>
    <w:p w14:paraId="0831102B" w14:textId="77777777" w:rsidR="00AC40A8" w:rsidRDefault="00AC40A8" w:rsidP="00410398">
      <w:pPr>
        <w:pStyle w:val="ReviewAnswer"/>
      </w:pPr>
      <w:r w:rsidRPr="00521D1C">
        <w:rPr>
          <w:rStyle w:val="Strong"/>
        </w:rPr>
        <w:t>Correct</w:t>
      </w:r>
      <w:r w:rsidRPr="00521D1C">
        <w:t>.</w:t>
      </w:r>
    </w:p>
    <w:p w14:paraId="5D45F818" w14:textId="77777777" w:rsidR="00AC40A8" w:rsidRPr="0009694E" w:rsidRDefault="00AC40A8" w:rsidP="00410398">
      <w:pPr>
        <w:ind w:left="360"/>
        <w:rPr>
          <w:b/>
        </w:rPr>
      </w:pPr>
      <w:r w:rsidRPr="0009694E">
        <w:rPr>
          <w:b/>
        </w:rPr>
        <w:t>All eligible employees must be covered.</w:t>
      </w:r>
    </w:p>
    <w:p w14:paraId="604B8C94" w14:textId="77777777" w:rsidR="00AC40A8" w:rsidRPr="008C3413" w:rsidRDefault="00AC40A8" w:rsidP="00822DE7">
      <w:pPr>
        <w:numPr>
          <w:ilvl w:val="0"/>
          <w:numId w:val="34"/>
        </w:numPr>
      </w:pPr>
      <w:r w:rsidRPr="00052B88">
        <w:rPr>
          <w:rStyle w:val="Strong"/>
        </w:rPr>
        <w:t>True</w:t>
      </w:r>
    </w:p>
    <w:p w14:paraId="4D5CFE21" w14:textId="77777777" w:rsidR="00AC40A8" w:rsidRPr="008C3413" w:rsidRDefault="00AC40A8" w:rsidP="00410398">
      <w:pPr>
        <w:pStyle w:val="ReviewAnswer"/>
      </w:pPr>
      <w:r w:rsidRPr="008C3413">
        <w:rPr>
          <w:rStyle w:val="Strong"/>
        </w:rPr>
        <w:t>Correct</w:t>
      </w:r>
      <w:r w:rsidRPr="008C3413">
        <w:t>.</w:t>
      </w:r>
    </w:p>
    <w:p w14:paraId="038E1534" w14:textId="77777777" w:rsidR="00AC40A8" w:rsidRDefault="00AC40A8" w:rsidP="00822DE7">
      <w:pPr>
        <w:numPr>
          <w:ilvl w:val="0"/>
          <w:numId w:val="34"/>
        </w:numPr>
      </w:pPr>
      <w:r w:rsidRPr="008C3413">
        <w:t>False</w:t>
      </w:r>
    </w:p>
    <w:p w14:paraId="7CD01DDD" w14:textId="77777777" w:rsidR="00AC40A8" w:rsidRPr="00521D1C" w:rsidRDefault="00AC40A8" w:rsidP="00410398">
      <w:pPr>
        <w:pStyle w:val="ReviewAnswer"/>
      </w:pPr>
      <w:r w:rsidRPr="00521D1C">
        <w:rPr>
          <w:rStyle w:val="Strong"/>
        </w:rPr>
        <w:t>Incorrect</w:t>
      </w:r>
      <w:r w:rsidRPr="00521D1C">
        <w:t>.</w:t>
      </w:r>
    </w:p>
    <w:p w14:paraId="5716AD68" w14:textId="77777777" w:rsidR="00AC40A8" w:rsidRPr="0009694E" w:rsidRDefault="00AC40A8" w:rsidP="00410398">
      <w:pPr>
        <w:ind w:left="360"/>
        <w:rPr>
          <w:b/>
        </w:rPr>
      </w:pPr>
      <w:r w:rsidRPr="0009694E">
        <w:rPr>
          <w:b/>
        </w:rPr>
        <w:t>New Plans may include a salary reduction arrangement.</w:t>
      </w:r>
    </w:p>
    <w:p w14:paraId="1C074E05" w14:textId="77777777" w:rsidR="00AC40A8" w:rsidRPr="00E569EB" w:rsidRDefault="00AC40A8" w:rsidP="00822DE7">
      <w:pPr>
        <w:numPr>
          <w:ilvl w:val="0"/>
          <w:numId w:val="34"/>
        </w:numPr>
      </w:pPr>
      <w:r w:rsidRPr="00E569EB">
        <w:t>True</w:t>
      </w:r>
    </w:p>
    <w:p w14:paraId="5F48C41F" w14:textId="77777777" w:rsidR="00AC40A8" w:rsidRPr="00704BD9" w:rsidRDefault="00AC40A8" w:rsidP="00410398">
      <w:pPr>
        <w:pStyle w:val="ReviewAnswer"/>
        <w:rPr>
          <w:color w:val="auto"/>
        </w:rPr>
      </w:pPr>
      <w:r w:rsidRPr="00704BD9">
        <w:rPr>
          <w:rStyle w:val="Strong"/>
        </w:rPr>
        <w:t>Incorrect</w:t>
      </w:r>
      <w:r w:rsidRPr="00F37122">
        <w:t xml:space="preserve">. Prior to January 1, 1997, a SEP IRA could have included a salary arrangement (known as a SARSEP), but this is no </w:t>
      </w:r>
      <w:r>
        <w:t>longer available for new plans.</w:t>
      </w:r>
    </w:p>
    <w:p w14:paraId="0598BCD8" w14:textId="77777777" w:rsidR="00AC40A8" w:rsidRPr="00F37122" w:rsidRDefault="00AC40A8" w:rsidP="00822DE7">
      <w:pPr>
        <w:numPr>
          <w:ilvl w:val="0"/>
          <w:numId w:val="34"/>
        </w:numPr>
      </w:pPr>
      <w:r w:rsidRPr="00052B88">
        <w:rPr>
          <w:rStyle w:val="Strong"/>
        </w:rPr>
        <w:t>False</w:t>
      </w:r>
    </w:p>
    <w:p w14:paraId="4F916D4E" w14:textId="77777777" w:rsidR="00AC40A8" w:rsidRDefault="00AC40A8" w:rsidP="00410398">
      <w:pPr>
        <w:pStyle w:val="ReviewAnswer"/>
      </w:pPr>
      <w:r w:rsidRPr="00704BD9">
        <w:rPr>
          <w:rStyle w:val="Strong"/>
        </w:rPr>
        <w:t>Correct</w:t>
      </w:r>
      <w:r w:rsidRPr="00F37122">
        <w:t>. Prior to January 1, 1997, a SEP IRA could have included a salary arrangement (known as a SARSEP), but this is no longer available for new plans.</w:t>
      </w:r>
    </w:p>
    <w:p w14:paraId="191B2414" w14:textId="77777777" w:rsidR="00AC40A8" w:rsidRPr="00D329A1" w:rsidRDefault="00AC40A8" w:rsidP="00822DE7">
      <w:pPr>
        <w:numPr>
          <w:ilvl w:val="0"/>
          <w:numId w:val="33"/>
        </w:numPr>
        <w:ind w:left="360"/>
        <w:rPr>
          <w:b/>
        </w:rPr>
      </w:pPr>
      <w:r w:rsidRPr="00D329A1">
        <w:rPr>
          <w:b/>
        </w:rPr>
        <w:t>Indicate whether or not the following features are characteristic of SIMPLE IRAs:</w:t>
      </w:r>
    </w:p>
    <w:p w14:paraId="4143C578" w14:textId="77777777" w:rsidR="00AC40A8" w:rsidRPr="0009694E" w:rsidRDefault="00AC40A8" w:rsidP="00410398">
      <w:pPr>
        <w:ind w:left="360"/>
        <w:rPr>
          <w:b/>
        </w:rPr>
      </w:pPr>
      <w:r w:rsidRPr="0009694E">
        <w:rPr>
          <w:b/>
        </w:rPr>
        <w:t>If the employee is making a contribution, the company must make a contribution of some type in that year, regardless of the funding method being used by the company.</w:t>
      </w:r>
    </w:p>
    <w:p w14:paraId="5FFB5AE4" w14:textId="77777777" w:rsidR="00AC40A8" w:rsidRPr="00F37122" w:rsidRDefault="00AC40A8" w:rsidP="00822DE7">
      <w:pPr>
        <w:numPr>
          <w:ilvl w:val="0"/>
          <w:numId w:val="34"/>
        </w:numPr>
      </w:pPr>
      <w:r w:rsidRPr="00052B88">
        <w:rPr>
          <w:rStyle w:val="Strong"/>
        </w:rPr>
        <w:t>True</w:t>
      </w:r>
    </w:p>
    <w:p w14:paraId="48DAD5E9" w14:textId="77777777" w:rsidR="00AC40A8" w:rsidRPr="00F37122" w:rsidRDefault="00AC40A8" w:rsidP="00410398">
      <w:pPr>
        <w:pStyle w:val="ReviewAnswer"/>
        <w:rPr>
          <w:color w:val="000000"/>
        </w:rPr>
      </w:pPr>
      <w:r w:rsidRPr="00DE524C">
        <w:rPr>
          <w:rStyle w:val="Strong"/>
        </w:rPr>
        <w:t>Correct</w:t>
      </w:r>
      <w:r w:rsidRPr="00F37122">
        <w:t>. The employer can either contribute a fixed 2% for all eligible employees, or match up to 3% of employee contributions. Therefore, if the employee is making a contribution, either methodology requires a contribution by the employer.</w:t>
      </w:r>
    </w:p>
    <w:p w14:paraId="0E4D39DE" w14:textId="77777777" w:rsidR="00AC40A8" w:rsidRPr="00F37122" w:rsidRDefault="00AC40A8" w:rsidP="00822DE7">
      <w:pPr>
        <w:numPr>
          <w:ilvl w:val="0"/>
          <w:numId w:val="34"/>
        </w:numPr>
      </w:pPr>
      <w:r w:rsidRPr="00F37122">
        <w:t>False</w:t>
      </w:r>
    </w:p>
    <w:p w14:paraId="43B1B48B" w14:textId="77777777" w:rsidR="00AC40A8" w:rsidRDefault="00AC40A8" w:rsidP="00410398">
      <w:pPr>
        <w:pStyle w:val="ReviewAnswer"/>
      </w:pPr>
      <w:r w:rsidRPr="00DE524C">
        <w:rPr>
          <w:rStyle w:val="Strong"/>
        </w:rPr>
        <w:lastRenderedPageBreak/>
        <w:t>Incorrect</w:t>
      </w:r>
      <w:r w:rsidRPr="00F37122">
        <w:t>. The employer can either contribute a fixed 2% for all eligible employees, or match up to 3% of employee contributions. Therefore, if the employee is making a contribution, either methodology requires a contribution by the employer.</w:t>
      </w:r>
    </w:p>
    <w:p w14:paraId="1368097F" w14:textId="77777777" w:rsidR="00AC40A8" w:rsidRPr="0009694E" w:rsidRDefault="00AC40A8" w:rsidP="00410398">
      <w:pPr>
        <w:ind w:left="360"/>
        <w:rPr>
          <w:b/>
        </w:rPr>
      </w:pPr>
      <w:r w:rsidRPr="0009694E">
        <w:rPr>
          <w:b/>
        </w:rPr>
        <w:t>All eligible employees must be covered.</w:t>
      </w:r>
    </w:p>
    <w:p w14:paraId="19410E2D" w14:textId="77777777" w:rsidR="00AC40A8" w:rsidRPr="00F37122" w:rsidRDefault="00AC40A8" w:rsidP="00822DE7">
      <w:pPr>
        <w:numPr>
          <w:ilvl w:val="0"/>
          <w:numId w:val="34"/>
        </w:numPr>
      </w:pPr>
      <w:r w:rsidRPr="00052B88">
        <w:rPr>
          <w:rStyle w:val="Strong"/>
        </w:rPr>
        <w:t>True</w:t>
      </w:r>
    </w:p>
    <w:p w14:paraId="6FC9A14C" w14:textId="77777777" w:rsidR="00AC40A8" w:rsidRPr="00E569EB" w:rsidRDefault="00AC40A8" w:rsidP="00410398">
      <w:pPr>
        <w:pStyle w:val="ReviewAnswer"/>
      </w:pPr>
      <w:r w:rsidRPr="000D00BC">
        <w:rPr>
          <w:rStyle w:val="Strong"/>
        </w:rPr>
        <w:t>Correct</w:t>
      </w:r>
      <w:r w:rsidRPr="00F37122">
        <w:t>.</w:t>
      </w:r>
    </w:p>
    <w:p w14:paraId="253DCF5B" w14:textId="77777777" w:rsidR="00AC40A8" w:rsidRPr="00F37122" w:rsidRDefault="00AC40A8" w:rsidP="00822DE7">
      <w:pPr>
        <w:numPr>
          <w:ilvl w:val="0"/>
          <w:numId w:val="34"/>
        </w:numPr>
      </w:pPr>
      <w:r w:rsidRPr="00F37122">
        <w:t>False</w:t>
      </w:r>
    </w:p>
    <w:p w14:paraId="4F489B84" w14:textId="77777777" w:rsidR="00AC40A8" w:rsidRPr="00F37122" w:rsidRDefault="00AC40A8" w:rsidP="00410398">
      <w:pPr>
        <w:pStyle w:val="ReviewAnswer"/>
      </w:pPr>
      <w:r w:rsidRPr="000D00BC">
        <w:rPr>
          <w:rStyle w:val="Strong"/>
        </w:rPr>
        <w:t>Incorrect</w:t>
      </w:r>
      <w:r w:rsidRPr="00F37122">
        <w:t>.  Try again.</w:t>
      </w:r>
    </w:p>
    <w:p w14:paraId="2F82FF68" w14:textId="77777777" w:rsidR="00AC40A8" w:rsidRPr="0009694E" w:rsidRDefault="00AC40A8" w:rsidP="00410398">
      <w:pPr>
        <w:ind w:left="360"/>
        <w:rPr>
          <w:b/>
        </w:rPr>
      </w:pPr>
      <w:r w:rsidRPr="0009694E">
        <w:rPr>
          <w:b/>
        </w:rPr>
        <w:t>New Plans may include a salary reduction arrangement.</w:t>
      </w:r>
    </w:p>
    <w:p w14:paraId="4F8CF433" w14:textId="77777777" w:rsidR="00AC40A8" w:rsidRPr="009E4CF9" w:rsidRDefault="00AC40A8" w:rsidP="00822DE7">
      <w:pPr>
        <w:numPr>
          <w:ilvl w:val="0"/>
          <w:numId w:val="34"/>
        </w:numPr>
      </w:pPr>
      <w:r w:rsidRPr="00052B88">
        <w:rPr>
          <w:rStyle w:val="Strong"/>
        </w:rPr>
        <w:t>True</w:t>
      </w:r>
    </w:p>
    <w:p w14:paraId="6D8123F0" w14:textId="77777777" w:rsidR="00AC40A8" w:rsidRPr="009E4CF9" w:rsidRDefault="00AC40A8" w:rsidP="00410398">
      <w:pPr>
        <w:pStyle w:val="ReviewAnswer"/>
      </w:pPr>
      <w:r w:rsidRPr="009E4CF9">
        <w:rPr>
          <w:rStyle w:val="Strong"/>
        </w:rPr>
        <w:t>Correct</w:t>
      </w:r>
      <w:r w:rsidRPr="009E4CF9">
        <w:t>. A SIMPLE IRA is essentially a salary reduction agreement that allows the employee to reduce compensation and directs the employer to contribute the deferred compensation into the employee's IRA account.</w:t>
      </w:r>
    </w:p>
    <w:p w14:paraId="0E4C9F1C" w14:textId="77777777" w:rsidR="00AC40A8" w:rsidRPr="009E4CF9" w:rsidRDefault="00AC40A8" w:rsidP="00822DE7">
      <w:pPr>
        <w:numPr>
          <w:ilvl w:val="0"/>
          <w:numId w:val="34"/>
        </w:numPr>
      </w:pPr>
      <w:r w:rsidRPr="009E4CF9">
        <w:t>False</w:t>
      </w:r>
    </w:p>
    <w:p w14:paraId="2C809E75" w14:textId="77777777" w:rsidR="00AC40A8" w:rsidRPr="009E4CF9" w:rsidRDefault="00AC40A8" w:rsidP="00410398">
      <w:pPr>
        <w:pStyle w:val="ReviewAnswer"/>
      </w:pPr>
      <w:r w:rsidRPr="009E4CF9">
        <w:rPr>
          <w:rStyle w:val="Strong"/>
        </w:rPr>
        <w:t>Incorrect</w:t>
      </w:r>
      <w:r w:rsidRPr="009E4CF9">
        <w:t>. A SIMPLE IRA is essentially a salary reduction agreement that allows the employee to reduce compensation and directs the employer to contribute the deferred compensation into the employee's IRA account.</w:t>
      </w:r>
    </w:p>
    <w:p w14:paraId="5D4BCB90" w14:textId="63369B41" w:rsidR="00AC40A8" w:rsidRPr="0009694E" w:rsidRDefault="00AC40A8" w:rsidP="00410398">
      <w:pPr>
        <w:ind w:left="360"/>
        <w:rPr>
          <w:b/>
        </w:rPr>
      </w:pPr>
      <w:r w:rsidRPr="0009694E">
        <w:rPr>
          <w:b/>
        </w:rPr>
        <w:t xml:space="preserve">For </w:t>
      </w:r>
      <w:r w:rsidR="002D2503">
        <w:rPr>
          <w:b/>
        </w:rPr>
        <w:t>2016</w:t>
      </w:r>
      <w:r w:rsidRPr="0009694E">
        <w:rPr>
          <w:b/>
        </w:rPr>
        <w:t>, the maximum elective deferral for employees under the age of 50 is $5,</w:t>
      </w:r>
      <w:r>
        <w:rPr>
          <w:b/>
        </w:rPr>
        <w:t>5</w:t>
      </w:r>
      <w:r w:rsidRPr="0009694E">
        <w:rPr>
          <w:b/>
        </w:rPr>
        <w:t>00.</w:t>
      </w:r>
    </w:p>
    <w:p w14:paraId="3FCD4414" w14:textId="77777777" w:rsidR="00AC40A8" w:rsidRPr="00F37122" w:rsidRDefault="00AC40A8" w:rsidP="00822DE7">
      <w:pPr>
        <w:numPr>
          <w:ilvl w:val="0"/>
          <w:numId w:val="34"/>
        </w:numPr>
      </w:pPr>
      <w:r w:rsidRPr="00F37122">
        <w:t>True</w:t>
      </w:r>
    </w:p>
    <w:p w14:paraId="40B99B44" w14:textId="40EEFE5B" w:rsidR="00AC40A8" w:rsidRPr="00F37122" w:rsidRDefault="00AC40A8" w:rsidP="00410398">
      <w:pPr>
        <w:pStyle w:val="ReviewAnswer"/>
        <w:rPr>
          <w:color w:val="000000"/>
        </w:rPr>
      </w:pPr>
      <w:r w:rsidRPr="00D31B7D">
        <w:rPr>
          <w:rStyle w:val="Strong"/>
        </w:rPr>
        <w:t>Incorrect</w:t>
      </w:r>
      <w:r w:rsidRPr="00F37122">
        <w:t xml:space="preserve">. For </w:t>
      </w:r>
      <w:r w:rsidR="002D2503">
        <w:t>2016</w:t>
      </w:r>
      <w:r>
        <w:t xml:space="preserve">, </w:t>
      </w:r>
      <w:r w:rsidRPr="00F37122">
        <w:t>the maximum elective deferral for employees under the age of 50 is $1</w:t>
      </w:r>
      <w:r>
        <w:t>2</w:t>
      </w:r>
      <w:r w:rsidRPr="00F37122">
        <w:t>,</w:t>
      </w:r>
      <w:r w:rsidR="008609B6">
        <w:t>5</w:t>
      </w:r>
      <w:r w:rsidRPr="00F37122">
        <w:t>00. An additional $</w:t>
      </w:r>
      <w:r w:rsidR="008609B6">
        <w:t>3</w:t>
      </w:r>
      <w:r w:rsidRPr="00F37122">
        <w:t>,</w:t>
      </w:r>
      <w:r w:rsidR="008609B6">
        <w:t>0</w:t>
      </w:r>
      <w:r w:rsidR="008609B6" w:rsidRPr="00F37122">
        <w:t xml:space="preserve">00 </w:t>
      </w:r>
      <w:r w:rsidRPr="00F37122">
        <w:t>is allowed for employees who are 50 years of age or over.</w:t>
      </w:r>
    </w:p>
    <w:p w14:paraId="2B865E0A" w14:textId="77777777" w:rsidR="00AC40A8" w:rsidRPr="00F37122" w:rsidRDefault="00AC40A8" w:rsidP="00822DE7">
      <w:pPr>
        <w:numPr>
          <w:ilvl w:val="0"/>
          <w:numId w:val="34"/>
        </w:numPr>
      </w:pPr>
      <w:r w:rsidRPr="00052B88">
        <w:rPr>
          <w:rStyle w:val="Strong"/>
        </w:rPr>
        <w:t>False</w:t>
      </w:r>
    </w:p>
    <w:p w14:paraId="7286C0D6" w14:textId="2BA0B88F" w:rsidR="008609B6" w:rsidRPr="00F37122" w:rsidRDefault="00AC40A8" w:rsidP="008609B6">
      <w:pPr>
        <w:pStyle w:val="ReviewAnswer"/>
        <w:rPr>
          <w:color w:val="000000"/>
        </w:rPr>
      </w:pPr>
      <w:r w:rsidRPr="00D31B7D">
        <w:rPr>
          <w:rStyle w:val="Strong"/>
        </w:rPr>
        <w:t>Correct</w:t>
      </w:r>
      <w:r w:rsidRPr="00F37122">
        <w:t xml:space="preserve">. </w:t>
      </w:r>
      <w:r w:rsidR="008609B6" w:rsidRPr="00F37122">
        <w:t xml:space="preserve">For </w:t>
      </w:r>
      <w:r w:rsidR="002D2503">
        <w:t>2016</w:t>
      </w:r>
      <w:r w:rsidR="008609B6">
        <w:t xml:space="preserve">, </w:t>
      </w:r>
      <w:r w:rsidR="008609B6" w:rsidRPr="00F37122">
        <w:t>the maximum elective deferral for employees under the age of 50 is $1</w:t>
      </w:r>
      <w:r w:rsidR="008609B6">
        <w:t>2</w:t>
      </w:r>
      <w:r w:rsidR="008609B6" w:rsidRPr="00F37122">
        <w:t>,</w:t>
      </w:r>
      <w:r w:rsidR="008609B6">
        <w:t>5</w:t>
      </w:r>
      <w:r w:rsidR="008609B6" w:rsidRPr="00F37122">
        <w:t>00. An additional $</w:t>
      </w:r>
      <w:r w:rsidR="008609B6">
        <w:t>3</w:t>
      </w:r>
      <w:r w:rsidR="008609B6" w:rsidRPr="00F37122">
        <w:t>,</w:t>
      </w:r>
      <w:r w:rsidR="008609B6">
        <w:t>0</w:t>
      </w:r>
      <w:r w:rsidR="008609B6" w:rsidRPr="00F37122">
        <w:t>00 is allowed for employees who are 50 years of age or over.</w:t>
      </w:r>
    </w:p>
    <w:p w14:paraId="5CD27368" w14:textId="0664C6F9" w:rsidR="00A54F77" w:rsidRDefault="00A54F77" w:rsidP="001F3D42">
      <w:pPr>
        <w:pStyle w:val="ReviewAnswer"/>
        <w:rPr>
          <w:rStyle w:val="Strong"/>
          <w:color w:val="000000"/>
        </w:rPr>
      </w:pPr>
    </w:p>
    <w:p w14:paraId="10A24B74" w14:textId="77777777" w:rsidR="00A54F77" w:rsidRDefault="00A54F77" w:rsidP="001F3D42">
      <w:pPr>
        <w:rPr>
          <w:rFonts w:eastAsia="Arial Unicode MS"/>
        </w:rPr>
      </w:pPr>
    </w:p>
    <w:p w14:paraId="3D355F7B" w14:textId="77777777" w:rsidR="00A54F77" w:rsidRPr="000641C4" w:rsidRDefault="00A54F77" w:rsidP="001F3D42">
      <w:pPr>
        <w:rPr>
          <w:rFonts w:eastAsia="Arial Unicode MS"/>
        </w:rPr>
      </w:pPr>
    </w:p>
    <w:p w14:paraId="1B5A0BBF" w14:textId="70A586F7" w:rsidR="00265D14" w:rsidRDefault="00AC40A8" w:rsidP="00662C7F">
      <w:pPr>
        <w:pStyle w:val="Heading2"/>
      </w:pPr>
      <w:r>
        <w:br w:type="page"/>
      </w:r>
    </w:p>
    <w:p w14:paraId="2F74DCE8" w14:textId="77777777" w:rsidR="00481D0C" w:rsidRDefault="00E2365D" w:rsidP="005B2837">
      <w:pPr>
        <w:pStyle w:val="Heading2"/>
      </w:pPr>
      <w:r>
        <w:lastRenderedPageBreak/>
        <w:t xml:space="preserve">Government Sponsored IRA - </w:t>
      </w:r>
      <w:proofErr w:type="spellStart"/>
      <w:r w:rsidRPr="00B552EA">
        <w:rPr>
          <w:i/>
        </w:rPr>
        <w:t>my</w:t>
      </w:r>
      <w:r w:rsidRPr="00AB741B">
        <w:t>RA</w:t>
      </w:r>
      <w:proofErr w:type="spellEnd"/>
      <w:r w:rsidRPr="00B552EA">
        <w:rPr>
          <w:i/>
        </w:rPr>
        <w:t xml:space="preserve"> | my </w:t>
      </w:r>
      <w:r w:rsidRPr="00B552EA">
        <w:t>Retirement</w:t>
      </w:r>
    </w:p>
    <w:p w14:paraId="6169DB23" w14:textId="03DD6C3A" w:rsidR="00E2365D" w:rsidRDefault="00E2365D" w:rsidP="005B2837">
      <w:pPr>
        <w:rPr>
          <w:rStyle w:val="ObjectivesChar"/>
        </w:rPr>
      </w:pPr>
    </w:p>
    <w:tbl>
      <w:tblPr>
        <w:tblW w:w="9920" w:type="dxa"/>
        <w:tblInd w:w="115" w:type="dxa"/>
        <w:tblBorders>
          <w:top w:val="single" w:sz="6" w:space="0" w:color="444444"/>
          <w:left w:val="single" w:sz="6" w:space="0" w:color="444444"/>
          <w:bottom w:val="single" w:sz="6" w:space="0" w:color="444444"/>
          <w:right w:val="single" w:sz="6" w:space="0" w:color="444444"/>
          <w:insideH w:val="single" w:sz="6" w:space="0" w:color="444444"/>
          <w:insideV w:val="single" w:sz="6" w:space="0" w:color="444444"/>
        </w:tblBorders>
        <w:tblCellMar>
          <w:top w:w="72" w:type="dxa"/>
          <w:left w:w="115" w:type="dxa"/>
          <w:bottom w:w="72" w:type="dxa"/>
          <w:right w:w="115" w:type="dxa"/>
        </w:tblCellMar>
        <w:tblLook w:val="01E0" w:firstRow="1" w:lastRow="1" w:firstColumn="1" w:lastColumn="1" w:noHBand="0" w:noVBand="0"/>
      </w:tblPr>
      <w:tblGrid>
        <w:gridCol w:w="1742"/>
        <w:gridCol w:w="8178"/>
      </w:tblGrid>
      <w:tr w:rsidR="00E2365D" w:rsidRPr="00396697" w14:paraId="1D55CBF2" w14:textId="77777777" w:rsidTr="005B2837">
        <w:tc>
          <w:tcPr>
            <w:tcW w:w="1742" w:type="dxa"/>
            <w:tcMar>
              <w:top w:w="72" w:type="dxa"/>
              <w:bottom w:w="72" w:type="dxa"/>
            </w:tcMar>
          </w:tcPr>
          <w:p w14:paraId="3508C334" w14:textId="77777777" w:rsidR="00E2365D" w:rsidRPr="00396697" w:rsidRDefault="00E2365D" w:rsidP="00E2365D">
            <w:pPr>
              <w:rPr>
                <w:rFonts w:ascii="Arial" w:hAnsi="Arial"/>
                <w:b/>
              </w:rPr>
            </w:pPr>
            <w:r w:rsidRPr="00396697">
              <w:rPr>
                <w:rFonts w:ascii="Arial" w:hAnsi="Arial"/>
                <w:b/>
              </w:rPr>
              <w:t>Overview</w:t>
            </w:r>
          </w:p>
          <w:p w14:paraId="2C35748A" w14:textId="77777777" w:rsidR="00E2365D" w:rsidRPr="00396697" w:rsidRDefault="00E2365D" w:rsidP="00E2365D">
            <w:pPr>
              <w:rPr>
                <w:rFonts w:ascii="Arial" w:hAnsi="Arial"/>
                <w:b/>
              </w:rPr>
            </w:pPr>
          </w:p>
        </w:tc>
        <w:tc>
          <w:tcPr>
            <w:tcW w:w="8178" w:type="dxa"/>
            <w:tcMar>
              <w:top w:w="72" w:type="dxa"/>
              <w:bottom w:w="72" w:type="dxa"/>
            </w:tcMar>
          </w:tcPr>
          <w:p w14:paraId="54363067" w14:textId="77777777" w:rsidR="00E2365D" w:rsidRDefault="00E2365D" w:rsidP="00E2365D">
            <w:r>
              <w:t>The National Institute on Retirement Security, in its June 2013 report entitled “</w:t>
            </w:r>
            <w:r>
              <w:rPr>
                <w:i/>
              </w:rPr>
              <w:t xml:space="preserve">The Retirement Savings Crisis: Is It Worse Than We Think?” </w:t>
            </w:r>
            <w:r>
              <w:t>reveals that only about 45% of the households in the United States own retirement account assets.</w:t>
            </w:r>
          </w:p>
          <w:p w14:paraId="3DEBB2F7" w14:textId="573FF2E6" w:rsidR="00E2365D" w:rsidRPr="00AB741B" w:rsidRDefault="00E2365D" w:rsidP="00E2365D">
            <w:r>
              <w:t>The “</w:t>
            </w:r>
            <w:proofErr w:type="spellStart"/>
            <w:r w:rsidRPr="00B552EA">
              <w:t>my</w:t>
            </w:r>
            <w:r>
              <w:t>RA</w:t>
            </w:r>
            <w:proofErr w:type="spellEnd"/>
            <w:r>
              <w:t xml:space="preserve">” is a U.S. government Roth IRA intended to promote retirement savings among those with no retirement savings. Think of </w:t>
            </w:r>
            <w:proofErr w:type="spellStart"/>
            <w:r>
              <w:rPr>
                <w:i/>
              </w:rPr>
              <w:t>my</w:t>
            </w:r>
            <w:r>
              <w:t>RA</w:t>
            </w:r>
            <w:proofErr w:type="spellEnd"/>
            <w:r>
              <w:t xml:space="preserve"> as a “starter Roth IRA</w:t>
            </w:r>
            <w:r w:rsidR="001A0C58">
              <w:t>.</w:t>
            </w:r>
            <w:r>
              <w:t xml:space="preserve">” The program is open to all taxpayers meeting Roth IRA eligibility requirements (discussed previously in this course). </w:t>
            </w:r>
          </w:p>
          <w:p w14:paraId="7E65AAC9" w14:textId="664D5788" w:rsidR="00E2365D" w:rsidRPr="00396697" w:rsidRDefault="009D7531">
            <w:pPr>
              <w:rPr>
                <w:rFonts w:ascii="Arial" w:hAnsi="Arial"/>
              </w:rPr>
            </w:pPr>
            <w:r>
              <w:t xml:space="preserve">Roth IRA rules generally </w:t>
            </w:r>
            <w:r w:rsidR="00805162">
              <w:t xml:space="preserve">apply </w:t>
            </w:r>
            <w:r>
              <w:t xml:space="preserve">with certain exceptions. </w:t>
            </w:r>
            <w:r w:rsidRPr="005B2837">
              <w:rPr>
                <w:b/>
                <w:color w:val="FF0000"/>
              </w:rPr>
              <w:t>Click on each of the following to learn more</w:t>
            </w:r>
            <w:r w:rsidRPr="005B2837">
              <w:rPr>
                <w:color w:val="FF0000"/>
              </w:rPr>
              <w:t>:</w:t>
            </w:r>
          </w:p>
        </w:tc>
      </w:tr>
      <w:tr w:rsidR="00E2365D" w:rsidRPr="00396697" w14:paraId="14679A2C" w14:textId="77777777" w:rsidTr="005B2837">
        <w:tc>
          <w:tcPr>
            <w:tcW w:w="1742" w:type="dxa"/>
            <w:shd w:val="clear" w:color="auto" w:fill="6CA8CD"/>
            <w:tcMar>
              <w:top w:w="72" w:type="dxa"/>
              <w:bottom w:w="72" w:type="dxa"/>
            </w:tcMar>
          </w:tcPr>
          <w:p w14:paraId="7F7DBE2E" w14:textId="3A208569" w:rsidR="00E2365D" w:rsidRPr="00396697" w:rsidRDefault="00E2365D" w:rsidP="00E2365D">
            <w:pPr>
              <w:rPr>
                <w:rFonts w:ascii="Arial" w:hAnsi="Arial"/>
                <w:b/>
              </w:rPr>
            </w:pPr>
            <w:r>
              <w:rPr>
                <w:rFonts w:ascii="Arial" w:hAnsi="Arial"/>
                <w:b/>
              </w:rPr>
              <w:t>Investment Choice is Limited</w:t>
            </w:r>
          </w:p>
        </w:tc>
        <w:tc>
          <w:tcPr>
            <w:tcW w:w="8178" w:type="dxa"/>
            <w:tcMar>
              <w:top w:w="72" w:type="dxa"/>
              <w:bottom w:w="72" w:type="dxa"/>
            </w:tcMar>
          </w:tcPr>
          <w:p w14:paraId="5EDE51BD" w14:textId="7B070B23" w:rsidR="00B83369" w:rsidRDefault="00B83369" w:rsidP="001A0C58">
            <w:pPr>
              <w:widowControl w:val="0"/>
              <w:autoSpaceDE w:val="0"/>
              <w:autoSpaceDN w:val="0"/>
              <w:adjustRightInd w:val="0"/>
              <w:spacing w:before="0" w:after="0"/>
            </w:pPr>
            <w:r>
              <w:t>In 1909</w:t>
            </w:r>
            <w:r w:rsidR="00481D0C">
              <w:t>,</w:t>
            </w:r>
            <w:r>
              <w:t xml:space="preserve"> Henry Ford </w:t>
            </w:r>
            <w:r w:rsidR="00132D8D">
              <w:t xml:space="preserve">said of his Ford Model T automobile, </w:t>
            </w:r>
            <w:r w:rsidR="00132D8D" w:rsidRPr="00132D8D">
              <w:t>“</w:t>
            </w:r>
            <w:r w:rsidR="00132D8D" w:rsidRPr="005B2837">
              <w:rPr>
                <w:bCs/>
                <w:color w:val="575757"/>
              </w:rPr>
              <w:t>Any</w:t>
            </w:r>
            <w:r w:rsidR="00132D8D" w:rsidRPr="005B2837">
              <w:rPr>
                <w:color w:val="424242"/>
              </w:rPr>
              <w:t xml:space="preserve"> customer </w:t>
            </w:r>
            <w:r w:rsidR="00132D8D" w:rsidRPr="005B2837">
              <w:rPr>
                <w:bCs/>
                <w:color w:val="575757"/>
              </w:rPr>
              <w:t>can have</w:t>
            </w:r>
            <w:r w:rsidR="00132D8D" w:rsidRPr="005B2837">
              <w:rPr>
                <w:color w:val="424242"/>
              </w:rPr>
              <w:t xml:space="preserve"> a car painted </w:t>
            </w:r>
            <w:r w:rsidR="00C713F9">
              <w:rPr>
                <w:bCs/>
                <w:color w:val="575757"/>
              </w:rPr>
              <w:t>any colo</w:t>
            </w:r>
            <w:r w:rsidR="00132D8D" w:rsidRPr="005B2837">
              <w:rPr>
                <w:bCs/>
                <w:color w:val="575757"/>
              </w:rPr>
              <w:t>r</w:t>
            </w:r>
            <w:r w:rsidR="00132D8D" w:rsidRPr="005B2837">
              <w:rPr>
                <w:color w:val="424242"/>
              </w:rPr>
              <w:t xml:space="preserve"> that he </w:t>
            </w:r>
            <w:r w:rsidR="00132D8D" w:rsidRPr="005B2837">
              <w:rPr>
                <w:bCs/>
                <w:color w:val="575757"/>
              </w:rPr>
              <w:t>wants</w:t>
            </w:r>
            <w:r w:rsidR="00132D8D" w:rsidRPr="005B2837">
              <w:rPr>
                <w:color w:val="424242"/>
              </w:rPr>
              <w:t xml:space="preserve">, so </w:t>
            </w:r>
            <w:r w:rsidR="00132D8D" w:rsidRPr="005B2837">
              <w:rPr>
                <w:bCs/>
                <w:color w:val="575757"/>
              </w:rPr>
              <w:t>long</w:t>
            </w:r>
            <w:r w:rsidR="00132D8D" w:rsidRPr="005B2837">
              <w:rPr>
                <w:color w:val="424242"/>
              </w:rPr>
              <w:t xml:space="preserve"> as it is </w:t>
            </w:r>
            <w:r w:rsidR="00132D8D" w:rsidRPr="005B2837">
              <w:rPr>
                <w:bCs/>
                <w:color w:val="575757"/>
              </w:rPr>
              <w:t>black</w:t>
            </w:r>
            <w:r w:rsidR="00132D8D" w:rsidRPr="00B83369">
              <w:t>.”</w:t>
            </w:r>
            <w:r w:rsidR="00132D8D" w:rsidRPr="00132D8D">
              <w:t xml:space="preserve"> </w:t>
            </w:r>
          </w:p>
          <w:p w14:paraId="093BE34F" w14:textId="77777777" w:rsidR="00C713F9" w:rsidRDefault="00C713F9" w:rsidP="001A0C58">
            <w:pPr>
              <w:widowControl w:val="0"/>
              <w:autoSpaceDE w:val="0"/>
              <w:autoSpaceDN w:val="0"/>
              <w:adjustRightInd w:val="0"/>
              <w:spacing w:before="0" w:after="0"/>
            </w:pPr>
          </w:p>
          <w:p w14:paraId="217D8B00" w14:textId="60294857" w:rsidR="00B83369" w:rsidRDefault="00B83369" w:rsidP="001A0C58">
            <w:pPr>
              <w:widowControl w:val="0"/>
              <w:autoSpaceDE w:val="0"/>
              <w:autoSpaceDN w:val="0"/>
              <w:adjustRightInd w:val="0"/>
              <w:spacing w:before="0" w:after="0"/>
            </w:pPr>
            <w:r>
              <w:t xml:space="preserve">The </w:t>
            </w:r>
            <w:r w:rsidR="00481D0C">
              <w:t>f</w:t>
            </w:r>
            <w:r>
              <w:t xml:space="preserve">ederal government may have been channeling the famous automaker when it decided to limit the investment choice </w:t>
            </w:r>
            <w:r w:rsidR="00C713F9">
              <w:t xml:space="preserve">in </w:t>
            </w:r>
            <w:proofErr w:type="spellStart"/>
            <w:r w:rsidR="00C713F9" w:rsidRPr="00EF3226">
              <w:t>my</w:t>
            </w:r>
            <w:r w:rsidR="00C713F9">
              <w:t>RA</w:t>
            </w:r>
            <w:proofErr w:type="spellEnd"/>
            <w:r w:rsidR="00C713F9">
              <w:t xml:space="preserve"> </w:t>
            </w:r>
            <w:r>
              <w:t>to one</w:t>
            </w:r>
            <w:r w:rsidR="00481D0C">
              <w:t xml:space="preserve"> - </w:t>
            </w:r>
            <w:r>
              <w:t xml:space="preserve">only a </w:t>
            </w:r>
            <w:r w:rsidR="00481D0C">
              <w:rPr>
                <w:rStyle w:val="Hyperlink"/>
              </w:rPr>
              <w:t>S</w:t>
            </w:r>
            <w:r w:rsidRPr="005B2837">
              <w:rPr>
                <w:rStyle w:val="Hyperlink"/>
              </w:rPr>
              <w:t>pecialized Treasury Bond</w:t>
            </w:r>
            <w:r>
              <w:t xml:space="preserve"> may be purchased. </w:t>
            </w:r>
          </w:p>
          <w:p w14:paraId="13223D1C" w14:textId="77777777" w:rsidR="00C713F9" w:rsidRDefault="00C713F9" w:rsidP="001A0C58">
            <w:pPr>
              <w:widowControl w:val="0"/>
              <w:autoSpaceDE w:val="0"/>
              <w:autoSpaceDN w:val="0"/>
              <w:adjustRightInd w:val="0"/>
              <w:spacing w:before="0" w:after="0"/>
            </w:pPr>
          </w:p>
          <w:p w14:paraId="238F2175" w14:textId="6E7737D6" w:rsidR="00C713F9" w:rsidRDefault="00C713F9" w:rsidP="001A0C58">
            <w:pPr>
              <w:widowControl w:val="0"/>
              <w:autoSpaceDE w:val="0"/>
              <w:autoSpaceDN w:val="0"/>
              <w:adjustRightInd w:val="0"/>
              <w:spacing w:before="0" w:after="0"/>
            </w:pPr>
            <w:r>
              <w:t xml:space="preserve">The bonds are purchased directly from U.S. Treasury through payroll deduction from employee paychecks. </w:t>
            </w:r>
          </w:p>
          <w:p w14:paraId="32590D09" w14:textId="77777777" w:rsidR="00B65ED3" w:rsidRDefault="00B65ED3" w:rsidP="00B65ED3"/>
          <w:tbl>
            <w:tblPr>
              <w:tblW w:w="720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200"/>
            </w:tblGrid>
            <w:tr w:rsidR="00B65ED3" w:rsidRPr="0028324A" w14:paraId="670FCE54" w14:textId="77777777" w:rsidTr="005B2837">
              <w:trPr>
                <w:trHeight w:val="1223"/>
              </w:trPr>
              <w:tc>
                <w:tcPr>
                  <w:tcW w:w="8894" w:type="dxa"/>
                  <w:shd w:val="clear" w:color="auto" w:fill="D9D9D9"/>
                </w:tcPr>
                <w:p w14:paraId="1D55E7EA" w14:textId="5AEC6F84" w:rsidR="00B65ED3" w:rsidRPr="00813D5C" w:rsidRDefault="00B65ED3" w:rsidP="00B65ED3">
                  <w:r>
                    <w:rPr>
                      <w:rStyle w:val="Hyperlink"/>
                      <w:u w:val="none"/>
                    </w:rPr>
                    <w:t>Specialized Treasury Bond</w:t>
                  </w:r>
                </w:p>
                <w:p w14:paraId="574D39B4" w14:textId="77777777" w:rsidR="00B65ED3" w:rsidRDefault="00B65ED3" w:rsidP="00B65ED3">
                  <w:pPr>
                    <w:widowControl w:val="0"/>
                    <w:autoSpaceDE w:val="0"/>
                    <w:autoSpaceDN w:val="0"/>
                    <w:adjustRightInd w:val="0"/>
                    <w:spacing w:before="0" w:after="0"/>
                    <w:rPr>
                      <w:rFonts w:cs="Times"/>
                      <w:color w:val="222C3E"/>
                    </w:rPr>
                  </w:pPr>
                  <w:r>
                    <w:t>According to the U.S. Treasury “</w:t>
                  </w:r>
                  <w:proofErr w:type="spellStart"/>
                  <w:r w:rsidRPr="005B2837">
                    <w:rPr>
                      <w:rFonts w:cs="Times"/>
                      <w:i/>
                      <w:iCs/>
                      <w:color w:val="222C3E"/>
                    </w:rPr>
                    <w:t>my</w:t>
                  </w:r>
                  <w:r w:rsidRPr="005B2837">
                    <w:rPr>
                      <w:rFonts w:cs="Times"/>
                      <w:color w:val="222C3E"/>
                    </w:rPr>
                    <w:t>RA</w:t>
                  </w:r>
                  <w:proofErr w:type="spellEnd"/>
                  <w:r w:rsidRPr="005B2837">
                    <w:rPr>
                      <w:rFonts w:cs="Times"/>
                      <w:color w:val="222C3E"/>
                    </w:rPr>
                    <w:t xml:space="preserve"> earns interest at the same rate as investments in the government securities fund available to federal employees.</w:t>
                  </w:r>
                  <w:r>
                    <w:rPr>
                      <w:rFonts w:cs="Times"/>
                      <w:color w:val="222C3E"/>
                    </w:rPr>
                    <w:t xml:space="preserve">” </w:t>
                  </w:r>
                </w:p>
                <w:p w14:paraId="765F9F12" w14:textId="77777777" w:rsidR="00B65ED3" w:rsidRDefault="00B65ED3" w:rsidP="00B65ED3">
                  <w:pPr>
                    <w:widowControl w:val="0"/>
                    <w:autoSpaceDE w:val="0"/>
                    <w:autoSpaceDN w:val="0"/>
                    <w:adjustRightInd w:val="0"/>
                    <w:spacing w:before="0" w:after="0"/>
                    <w:rPr>
                      <w:rFonts w:cs="Times"/>
                      <w:color w:val="222C3E"/>
                    </w:rPr>
                  </w:pPr>
                </w:p>
                <w:p w14:paraId="6E393630" w14:textId="77777777" w:rsidR="00C713F9" w:rsidRDefault="00B65ED3" w:rsidP="00B65ED3">
                  <w:pPr>
                    <w:widowControl w:val="0"/>
                    <w:autoSpaceDE w:val="0"/>
                    <w:autoSpaceDN w:val="0"/>
                    <w:adjustRightInd w:val="0"/>
                    <w:spacing w:before="0" w:after="0"/>
                  </w:pPr>
                  <w:r>
                    <w:rPr>
                      <w:rFonts w:cs="Times"/>
                      <w:color w:val="222C3E"/>
                    </w:rPr>
                    <w:t xml:space="preserve">The bonds used in </w:t>
                  </w:r>
                  <w:proofErr w:type="spellStart"/>
                  <w:r w:rsidRPr="00EF3226">
                    <w:rPr>
                      <w:rFonts w:cs="Times"/>
                      <w:i/>
                      <w:iCs/>
                      <w:color w:val="222C3E"/>
                    </w:rPr>
                    <w:t>my</w:t>
                  </w:r>
                  <w:r w:rsidRPr="00EF3226">
                    <w:rPr>
                      <w:rFonts w:cs="Times"/>
                      <w:color w:val="222C3E"/>
                    </w:rPr>
                    <w:t>RA</w:t>
                  </w:r>
                  <w:proofErr w:type="spellEnd"/>
                  <w:r w:rsidRPr="00EF3226">
                    <w:t xml:space="preserve"> </w:t>
                  </w:r>
                  <w:r>
                    <w:t xml:space="preserve">are </w:t>
                  </w:r>
                  <w:r w:rsidR="00C713F9">
                    <w:t>a new creation and are structured as follows:</w:t>
                  </w:r>
                </w:p>
                <w:p w14:paraId="0E7801EE" w14:textId="3CE1FABD" w:rsidR="00C713F9" w:rsidRDefault="00C713F9" w:rsidP="005B2837">
                  <w:pPr>
                    <w:pStyle w:val="ListParagraph"/>
                    <w:widowControl w:val="0"/>
                    <w:numPr>
                      <w:ilvl w:val="0"/>
                      <w:numId w:val="34"/>
                    </w:numPr>
                    <w:autoSpaceDE w:val="0"/>
                    <w:autoSpaceDN w:val="0"/>
                    <w:adjustRightInd w:val="0"/>
                    <w:spacing w:before="0" w:after="0"/>
                  </w:pPr>
                  <w:r>
                    <w:t xml:space="preserve">Nonmarketable (does not trade in the market, can only be </w:t>
                  </w:r>
                  <w:r w:rsidR="009D7531">
                    <w:t>redeemed</w:t>
                  </w:r>
                  <w:r>
                    <w:t xml:space="preserve"> by the Treasury)</w:t>
                  </w:r>
                </w:p>
                <w:p w14:paraId="5E1EB401" w14:textId="77777777" w:rsidR="00C713F9" w:rsidRDefault="00C713F9" w:rsidP="005B2837">
                  <w:pPr>
                    <w:pStyle w:val="ListParagraph"/>
                    <w:widowControl w:val="0"/>
                    <w:numPr>
                      <w:ilvl w:val="0"/>
                      <w:numId w:val="34"/>
                    </w:numPr>
                    <w:autoSpaceDE w:val="0"/>
                    <w:autoSpaceDN w:val="0"/>
                    <w:adjustRightInd w:val="0"/>
                    <w:spacing w:before="0" w:after="0"/>
                  </w:pPr>
                  <w:r>
                    <w:t>Principal is protected, the bonds are guaranteed by the U.S. Treasury</w:t>
                  </w:r>
                </w:p>
                <w:p w14:paraId="5FF5782A" w14:textId="64385401" w:rsidR="00B65ED3" w:rsidRPr="00502110" w:rsidRDefault="00C713F9" w:rsidP="005B2837">
                  <w:pPr>
                    <w:pStyle w:val="ListParagraph"/>
                    <w:widowControl w:val="0"/>
                    <w:numPr>
                      <w:ilvl w:val="0"/>
                      <w:numId w:val="34"/>
                    </w:numPr>
                    <w:autoSpaceDE w:val="0"/>
                    <w:autoSpaceDN w:val="0"/>
                    <w:adjustRightInd w:val="0"/>
                    <w:spacing w:before="0" w:after="0"/>
                    <w:rPr>
                      <w:b/>
                      <w:color w:val="4F81BD"/>
                      <w:u w:val="single"/>
                    </w:rPr>
                  </w:pPr>
                  <w:r>
                    <w:t xml:space="preserve">Interest is paid at a variable rate equal to the rate paid on </w:t>
                  </w:r>
                  <w:r w:rsidR="00B65ED3" w:rsidRPr="00EF3226">
                    <w:t xml:space="preserve">Thrift Savings Plan </w:t>
                  </w:r>
                  <w:r>
                    <w:t xml:space="preserve">(TSP) </w:t>
                  </w:r>
                  <w:r w:rsidR="00B65ED3" w:rsidRPr="00EF3226">
                    <w:t>Government Securities Investment Fund</w:t>
                  </w:r>
                  <w:r w:rsidR="00B65ED3">
                    <w:t xml:space="preserve"> bonds</w:t>
                  </w:r>
                  <w:r w:rsidR="00B65ED3" w:rsidRPr="00EF3226">
                    <w:t xml:space="preserve">. </w:t>
                  </w:r>
                  <w:r w:rsidR="00B65ED3">
                    <w:t xml:space="preserve"> </w:t>
                  </w:r>
                </w:p>
              </w:tc>
            </w:tr>
          </w:tbl>
          <w:p w14:paraId="15F5DE8E" w14:textId="6A2F76B7" w:rsidR="00E2365D" w:rsidRPr="00396697" w:rsidRDefault="00E2365D" w:rsidP="00E2365D">
            <w:pPr>
              <w:rPr>
                <w:rFonts w:ascii="Arial" w:hAnsi="Arial"/>
              </w:rPr>
            </w:pPr>
          </w:p>
        </w:tc>
      </w:tr>
      <w:tr w:rsidR="00E2365D" w:rsidRPr="00396697" w14:paraId="5FB3C56D" w14:textId="77777777" w:rsidTr="005B2837">
        <w:tc>
          <w:tcPr>
            <w:tcW w:w="1742" w:type="dxa"/>
            <w:shd w:val="clear" w:color="auto" w:fill="6CA8CD"/>
            <w:tcMar>
              <w:top w:w="72" w:type="dxa"/>
              <w:bottom w:w="72" w:type="dxa"/>
            </w:tcMar>
          </w:tcPr>
          <w:p w14:paraId="65924061" w14:textId="16745C8B" w:rsidR="00E2365D" w:rsidRPr="00396697" w:rsidRDefault="00C713F9" w:rsidP="00E2365D">
            <w:pPr>
              <w:rPr>
                <w:rFonts w:ascii="Arial" w:hAnsi="Arial"/>
                <w:b/>
              </w:rPr>
            </w:pPr>
            <w:r>
              <w:rPr>
                <w:rFonts w:ascii="Arial" w:hAnsi="Arial"/>
                <w:b/>
              </w:rPr>
              <w:t>Fees and Costs</w:t>
            </w:r>
          </w:p>
        </w:tc>
        <w:tc>
          <w:tcPr>
            <w:tcW w:w="8178" w:type="dxa"/>
            <w:tcMar>
              <w:top w:w="72" w:type="dxa"/>
              <w:bottom w:w="72" w:type="dxa"/>
            </w:tcMar>
          </w:tcPr>
          <w:p w14:paraId="42EED6D0" w14:textId="674D97A3" w:rsidR="00E2365D" w:rsidRPr="001A0C58" w:rsidRDefault="001A0C58" w:rsidP="005B2837">
            <w:r>
              <w:t>T</w:t>
            </w:r>
            <w:r w:rsidR="00C713F9">
              <w:t xml:space="preserve">here are no investment fees and no cost will be borne by the employer. </w:t>
            </w:r>
            <w:r>
              <w:t xml:space="preserve"> </w:t>
            </w:r>
            <w:r w:rsidR="00C713F9">
              <w:t xml:space="preserve">Employer matching is not required. </w:t>
            </w:r>
          </w:p>
        </w:tc>
      </w:tr>
      <w:tr w:rsidR="00E2365D" w:rsidRPr="00396697" w14:paraId="1EBAF686" w14:textId="77777777" w:rsidTr="005B2837">
        <w:tc>
          <w:tcPr>
            <w:tcW w:w="1742" w:type="dxa"/>
            <w:shd w:val="clear" w:color="auto" w:fill="6CA8CD"/>
            <w:tcMar>
              <w:top w:w="72" w:type="dxa"/>
              <w:bottom w:w="72" w:type="dxa"/>
            </w:tcMar>
          </w:tcPr>
          <w:p w14:paraId="0EA9CB9B" w14:textId="40BA9AE6" w:rsidR="00E2365D" w:rsidRPr="00396697" w:rsidRDefault="009D7531" w:rsidP="00E2365D">
            <w:pPr>
              <w:rPr>
                <w:rFonts w:ascii="Arial" w:hAnsi="Arial"/>
                <w:b/>
              </w:rPr>
            </w:pPr>
            <w:r>
              <w:rPr>
                <w:rFonts w:ascii="Arial" w:hAnsi="Arial"/>
                <w:b/>
              </w:rPr>
              <w:t>Transfer at $15,000</w:t>
            </w:r>
          </w:p>
        </w:tc>
        <w:tc>
          <w:tcPr>
            <w:tcW w:w="8178" w:type="dxa"/>
            <w:tcMar>
              <w:top w:w="72" w:type="dxa"/>
              <w:bottom w:w="72" w:type="dxa"/>
            </w:tcMar>
          </w:tcPr>
          <w:p w14:paraId="22F4A718" w14:textId="118B6562" w:rsidR="00E2365D" w:rsidRPr="00B2098F" w:rsidRDefault="00C713F9" w:rsidP="00E2365D">
            <w:pPr>
              <w:spacing w:before="0" w:after="0"/>
              <w:rPr>
                <w:rFonts w:ascii="Arial" w:hAnsi="Arial"/>
                <w:b/>
              </w:rPr>
            </w:pPr>
            <w:r>
              <w:t>The account must be transferred to a private sector Roth IRA when the account balance reaches $15,000 or after 30 years of participation.</w:t>
            </w:r>
          </w:p>
        </w:tc>
      </w:tr>
      <w:tr w:rsidR="00E2365D" w:rsidRPr="00396697" w14:paraId="797A4DC0" w14:textId="77777777" w:rsidTr="005B2837">
        <w:trPr>
          <w:trHeight w:val="966"/>
        </w:trPr>
        <w:tc>
          <w:tcPr>
            <w:tcW w:w="1742" w:type="dxa"/>
            <w:shd w:val="clear" w:color="auto" w:fill="6CA8CD"/>
            <w:tcMar>
              <w:top w:w="72" w:type="dxa"/>
              <w:bottom w:w="72" w:type="dxa"/>
            </w:tcMar>
          </w:tcPr>
          <w:p w14:paraId="05902C01" w14:textId="3F69DC6C" w:rsidR="00E2365D" w:rsidRPr="00396697" w:rsidRDefault="009D7531" w:rsidP="00E2365D">
            <w:pPr>
              <w:rPr>
                <w:rFonts w:ascii="Arial" w:hAnsi="Arial"/>
                <w:b/>
              </w:rPr>
            </w:pPr>
            <w:r>
              <w:rPr>
                <w:rFonts w:ascii="Arial" w:hAnsi="Arial"/>
                <w:b/>
              </w:rPr>
              <w:lastRenderedPageBreak/>
              <w:t>Coordination with Traditional and Roth IRAs</w:t>
            </w:r>
          </w:p>
        </w:tc>
        <w:tc>
          <w:tcPr>
            <w:tcW w:w="8178" w:type="dxa"/>
            <w:tcMar>
              <w:top w:w="72" w:type="dxa"/>
              <w:bottom w:w="72" w:type="dxa"/>
            </w:tcMar>
          </w:tcPr>
          <w:p w14:paraId="53DC8102" w14:textId="77777777" w:rsidR="009D7531" w:rsidRDefault="009D7531" w:rsidP="009D7531">
            <w:pPr>
              <w:spacing w:before="0" w:after="0"/>
              <w:ind w:right="-710"/>
              <w:rPr>
                <w:bCs/>
              </w:rPr>
            </w:pPr>
            <w:r>
              <w:rPr>
                <w:bCs/>
              </w:rPr>
              <w:t xml:space="preserve">The </w:t>
            </w:r>
            <w:proofErr w:type="spellStart"/>
            <w:r>
              <w:rPr>
                <w:bCs/>
                <w:i/>
              </w:rPr>
              <w:t>my</w:t>
            </w:r>
            <w:r>
              <w:rPr>
                <w:bCs/>
              </w:rPr>
              <w:t>RA</w:t>
            </w:r>
            <w:proofErr w:type="spellEnd"/>
            <w:r>
              <w:rPr>
                <w:bCs/>
              </w:rPr>
              <w:t xml:space="preserve"> does not increase the aggregate limit that may be contributed to all</w:t>
            </w:r>
          </w:p>
          <w:p w14:paraId="06F4D41F" w14:textId="3C964C8C" w:rsidR="00E2365D" w:rsidRPr="00AE751B" w:rsidRDefault="009D7531" w:rsidP="001451B9">
            <w:pPr>
              <w:spacing w:before="0" w:after="0"/>
              <w:ind w:right="-5"/>
              <w:rPr>
                <w:rFonts w:eastAsia="Arial Unicode MS"/>
                <w:color w:val="000000"/>
                <w:sz w:val="18"/>
                <w:szCs w:val="18"/>
              </w:rPr>
            </w:pPr>
            <w:r>
              <w:rPr>
                <w:bCs/>
              </w:rPr>
              <w:t>IRAs ($5,500 plus an additional $1,000 if age 50 or above</w:t>
            </w:r>
            <w:r w:rsidR="001451B9">
              <w:rPr>
                <w:bCs/>
              </w:rPr>
              <w:t xml:space="preserve"> – in </w:t>
            </w:r>
            <w:r w:rsidR="002D2503">
              <w:rPr>
                <w:bCs/>
              </w:rPr>
              <w:t>2016</w:t>
            </w:r>
            <w:r w:rsidR="001451B9">
              <w:rPr>
                <w:bCs/>
              </w:rPr>
              <w:t>,</w:t>
            </w:r>
            <w:r>
              <w:rPr>
                <w:bCs/>
              </w:rPr>
              <w:t xml:space="preserve"> as indexed). </w:t>
            </w:r>
          </w:p>
        </w:tc>
      </w:tr>
    </w:tbl>
    <w:p w14:paraId="15A6D776" w14:textId="77777777" w:rsidR="0024527C" w:rsidRDefault="0024527C" w:rsidP="0024527C">
      <w:pPr>
        <w:spacing w:before="0" w:after="0"/>
        <w:ind w:right="-710"/>
        <w:rPr>
          <w:bCs/>
          <w:i/>
          <w:color w:val="008000"/>
          <w:u w:val="single"/>
        </w:rPr>
      </w:pPr>
    </w:p>
    <w:p w14:paraId="4D33864E" w14:textId="77777777" w:rsidR="00636C4B" w:rsidRDefault="00636C4B" w:rsidP="0024527C">
      <w:pPr>
        <w:spacing w:before="0" w:after="0"/>
        <w:ind w:right="-710"/>
      </w:pPr>
    </w:p>
    <w:p w14:paraId="468721EE" w14:textId="0D976893" w:rsidR="00265D14" w:rsidRDefault="0024527C" w:rsidP="0024527C">
      <w:pPr>
        <w:pStyle w:val="Heading2"/>
      </w:pPr>
      <w:r>
        <w:br w:type="page"/>
      </w:r>
    </w:p>
    <w:p w14:paraId="439CD051" w14:textId="62F5FEBC" w:rsidR="00AC40A8" w:rsidRDefault="00AC40A8" w:rsidP="001F3D42">
      <w:pPr>
        <w:pStyle w:val="Heading2"/>
      </w:pPr>
      <w:r>
        <w:lastRenderedPageBreak/>
        <w:t>Employer</w:t>
      </w:r>
      <w:r w:rsidR="00405FD7">
        <w:t>-</w:t>
      </w:r>
      <w:r>
        <w:t>Sponsored Qualified Plans</w:t>
      </w:r>
    </w:p>
    <w:p w14:paraId="2C34FCD1" w14:textId="0CF54CD5" w:rsidR="00A36165" w:rsidRDefault="00A36165" w:rsidP="00620F29">
      <w:r>
        <w:t xml:space="preserve">Why do you need to know </w:t>
      </w:r>
      <w:r w:rsidR="006F1912">
        <w:t xml:space="preserve">about </w:t>
      </w:r>
      <w:r>
        <w:t>employer-sponsored qualified plans? Here are just a few of the reasons.</w:t>
      </w:r>
    </w:p>
    <w:p w14:paraId="22AA16A6" w14:textId="77777777" w:rsidR="0041370C" w:rsidRDefault="0041370C" w:rsidP="0041370C">
      <w:pPr>
        <w:pStyle w:val="ListParagraph"/>
        <w:numPr>
          <w:ilvl w:val="0"/>
          <w:numId w:val="34"/>
        </w:numPr>
      </w:pPr>
      <w:r>
        <w:t>Rollover opportunities may depend upon client perceptions of your qualified plan competence.</w:t>
      </w:r>
    </w:p>
    <w:p w14:paraId="135464E7" w14:textId="135FD716" w:rsidR="006562E7" w:rsidRDefault="006562E7" w:rsidP="006562E7">
      <w:pPr>
        <w:pStyle w:val="ListParagraph"/>
        <w:numPr>
          <w:ilvl w:val="0"/>
          <w:numId w:val="34"/>
        </w:numPr>
      </w:pPr>
      <w:r>
        <w:t>They present a singular opportunity to discuss ways to enhance retirement savings with clients from across the spectrum</w:t>
      </w:r>
      <w:r w:rsidR="006F1912">
        <w:t xml:space="preserve"> - </w:t>
      </w:r>
      <w:r>
        <w:t xml:space="preserve">from small business owners to employees of Fortune 100 firms. </w:t>
      </w:r>
    </w:p>
    <w:p w14:paraId="4534412F" w14:textId="2FEC9596" w:rsidR="00A36165" w:rsidRDefault="00A36165" w:rsidP="008E3F14">
      <w:pPr>
        <w:pStyle w:val="ListParagraph"/>
        <w:numPr>
          <w:ilvl w:val="0"/>
          <w:numId w:val="34"/>
        </w:numPr>
      </w:pPr>
      <w:r>
        <w:t xml:space="preserve">These plans represent a significant part of </w:t>
      </w:r>
      <w:r w:rsidR="006562E7">
        <w:t xml:space="preserve">existing </w:t>
      </w:r>
      <w:r>
        <w:t>retirement assets for many employees.</w:t>
      </w:r>
    </w:p>
    <w:p w14:paraId="64858EF7" w14:textId="3B505224" w:rsidR="00A36165" w:rsidRDefault="00A36165" w:rsidP="008E3F14">
      <w:pPr>
        <w:pStyle w:val="ListParagraph"/>
        <w:numPr>
          <w:ilvl w:val="0"/>
          <w:numId w:val="34"/>
        </w:numPr>
      </w:pPr>
      <w:r>
        <w:t>Qualified plan investments should be coordinated with IRA and personal savings investment strategies.</w:t>
      </w:r>
    </w:p>
    <w:p w14:paraId="6CE7E6B5" w14:textId="34BCD17C" w:rsidR="00FF2E25" w:rsidRDefault="00FF2E25" w:rsidP="00620F29">
      <w:r>
        <w:t xml:space="preserve">Our presentation of qualified plans </w:t>
      </w:r>
      <w:r w:rsidR="006F1912">
        <w:t>o</w:t>
      </w:r>
      <w:r>
        <w:t xml:space="preserve">n the following pages is intended to build your confidence and competency without burdening you with </w:t>
      </w:r>
      <w:r w:rsidR="006565AA">
        <w:t>minutiae</w:t>
      </w:r>
      <w:r>
        <w:t xml:space="preserve">. </w:t>
      </w:r>
      <w:r w:rsidR="00D210C4">
        <w:t xml:space="preserve">Let us begin with an understanding of the </w:t>
      </w:r>
      <w:r w:rsidR="006565AA">
        <w:t>often-misused</w:t>
      </w:r>
      <w:r w:rsidR="00D210C4">
        <w:t xml:space="preserve"> term “qualified plan.”</w:t>
      </w:r>
    </w:p>
    <w:p w14:paraId="36C6C017" w14:textId="7B8C6A6B" w:rsidR="00AC40A8" w:rsidRDefault="006F1912" w:rsidP="00620F29">
      <w:r>
        <w:t>A qualified plan is an employer-</w:t>
      </w:r>
      <w:r w:rsidR="00AC40A8">
        <w:t xml:space="preserve">sponsored retirement plan that qualifies for special tax treatment under </w:t>
      </w:r>
      <w:r w:rsidR="00FF2E25">
        <w:t xml:space="preserve">a special section </w:t>
      </w:r>
      <w:r w:rsidR="00AC40A8" w:rsidRPr="00F37122">
        <w:t xml:space="preserve">of the </w:t>
      </w:r>
      <w:r w:rsidR="00AC40A8">
        <w:t>Internal Revenue Code</w:t>
      </w:r>
      <w:r w:rsidR="00AC40A8" w:rsidRPr="00F37122">
        <w:t xml:space="preserve">. Only plans governed by this </w:t>
      </w:r>
      <w:r w:rsidR="00FF2E25">
        <w:t xml:space="preserve">special </w:t>
      </w:r>
      <w:r w:rsidR="00AC40A8" w:rsidRPr="00F37122">
        <w:t>section</w:t>
      </w:r>
      <w:r w:rsidR="00D210C4">
        <w:rPr>
          <w:rStyle w:val="FootnoteReference"/>
        </w:rPr>
        <w:footnoteReference w:id="6"/>
      </w:r>
      <w:r w:rsidR="00AC40A8" w:rsidRPr="00F37122">
        <w:t xml:space="preserve"> are referred to as "</w:t>
      </w:r>
      <w:r w:rsidR="00AC40A8">
        <w:t>q</w:t>
      </w:r>
      <w:r w:rsidR="00AC40A8" w:rsidRPr="00F37122">
        <w:t xml:space="preserve">ualified," although there are </w:t>
      </w:r>
      <w:r w:rsidR="00AC40A8" w:rsidRPr="001F3D42">
        <w:rPr>
          <w:rStyle w:val="Hyperlink"/>
        </w:rPr>
        <w:t>other retirement savings arrangements</w:t>
      </w:r>
      <w:r w:rsidR="00AC40A8" w:rsidRPr="00F37122">
        <w:t xml:space="preserve"> that </w:t>
      </w:r>
      <w:r w:rsidR="00AC40A8">
        <w:t>provide tax advantages. Qu</w:t>
      </w:r>
      <w:r w:rsidR="00AC40A8" w:rsidRPr="00F37122">
        <w:t xml:space="preserve">alified </w:t>
      </w:r>
      <w:r w:rsidR="00AC40A8">
        <w:t>p</w:t>
      </w:r>
      <w:r w:rsidR="00AC40A8" w:rsidRPr="00F37122">
        <w:t>lans have the following characteristics</w:t>
      </w:r>
      <w:r>
        <w:t>:</w:t>
      </w:r>
    </w:p>
    <w:tbl>
      <w:tblPr>
        <w:tblW w:w="8894"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894"/>
      </w:tblGrid>
      <w:tr w:rsidR="00AC40A8" w:rsidRPr="0028324A" w14:paraId="7DE5EBF6" w14:textId="77777777" w:rsidTr="00002482">
        <w:trPr>
          <w:trHeight w:val="1223"/>
        </w:trPr>
        <w:tc>
          <w:tcPr>
            <w:tcW w:w="8894" w:type="dxa"/>
            <w:shd w:val="clear" w:color="auto" w:fill="D9D9D9"/>
          </w:tcPr>
          <w:p w14:paraId="01C3F246" w14:textId="77777777" w:rsidR="00AC40A8" w:rsidRPr="00813D5C" w:rsidRDefault="00AC40A8" w:rsidP="00002482">
            <w:r w:rsidRPr="00813D5C">
              <w:rPr>
                <w:rStyle w:val="Hyperlink"/>
                <w:u w:val="none"/>
              </w:rPr>
              <w:t>Other Retirement Savings Arrangements</w:t>
            </w:r>
            <w:r w:rsidRPr="00813D5C">
              <w:t xml:space="preserve"> </w:t>
            </w:r>
          </w:p>
          <w:p w14:paraId="55321895" w14:textId="0D718008" w:rsidR="00AC40A8" w:rsidRPr="00502110" w:rsidRDefault="00AC40A8" w:rsidP="003C03E2">
            <w:pPr>
              <w:rPr>
                <w:b/>
                <w:color w:val="4F81BD"/>
                <w:u w:val="single"/>
              </w:rPr>
            </w:pPr>
            <w:r>
              <w:t>A number of arrangements, accounts, or plans provide income tax deferral, inco</w:t>
            </w:r>
            <w:r w:rsidR="006F1912">
              <w:t>me tax-</w:t>
            </w:r>
            <w:r>
              <w:t xml:space="preserve">free distribution, or deduction of contributions. These plans are not qualified plans and include Traditional IRAs, Roth IRAs, 403(b) plans, SEP IRAs, and SIMPLE IRAs. </w:t>
            </w:r>
          </w:p>
        </w:tc>
      </w:tr>
    </w:tbl>
    <w:p w14:paraId="789A396B" w14:textId="77777777" w:rsidR="00AC40A8" w:rsidRPr="00F37122" w:rsidRDefault="00AC40A8" w:rsidP="00620F29">
      <w:pPr>
        <w:rPr>
          <w:rStyle w:val="Strong"/>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A84"/>
        <w:tblCellMar>
          <w:top w:w="72" w:type="dxa"/>
          <w:left w:w="115" w:type="dxa"/>
          <w:bottom w:w="72" w:type="dxa"/>
          <w:right w:w="115" w:type="dxa"/>
        </w:tblCellMar>
        <w:tblLook w:val="04A0" w:firstRow="1" w:lastRow="0" w:firstColumn="1" w:lastColumn="0" w:noHBand="0" w:noVBand="1"/>
      </w:tblPr>
      <w:tblGrid>
        <w:gridCol w:w="9482"/>
      </w:tblGrid>
      <w:tr w:rsidR="00AC40A8" w:rsidRPr="008C6375" w14:paraId="30879ECB" w14:textId="77777777" w:rsidTr="002D020B">
        <w:tc>
          <w:tcPr>
            <w:tcW w:w="9738" w:type="dxa"/>
            <w:shd w:val="clear" w:color="auto" w:fill="BFBA84"/>
          </w:tcPr>
          <w:p w14:paraId="4F99C438" w14:textId="77777777" w:rsidR="00AC40A8" w:rsidRPr="00224BB1" w:rsidRDefault="00AC40A8" w:rsidP="00224BB1">
            <w:pPr>
              <w:rPr>
                <w:rStyle w:val="Strong"/>
              </w:rPr>
            </w:pPr>
            <w:r w:rsidRPr="00224BB1">
              <w:rPr>
                <w:rStyle w:val="Strong"/>
              </w:rPr>
              <w:t>Qualified Plan Characteristics</w:t>
            </w:r>
          </w:p>
          <w:p w14:paraId="5909660B" w14:textId="77777777" w:rsidR="00AC40A8" w:rsidRPr="00F37122" w:rsidRDefault="00AC40A8" w:rsidP="002D020B">
            <w:pPr>
              <w:numPr>
                <w:ilvl w:val="0"/>
                <w:numId w:val="4"/>
              </w:numPr>
            </w:pPr>
            <w:r w:rsidRPr="00F37122">
              <w:t>They provide tax-deferred savings for retirement.</w:t>
            </w:r>
          </w:p>
          <w:p w14:paraId="589C9BB2" w14:textId="77777777" w:rsidR="00AC40A8" w:rsidRPr="00F37122" w:rsidRDefault="00AC40A8" w:rsidP="002D020B">
            <w:pPr>
              <w:numPr>
                <w:ilvl w:val="0"/>
                <w:numId w:val="4"/>
              </w:numPr>
            </w:pPr>
            <w:r w:rsidRPr="00F37122">
              <w:t>They must be written programs that are communicated to all employees.</w:t>
            </w:r>
          </w:p>
          <w:p w14:paraId="0B0DE47E" w14:textId="77777777" w:rsidR="00AC40A8" w:rsidRPr="00F37122" w:rsidRDefault="00AC40A8" w:rsidP="00C06579">
            <w:pPr>
              <w:numPr>
                <w:ilvl w:val="0"/>
                <w:numId w:val="4"/>
              </w:numPr>
            </w:pPr>
            <w:r w:rsidRPr="00F37122">
              <w:t>They cannot be biased toward the highly compensate</w:t>
            </w:r>
            <w:r>
              <w:t>d.</w:t>
            </w:r>
          </w:p>
          <w:p w14:paraId="2F036DAC" w14:textId="54DB829B" w:rsidR="00AC40A8" w:rsidRPr="00F37122" w:rsidRDefault="00AC40A8" w:rsidP="002D020B">
            <w:pPr>
              <w:numPr>
                <w:ilvl w:val="0"/>
                <w:numId w:val="4"/>
              </w:numPr>
            </w:pPr>
            <w:r w:rsidRPr="00F37122">
              <w:t xml:space="preserve">Employees must be fully </w:t>
            </w:r>
            <w:r w:rsidRPr="0058340C">
              <w:rPr>
                <w:rStyle w:val="Hyperlink"/>
              </w:rPr>
              <w:t>vested</w:t>
            </w:r>
            <w:r w:rsidRPr="00F37122">
              <w:t xml:space="preserve"> within specified guidelines</w:t>
            </w:r>
            <w:r w:rsidR="00AE4F90">
              <w:t>.</w:t>
            </w:r>
          </w:p>
          <w:p w14:paraId="3193264B" w14:textId="77777777" w:rsidR="00AC40A8" w:rsidRDefault="00AC40A8" w:rsidP="002D020B">
            <w:pPr>
              <w:numPr>
                <w:ilvl w:val="0"/>
                <w:numId w:val="4"/>
              </w:numPr>
            </w:pPr>
            <w:r w:rsidRPr="00F37122">
              <w:t>When employees leave, they may keep their funds in the plan if their vested account balance is greater than $5,000, they may be able to roll the assets over to the new employer's plan if the new employer's plan permits it, or they may roll the assets over into an IRA.</w:t>
            </w:r>
          </w:p>
          <w:p w14:paraId="7530D7AC" w14:textId="5A1A4190" w:rsidR="00AC40A8" w:rsidRDefault="00AC40A8" w:rsidP="002D020B">
            <w:pPr>
              <w:numPr>
                <w:ilvl w:val="0"/>
                <w:numId w:val="4"/>
              </w:numPr>
            </w:pPr>
            <w:r>
              <w:t>Distributions must generally begin by April 1 of the year after the participant’s age 70½.</w:t>
            </w:r>
          </w:p>
          <w:p w14:paraId="6DCEC5D0" w14:textId="042E5858" w:rsidR="00AC40A8" w:rsidRPr="008C6375" w:rsidRDefault="00AC40A8">
            <w:pPr>
              <w:numPr>
                <w:ilvl w:val="0"/>
                <w:numId w:val="4"/>
              </w:numPr>
              <w:rPr>
                <w:rStyle w:val="Strong"/>
                <w:b w:val="0"/>
                <w:bCs w:val="0"/>
              </w:rPr>
            </w:pPr>
            <w:r>
              <w:t xml:space="preserve">Assets held in qualified plans are protected under federal law without limit from </w:t>
            </w:r>
            <w:r>
              <w:lastRenderedPageBreak/>
              <w:t xml:space="preserve">most creditors in the event </w:t>
            </w:r>
            <w:r w:rsidR="00950E31">
              <w:t xml:space="preserve">of client bankruptcy. </w:t>
            </w:r>
            <w:r>
              <w:t xml:space="preserve">  </w:t>
            </w:r>
          </w:p>
        </w:tc>
      </w:tr>
    </w:tbl>
    <w:p w14:paraId="5DE3B0AE" w14:textId="77777777" w:rsidR="00AC40A8" w:rsidRDefault="00AC40A8" w:rsidP="00A55B7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AC40A8" w:rsidRPr="0028324A" w14:paraId="5E941352" w14:textId="77777777" w:rsidTr="00A55B71">
        <w:tc>
          <w:tcPr>
            <w:tcW w:w="9576" w:type="dxa"/>
            <w:shd w:val="clear" w:color="auto" w:fill="D9D9D9"/>
          </w:tcPr>
          <w:p w14:paraId="207313A2" w14:textId="6FA437D6" w:rsidR="00950E31" w:rsidRPr="00813D5C" w:rsidRDefault="00950E31" w:rsidP="00770ABD">
            <w:pPr>
              <w:rPr>
                <w:bCs/>
              </w:rPr>
            </w:pPr>
            <w:r w:rsidRPr="00813D5C">
              <w:rPr>
                <w:rStyle w:val="Hyperlink"/>
                <w:u w:val="none"/>
              </w:rPr>
              <w:t>V</w:t>
            </w:r>
            <w:r w:rsidR="007844DB" w:rsidRPr="00813D5C">
              <w:rPr>
                <w:rStyle w:val="Hyperlink"/>
                <w:u w:val="none"/>
              </w:rPr>
              <w:t>ested</w:t>
            </w:r>
            <w:r w:rsidR="007844DB" w:rsidRPr="00813D5C" w:rsidDel="007844DB">
              <w:rPr>
                <w:b/>
                <w:color w:val="4F81BD"/>
              </w:rPr>
              <w:t xml:space="preserve"> </w:t>
            </w:r>
          </w:p>
          <w:p w14:paraId="6555BBCE" w14:textId="77777777" w:rsidR="00950E31" w:rsidRDefault="00AC40A8" w:rsidP="00770ABD">
            <w:r w:rsidRPr="008E3F14">
              <w:rPr>
                <w:bCs/>
              </w:rPr>
              <w:t>Vesting</w:t>
            </w:r>
            <w:r w:rsidRPr="00F37122">
              <w:rPr>
                <w:b/>
                <w:bCs/>
              </w:rPr>
              <w:t xml:space="preserve"> </w:t>
            </w:r>
            <w:r w:rsidRPr="00F37122">
              <w:t xml:space="preserve">is the process by which </w:t>
            </w:r>
            <w:r>
              <w:t xml:space="preserve">a qualified plan </w:t>
            </w:r>
            <w:r w:rsidRPr="00F37122">
              <w:t>participant obtain</w:t>
            </w:r>
            <w:r>
              <w:t>s</w:t>
            </w:r>
            <w:r w:rsidRPr="00F37122">
              <w:t xml:space="preserve"> non-forfeitable rights to his or her account balance or </w:t>
            </w:r>
            <w:r>
              <w:t xml:space="preserve">accrued </w:t>
            </w:r>
            <w:r w:rsidRPr="00F37122">
              <w:t xml:space="preserve">benefit attributable to employer contributions.  </w:t>
            </w:r>
            <w:r>
              <w:t xml:space="preserve">Remember that employees are always and immediately vested in their own deferrals. </w:t>
            </w:r>
          </w:p>
          <w:p w14:paraId="60E22436" w14:textId="3210A777" w:rsidR="00AE4F90" w:rsidRPr="0028324A" w:rsidRDefault="00AC40A8">
            <w:r w:rsidRPr="00F37122">
              <w:t>Vesting schedules are commonly used as an incentive for employees to stay with the employer. The employee becomes vested in employer contributions only after completing a period of employment</w:t>
            </w:r>
            <w:r w:rsidR="006F1912">
              <w:t xml:space="preserve"> - </w:t>
            </w:r>
            <w:r w:rsidRPr="00F37122">
              <w:t>the plan may define the process of vesting as incremental or all at one time. Once the participant becomes fully vested, all past employer contributions are fully non-forfeitable for the participant, and all future contributions become immediately non-forfeitable.</w:t>
            </w:r>
          </w:p>
        </w:tc>
      </w:tr>
    </w:tbl>
    <w:p w14:paraId="71B60A40" w14:textId="77777777" w:rsidR="00AC40A8" w:rsidRDefault="00AC40A8" w:rsidP="00A55B71">
      <w:pPr>
        <w:spacing w:before="0" w:after="0"/>
      </w:pPr>
    </w:p>
    <w:p w14:paraId="6FB434CE" w14:textId="77777777" w:rsidR="00AC40A8" w:rsidRDefault="00AC40A8" w:rsidP="004344CA">
      <w:pPr>
        <w:pStyle w:val="Heading2"/>
      </w:pPr>
      <w:r>
        <w:br w:type="page"/>
      </w:r>
      <w:r>
        <w:lastRenderedPageBreak/>
        <w:t>Types of Qualified Plans</w:t>
      </w:r>
    </w:p>
    <w:p w14:paraId="6F5AB0E7" w14:textId="01166D5F" w:rsidR="00AC40A8" w:rsidRDefault="00442CB3" w:rsidP="004B52B9">
      <w:r>
        <w:rPr>
          <w:noProof/>
          <w:lang w:eastAsia="zh-CN"/>
        </w:rPr>
        <w:drawing>
          <wp:anchor distT="0" distB="0" distL="114300" distR="114300" simplePos="0" relativeHeight="251656192" behindDoc="0" locked="0" layoutInCell="1" allowOverlap="1" wp14:anchorId="7C3C1297" wp14:editId="69064200">
            <wp:simplePos x="0" y="0"/>
            <wp:positionH relativeFrom="column">
              <wp:posOffset>3200400</wp:posOffset>
            </wp:positionH>
            <wp:positionV relativeFrom="paragraph">
              <wp:posOffset>-177800</wp:posOffset>
            </wp:positionV>
            <wp:extent cx="2525395" cy="1545590"/>
            <wp:effectExtent l="25400" t="25400" r="14605" b="292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b="32098"/>
                    <a:stretch>
                      <a:fillRect/>
                    </a:stretch>
                  </pic:blipFill>
                  <pic:spPr bwMode="auto">
                    <a:xfrm>
                      <a:off x="0" y="0"/>
                      <a:ext cx="2525395" cy="1545590"/>
                    </a:xfrm>
                    <a:prstGeom prst="rect">
                      <a:avLst/>
                    </a:prstGeom>
                    <a:noFill/>
                    <a:ln w="6350">
                      <a:solidFill>
                        <a:schemeClr val="bg1">
                          <a:lumMod val="50000"/>
                        </a:schemeClr>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C40A8" w:rsidRPr="008C6375">
        <w:t xml:space="preserve">While this list is not exhaustive, the Qualified Plans under consideration in this course are shown in the diagram below. As illustrated below, Qualified Plans </w:t>
      </w:r>
      <w:r w:rsidR="003021DB">
        <w:t>may</w:t>
      </w:r>
      <w:r w:rsidR="003021DB" w:rsidRPr="008C6375">
        <w:t xml:space="preserve"> </w:t>
      </w:r>
      <w:r w:rsidR="003021DB">
        <w:t>be</w:t>
      </w:r>
      <w:r w:rsidR="003021DB" w:rsidRPr="008C6375">
        <w:t xml:space="preserve"> </w:t>
      </w:r>
      <w:r w:rsidR="00AC40A8" w:rsidRPr="008C6375">
        <w:t xml:space="preserve">broken into </w:t>
      </w:r>
      <w:r w:rsidR="003021DB">
        <w:t>two broad</w:t>
      </w:r>
      <w:r w:rsidR="003021DB" w:rsidRPr="008C6375">
        <w:t xml:space="preserve"> </w:t>
      </w:r>
      <w:r w:rsidR="00AC40A8" w:rsidRPr="008C6375">
        <w:t>categories</w:t>
      </w:r>
      <w:r w:rsidR="006565AA">
        <w:t xml:space="preserve">. Click on the icons in this chart to learn more. You should become familiar with Traditional Defined Benefit Plans and 401(k) </w:t>
      </w:r>
      <w:r w:rsidR="006F1912">
        <w:t>P</w:t>
      </w:r>
      <w:r w:rsidR="006565AA">
        <w:t xml:space="preserve">lans at a minimum. </w:t>
      </w:r>
    </w:p>
    <w:p w14:paraId="3DFED822" w14:textId="546E7D86" w:rsidR="00AC40A8" w:rsidRDefault="00405FD7" w:rsidP="001F3D42">
      <w:pPr>
        <w:pStyle w:val="CommentText"/>
      </w:pPr>
      <w:r w:rsidRPr="008C6375">
        <w:rPr>
          <w:b/>
          <w:color w:val="FF0000"/>
        </w:rPr>
        <w:t xml:space="preserve">Click on each </w:t>
      </w:r>
      <w:r w:rsidR="006565AA">
        <w:rPr>
          <w:b/>
          <w:color w:val="FF0000"/>
        </w:rPr>
        <w:t xml:space="preserve">category </w:t>
      </w:r>
      <w:r w:rsidRPr="008C6375">
        <w:rPr>
          <w:b/>
          <w:color w:val="FF0000"/>
        </w:rPr>
        <w:t>to learn more.</w:t>
      </w:r>
    </w:p>
    <w:p w14:paraId="74B6537C" w14:textId="77777777" w:rsidR="00405FD7" w:rsidRPr="008C6375" w:rsidRDefault="00405FD7" w:rsidP="00A55B71">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AC40A8" w:rsidRPr="008C6375" w14:paraId="4FABC58D" w14:textId="77777777" w:rsidTr="00442CB3">
        <w:tc>
          <w:tcPr>
            <w:tcW w:w="9590" w:type="dxa"/>
            <w:tcBorders>
              <w:bottom w:val="single" w:sz="4" w:space="0" w:color="6CA8CD"/>
            </w:tcBorders>
            <w:shd w:val="clear" w:color="auto" w:fill="6CA8CD"/>
            <w:tcMar>
              <w:top w:w="72" w:type="dxa"/>
              <w:left w:w="115" w:type="dxa"/>
              <w:bottom w:w="72" w:type="dxa"/>
              <w:right w:w="115" w:type="dxa"/>
            </w:tcMar>
          </w:tcPr>
          <w:p w14:paraId="11ADB2A9" w14:textId="77777777" w:rsidR="00AC40A8" w:rsidRPr="008C6375" w:rsidRDefault="00AC40A8" w:rsidP="003916C4">
            <w:pPr>
              <w:rPr>
                <w:b/>
                <w:color w:val="FFFFFF"/>
              </w:rPr>
            </w:pPr>
            <w:r w:rsidRPr="008C6375">
              <w:rPr>
                <w:b/>
                <w:color w:val="FFFFFF"/>
              </w:rPr>
              <w:t>Defined Benefit Plans</w:t>
            </w:r>
          </w:p>
        </w:tc>
      </w:tr>
      <w:tr w:rsidR="00AC40A8" w:rsidRPr="008C6375" w14:paraId="7200EF79" w14:textId="77777777" w:rsidTr="00442CB3">
        <w:tc>
          <w:tcPr>
            <w:tcW w:w="9590" w:type="dxa"/>
            <w:shd w:val="clear" w:color="auto" w:fill="FFFFFF"/>
            <w:tcMar>
              <w:top w:w="72" w:type="dxa"/>
              <w:left w:w="115" w:type="dxa"/>
              <w:bottom w:w="72" w:type="dxa"/>
              <w:right w:w="115" w:type="dxa"/>
            </w:tcMar>
          </w:tcPr>
          <w:p w14:paraId="0BC688FE" w14:textId="77777777" w:rsidR="00AC40A8" w:rsidRPr="00A55B71" w:rsidRDefault="00AC40A8" w:rsidP="003916C4">
            <w:pPr>
              <w:rPr>
                <w:b/>
                <w:i/>
              </w:rPr>
            </w:pPr>
            <w:r w:rsidRPr="008C6375">
              <w:t xml:space="preserve">These plans define the benefits (fixed monthly payments) received by employees at retirement. The amount of the payment is typically a function of an employee’s years of employment and compensation level while employed. The benefit is targeted in advance and these plans are usually </w:t>
            </w:r>
            <w:r w:rsidRPr="007616A8">
              <w:rPr>
                <w:rStyle w:val="Hyperlink"/>
              </w:rPr>
              <w:t>non-contributory</w:t>
            </w:r>
            <w:r>
              <w:rPr>
                <w:b/>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AC40A8" w:rsidRPr="0028324A" w14:paraId="1A0499A2" w14:textId="77777777">
              <w:tc>
                <w:tcPr>
                  <w:tcW w:w="9576" w:type="dxa"/>
                  <w:shd w:val="clear" w:color="auto" w:fill="D9D9D9"/>
                </w:tcPr>
                <w:p w14:paraId="5A8238C9" w14:textId="77777777" w:rsidR="00AC40A8" w:rsidRPr="004943D9" w:rsidRDefault="00AC40A8" w:rsidP="000809A4">
                  <w:pPr>
                    <w:rPr>
                      <w:b/>
                      <w:color w:val="4F81BD"/>
                    </w:rPr>
                  </w:pPr>
                  <w:r>
                    <w:rPr>
                      <w:b/>
                      <w:color w:val="4F81BD"/>
                    </w:rPr>
                    <w:t>Non-Contributory</w:t>
                  </w:r>
                </w:p>
                <w:p w14:paraId="58719F99" w14:textId="6816D8C6" w:rsidR="00AC40A8" w:rsidRPr="0028324A" w:rsidRDefault="006565AA">
                  <w:r>
                    <w:t xml:space="preserve">The </w:t>
                  </w:r>
                  <w:r w:rsidR="00AC40A8" w:rsidRPr="00E959E9">
                    <w:t xml:space="preserve">employee does </w:t>
                  </w:r>
                  <w:r w:rsidR="00AC40A8">
                    <w:t xml:space="preserve">not contribute to </w:t>
                  </w:r>
                  <w:r>
                    <w:t xml:space="preserve">the </w:t>
                  </w:r>
                  <w:r w:rsidR="00AC40A8">
                    <w:t xml:space="preserve">cost of </w:t>
                  </w:r>
                  <w:r>
                    <w:t xml:space="preserve">the </w:t>
                  </w:r>
                  <w:r w:rsidR="00AC40A8">
                    <w:t>plan</w:t>
                  </w:r>
                  <w:r>
                    <w:t xml:space="preserve"> in a non-contributory plan. If the employee contributes a portion of the cost, the plan is referred to as a contributory plan. </w:t>
                  </w:r>
                </w:p>
              </w:tc>
            </w:tr>
          </w:tbl>
          <w:p w14:paraId="3D86A8A7" w14:textId="77777777" w:rsidR="00AC40A8" w:rsidRPr="008C6375" w:rsidRDefault="00AC40A8" w:rsidP="003916C4"/>
        </w:tc>
      </w:tr>
      <w:tr w:rsidR="00AC40A8" w:rsidRPr="008C6375" w14:paraId="16C58CDB" w14:textId="77777777" w:rsidTr="00442CB3">
        <w:tc>
          <w:tcPr>
            <w:tcW w:w="9590" w:type="dxa"/>
            <w:tcBorders>
              <w:bottom w:val="single" w:sz="4" w:space="0" w:color="6CA8CD"/>
            </w:tcBorders>
            <w:shd w:val="clear" w:color="auto" w:fill="6CA8CD"/>
            <w:tcMar>
              <w:top w:w="72" w:type="dxa"/>
              <w:left w:w="115" w:type="dxa"/>
              <w:bottom w:w="72" w:type="dxa"/>
              <w:right w:w="115" w:type="dxa"/>
            </w:tcMar>
          </w:tcPr>
          <w:p w14:paraId="28EFE8DF" w14:textId="77777777" w:rsidR="00AC40A8" w:rsidRPr="008C6375" w:rsidRDefault="00AC40A8" w:rsidP="003916C4">
            <w:pPr>
              <w:rPr>
                <w:b/>
                <w:color w:val="FFFFFF"/>
              </w:rPr>
            </w:pPr>
            <w:r w:rsidRPr="008C6375">
              <w:rPr>
                <w:b/>
                <w:color w:val="FFFFFF"/>
              </w:rPr>
              <w:t>Defined Contribution Plans</w:t>
            </w:r>
          </w:p>
        </w:tc>
      </w:tr>
      <w:tr w:rsidR="00AC40A8" w:rsidRPr="008C6375" w14:paraId="68931609" w14:textId="77777777" w:rsidTr="00442CB3">
        <w:tc>
          <w:tcPr>
            <w:tcW w:w="9590" w:type="dxa"/>
            <w:shd w:val="clear" w:color="auto" w:fill="FFFFFF"/>
            <w:tcMar>
              <w:top w:w="72" w:type="dxa"/>
              <w:left w:w="115" w:type="dxa"/>
              <w:bottom w:w="72" w:type="dxa"/>
              <w:right w:w="115" w:type="dxa"/>
            </w:tcMar>
          </w:tcPr>
          <w:p w14:paraId="33B958DE" w14:textId="7E9A8249" w:rsidR="00AC40A8" w:rsidRPr="008C6375" w:rsidRDefault="00AC40A8" w:rsidP="003916C4">
            <w:r w:rsidRPr="008C6375">
              <w:t>These plans define the procedures under which contributions may or may not be made by the employee or employer to each employee’s account. At retirement</w:t>
            </w:r>
            <w:r w:rsidR="006F1912">
              <w:t>,</w:t>
            </w:r>
            <w:r w:rsidRPr="008C6375">
              <w:t xml:space="preserve"> the amount of income paid or assets available to the employee are primarily determined by size of contributions, length of time contributions have to grow and investment performance.</w:t>
            </w:r>
          </w:p>
        </w:tc>
      </w:tr>
    </w:tbl>
    <w:p w14:paraId="5F6CC040" w14:textId="77777777" w:rsidR="006565AA" w:rsidRDefault="00AC40A8" w:rsidP="004344CA">
      <w:pPr>
        <w:pStyle w:val="Heading2"/>
        <w:rPr>
          <w:rStyle w:val="Strong"/>
          <w:b/>
          <w:bCs/>
        </w:rPr>
      </w:pPr>
      <w:r>
        <w:rPr>
          <w:rStyle w:val="Strong"/>
          <w:b/>
          <w:bCs/>
        </w:rPr>
        <w:br w:type="page"/>
      </w:r>
    </w:p>
    <w:p w14:paraId="73E26B2D" w14:textId="6A18404C" w:rsidR="00AC40A8" w:rsidRPr="000809A4" w:rsidRDefault="00AC40A8" w:rsidP="004344CA">
      <w:pPr>
        <w:pStyle w:val="Heading2"/>
        <w:rPr>
          <w:rStyle w:val="Strong"/>
          <w:b/>
          <w:bCs/>
          <w:sz w:val="28"/>
        </w:rPr>
      </w:pPr>
      <w:r w:rsidRPr="000809A4">
        <w:rPr>
          <w:rStyle w:val="Strong"/>
          <w:b/>
          <w:bCs/>
          <w:sz w:val="28"/>
        </w:rPr>
        <w:lastRenderedPageBreak/>
        <w:t>Defined Benefit Plans</w:t>
      </w:r>
    </w:p>
    <w:p w14:paraId="503699BA" w14:textId="2E1E59DB" w:rsidR="00AC40A8" w:rsidRPr="00E67340" w:rsidRDefault="0042491B" w:rsidP="00B21B63">
      <w:r>
        <w:rPr>
          <w:noProof/>
          <w:lang w:eastAsia="zh-CN"/>
        </w:rPr>
        <w:drawing>
          <wp:anchor distT="0" distB="0" distL="114300" distR="114300" simplePos="0" relativeHeight="251657216" behindDoc="0" locked="0" layoutInCell="1" allowOverlap="1" wp14:anchorId="100C0180" wp14:editId="301EDCD5">
            <wp:simplePos x="0" y="0"/>
            <wp:positionH relativeFrom="column">
              <wp:posOffset>3771900</wp:posOffset>
            </wp:positionH>
            <wp:positionV relativeFrom="paragraph">
              <wp:posOffset>-292100</wp:posOffset>
            </wp:positionV>
            <wp:extent cx="2188210" cy="2188210"/>
            <wp:effectExtent l="0" t="0" r="0" b="0"/>
            <wp:wrapSquare wrapText="bothSides"/>
            <wp:docPr id="22" name="Picture 22" descr="Qualified P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ualified Pla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8210" cy="21882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C40A8" w:rsidRPr="00E67340">
        <w:t xml:space="preserve">These plans define the benefits (fixed monthly payments) received by employees at retirement. The amount of the payment is typically a function of an employee’s years of employment and compensation level while employed. As shown in the illustration below, there are three types of Defined Benefit Plans (often referred to as “DB Plans”). </w:t>
      </w:r>
    </w:p>
    <w:p w14:paraId="59B4627D" w14:textId="062AAC3D" w:rsidR="00AC40A8" w:rsidRDefault="00AC40A8" w:rsidP="000809A4">
      <w:pPr>
        <w:jc w:val="center"/>
      </w:pPr>
    </w:p>
    <w:p w14:paraId="18D26136" w14:textId="77777777" w:rsidR="0042491B" w:rsidRDefault="0042491B" w:rsidP="000809A4">
      <w:pPr>
        <w:jc w:val="center"/>
      </w:pPr>
    </w:p>
    <w:p w14:paraId="78334127" w14:textId="77777777" w:rsidR="00405FD7" w:rsidRPr="00E74072" w:rsidRDefault="00405FD7" w:rsidP="00405FD7">
      <w:pPr>
        <w:rPr>
          <w:b/>
          <w:color w:val="FF0000"/>
        </w:rPr>
      </w:pPr>
      <w:r w:rsidRPr="00E67340">
        <w:rPr>
          <w:b/>
          <w:color w:val="FF0000"/>
        </w:rPr>
        <w:t>Cl</w:t>
      </w:r>
      <w:r>
        <w:rPr>
          <w:b/>
          <w:color w:val="FF0000"/>
        </w:rPr>
        <w:t>ick on each plan to learn more.</w:t>
      </w:r>
    </w:p>
    <w:p w14:paraId="61577D03" w14:textId="77777777" w:rsidR="00AC40A8" w:rsidRPr="00E67340" w:rsidRDefault="00AC40A8" w:rsidP="00A55B71">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AC40A8" w:rsidRPr="003D3A00" w14:paraId="3218E82F" w14:textId="77777777" w:rsidTr="00162BCF">
        <w:tc>
          <w:tcPr>
            <w:tcW w:w="9590" w:type="dxa"/>
            <w:tcBorders>
              <w:bottom w:val="single" w:sz="4" w:space="0" w:color="6CA8CD"/>
            </w:tcBorders>
            <w:shd w:val="clear" w:color="auto" w:fill="6CA8CD"/>
            <w:tcMar>
              <w:top w:w="72" w:type="dxa"/>
              <w:left w:w="115" w:type="dxa"/>
              <w:bottom w:w="72" w:type="dxa"/>
              <w:right w:w="115" w:type="dxa"/>
            </w:tcMar>
          </w:tcPr>
          <w:p w14:paraId="7463C210" w14:textId="77777777" w:rsidR="00AC40A8" w:rsidRPr="00E67340" w:rsidRDefault="00AC40A8" w:rsidP="003916C4">
            <w:pPr>
              <w:rPr>
                <w:b/>
                <w:color w:val="FFFFFF"/>
              </w:rPr>
            </w:pPr>
            <w:r w:rsidRPr="00E67340">
              <w:rPr>
                <w:b/>
                <w:color w:val="FFFFFF"/>
              </w:rPr>
              <w:t>Traditional Defined Benefit Plans</w:t>
            </w:r>
          </w:p>
        </w:tc>
      </w:tr>
      <w:tr w:rsidR="003D3A00" w:rsidRPr="003D3A00" w14:paraId="52D32D15" w14:textId="77777777" w:rsidTr="00162BCF">
        <w:tc>
          <w:tcPr>
            <w:tcW w:w="9590" w:type="dxa"/>
            <w:shd w:val="clear" w:color="auto" w:fill="FFFFFF"/>
            <w:tcMar>
              <w:top w:w="72" w:type="dxa"/>
              <w:left w:w="115" w:type="dxa"/>
              <w:bottom w:w="72" w:type="dxa"/>
              <w:right w:w="115" w:type="dxa"/>
            </w:tcMar>
          </w:tcPr>
          <w:p w14:paraId="11C7533A" w14:textId="0E27C54A" w:rsidR="00AE7434" w:rsidRDefault="00200833" w:rsidP="006027B5">
            <w:r>
              <w:t xml:space="preserve">Here is an </w:t>
            </w:r>
            <w:r w:rsidR="00600ABA">
              <w:t>often-overlooked</w:t>
            </w:r>
            <w:r>
              <w:t xml:space="preserve"> opportunity. While these plans are viewed as the sole province of only the largest, most financially sound employers, there is a potential need on the other end of the spectrum. A small business owner/employee may find the Traditional DB </w:t>
            </w:r>
            <w:r w:rsidR="00D53B77">
              <w:t>P</w:t>
            </w:r>
            <w:r>
              <w:t xml:space="preserve">lan an </w:t>
            </w:r>
            <w:r w:rsidRPr="003731C1">
              <w:rPr>
                <w:rStyle w:val="Hyperlink"/>
              </w:rPr>
              <w:t>impactful strategy</w:t>
            </w:r>
            <w:r w:rsidRPr="003D3A00">
              <w:t xml:space="preserve"> to fund a retirement plan with tax-deductible contributions</w:t>
            </w:r>
            <w:r>
              <w:t>.</w:t>
            </w:r>
          </w:p>
          <w:tbl>
            <w:tblPr>
              <w:tblStyle w:val="TableGrid"/>
              <w:tblW w:w="0" w:type="auto"/>
              <w:tblLook w:val="04A0" w:firstRow="1" w:lastRow="0" w:firstColumn="1" w:lastColumn="0" w:noHBand="0" w:noVBand="1"/>
            </w:tblPr>
            <w:tblGrid>
              <w:gridCol w:w="9345"/>
            </w:tblGrid>
            <w:tr w:rsidR="00AE7434" w14:paraId="4B3A5360" w14:textId="77777777" w:rsidTr="003731C1">
              <w:tc>
                <w:tcPr>
                  <w:tcW w:w="9345" w:type="dxa"/>
                  <w:shd w:val="clear" w:color="auto" w:fill="D9D9D9" w:themeFill="background1" w:themeFillShade="D9"/>
                </w:tcPr>
                <w:p w14:paraId="14E858E4" w14:textId="30A6EC42" w:rsidR="00AE7434" w:rsidRPr="003731C1" w:rsidRDefault="00AE7434" w:rsidP="006027B5">
                  <w:pPr>
                    <w:rPr>
                      <w:rStyle w:val="Hyperlink"/>
                      <w:u w:val="none"/>
                    </w:rPr>
                  </w:pPr>
                  <w:r w:rsidRPr="003731C1">
                    <w:rPr>
                      <w:rStyle w:val="Hyperlink"/>
                      <w:u w:val="none"/>
                    </w:rPr>
                    <w:t>Impactful Strategy for Small Business Owners</w:t>
                  </w:r>
                </w:p>
                <w:p w14:paraId="2A63A193" w14:textId="4CA9D196" w:rsidR="00AE7434" w:rsidRDefault="00AE7434" w:rsidP="006027B5">
                  <w:r>
                    <w:t>Especially for the owner/employee beginning to save for retirement late in life, a Traditional DB Plan may offer much higher tax-deductible</w:t>
                  </w:r>
                  <w:r w:rsidRPr="003D3A00">
                    <w:t xml:space="preserve"> contribution limit</w:t>
                  </w:r>
                  <w:r>
                    <w:t xml:space="preserve">s </w:t>
                  </w:r>
                  <w:r w:rsidRPr="003D3A00">
                    <w:t xml:space="preserve">vs. a </w:t>
                  </w:r>
                  <w:r>
                    <w:t>Defined Contribution Category Plan. There is an ominous caveat, however. Because federal law requires broad employee participation in most qualified plans, the small business owner will need to analyze the cost of including other employees in the plan. Defined benefit plans for single employee/</w:t>
                  </w:r>
                  <w:r w:rsidR="00883C97">
                    <w:t>owners</w:t>
                  </w:r>
                  <w:r>
                    <w:t xml:space="preserve"> are referred to as </w:t>
                  </w:r>
                  <w:r w:rsidR="007D4F98">
                    <w:t>“</w:t>
                  </w:r>
                  <w:r w:rsidR="007D4F98" w:rsidRPr="003731C1">
                    <w:rPr>
                      <w:rStyle w:val="Hyperlink"/>
                      <w:b w:val="0"/>
                      <w:color w:val="auto"/>
                      <w:u w:val="none"/>
                    </w:rPr>
                    <w:t>Personal Defined Benefit</w:t>
                  </w:r>
                  <w:r w:rsidR="007D4F98">
                    <w:t xml:space="preserve">” plans. </w:t>
                  </w:r>
                </w:p>
              </w:tc>
            </w:tr>
          </w:tbl>
          <w:p w14:paraId="1028D4EA" w14:textId="4F87209C" w:rsidR="002127DD" w:rsidRDefault="00D71E1D" w:rsidP="006027B5">
            <w:r>
              <w:t xml:space="preserve">Plan participants may treasure </w:t>
            </w:r>
            <w:r w:rsidR="000D2768">
              <w:t xml:space="preserve">Traditional DB </w:t>
            </w:r>
            <w:r w:rsidR="00D53B77">
              <w:t>P</w:t>
            </w:r>
            <w:r w:rsidR="000D2768">
              <w:t xml:space="preserve">lans </w:t>
            </w:r>
            <w:r>
              <w:t xml:space="preserve">while </w:t>
            </w:r>
            <w:r w:rsidR="002127DD">
              <w:t xml:space="preserve">large </w:t>
            </w:r>
            <w:r>
              <w:t xml:space="preserve">employers may </w:t>
            </w:r>
            <w:r w:rsidR="002127DD">
              <w:t xml:space="preserve">rightly </w:t>
            </w:r>
            <w:r>
              <w:t xml:space="preserve">fear these </w:t>
            </w:r>
            <w:r w:rsidR="00600ABA">
              <w:t>plans. The</w:t>
            </w:r>
            <w:r w:rsidR="002127DD">
              <w:t xml:space="preserve"> plan participant receives a guaranteed income for life at </w:t>
            </w:r>
            <w:r w:rsidR="00600ABA">
              <w:t>retirement that may even be adjusted</w:t>
            </w:r>
            <w:r w:rsidR="00690B5C">
              <w:t xml:space="preserve"> annually for </w:t>
            </w:r>
            <w:r w:rsidR="002127DD">
              <w:t xml:space="preserve">inflation in some plans. </w:t>
            </w:r>
            <w:r w:rsidR="007A282D">
              <w:t xml:space="preserve">Plan sponsors bear enormous investment risk. How </w:t>
            </w:r>
            <w:r w:rsidR="000D2768">
              <w:t xml:space="preserve">big is </w:t>
            </w:r>
            <w:r w:rsidR="00600ABA">
              <w:t>enormous</w:t>
            </w:r>
            <w:r w:rsidR="007A282D">
              <w:t xml:space="preserve">? General Motors at one time had a $10B (that’s B as in billion) unfunded liability to its defined benefit plan due in </w:t>
            </w:r>
            <w:r w:rsidR="001938E5">
              <w:t>part</w:t>
            </w:r>
            <w:r w:rsidR="007A282D">
              <w:t xml:space="preserve"> to subpar investment performance.</w:t>
            </w:r>
          </w:p>
          <w:p w14:paraId="00901D08" w14:textId="2C96A195" w:rsidR="00E36AFB" w:rsidRDefault="00AC40A8" w:rsidP="006027B5">
            <w:r w:rsidRPr="003D3A00">
              <w:t xml:space="preserve">The amount of the employee’s retirement income payment is typically a function of an employee's years of employment and compensation level while employed. The </w:t>
            </w:r>
            <w:r w:rsidR="00200833">
              <w:t xml:space="preserve">benefit </w:t>
            </w:r>
            <w:r w:rsidRPr="003D3A00">
              <w:t>can be reasonably estimated in advance</w:t>
            </w:r>
            <w:r w:rsidR="00200833">
              <w:t xml:space="preserve"> </w:t>
            </w:r>
            <w:r w:rsidR="000A156F">
              <w:t xml:space="preserve">and </w:t>
            </w:r>
            <w:r w:rsidR="00200833">
              <w:t xml:space="preserve">the maximum benefit is subject to statutory </w:t>
            </w:r>
            <w:r w:rsidR="00200833" w:rsidRPr="008E3F14">
              <w:rPr>
                <w:rStyle w:val="Hyperlink"/>
              </w:rPr>
              <w:t>limits</w:t>
            </w:r>
            <w:r w:rsidR="00200833">
              <w:t>.</w:t>
            </w:r>
            <w:r w:rsidR="00635A5A" w:rsidRPr="003D3A00">
              <w:t xml:space="preserve"> </w:t>
            </w:r>
            <w:r w:rsidR="00635A5A">
              <w:t>T</w:t>
            </w:r>
            <w:r w:rsidR="00635A5A" w:rsidRPr="003D3A00">
              <w:t>he fund</w:t>
            </w:r>
            <w:r w:rsidR="00635A5A" w:rsidRPr="003D3A00" w:rsidDel="00BD2FA5">
              <w:t>ing</w:t>
            </w:r>
            <w:r w:rsidR="00635A5A" w:rsidRPr="003D3A00">
              <w:t xml:space="preserve"> of the plan is usually </w:t>
            </w:r>
            <w:r w:rsidR="00635A5A" w:rsidRPr="003D3A00" w:rsidDel="00BD2FA5">
              <w:t xml:space="preserve">the </w:t>
            </w:r>
            <w:r w:rsidR="00635A5A">
              <w:t xml:space="preserve">sole </w:t>
            </w:r>
            <w:r w:rsidR="00635A5A" w:rsidRPr="003D3A00" w:rsidDel="00BD2FA5">
              <w:t>responsibility of</w:t>
            </w:r>
            <w:r w:rsidR="00635A5A" w:rsidRPr="003D3A00">
              <w:t xml:space="preserve"> the employer</w:t>
            </w:r>
            <w:r w:rsidR="008579E0">
              <w:t>;</w:t>
            </w:r>
            <w:r w:rsidR="00635A5A">
              <w:t xml:space="preserve"> however</w:t>
            </w:r>
            <w:r w:rsidR="008579E0">
              <w:t>,</w:t>
            </w:r>
            <w:r w:rsidR="00635A5A">
              <w:t xml:space="preserve"> a variation of the plan</w:t>
            </w:r>
            <w:r w:rsidR="008579E0">
              <w:t xml:space="preserve"> - </w:t>
            </w:r>
            <w:r w:rsidR="00635A5A">
              <w:t xml:space="preserve">the </w:t>
            </w:r>
            <w:r w:rsidR="00635A5A" w:rsidRPr="008E3F14">
              <w:rPr>
                <w:rStyle w:val="Hyperlink"/>
              </w:rPr>
              <w:t xml:space="preserve">DB(k) </w:t>
            </w:r>
            <w:r w:rsidR="008579E0">
              <w:rPr>
                <w:rStyle w:val="Hyperlink"/>
              </w:rPr>
              <w:t>P</w:t>
            </w:r>
            <w:r w:rsidR="00635A5A" w:rsidRPr="008E3F14">
              <w:rPr>
                <w:rStyle w:val="Hyperlink"/>
              </w:rPr>
              <w:t>lan</w:t>
            </w:r>
            <w:r w:rsidR="008579E0">
              <w:t xml:space="preserve"> -</w:t>
            </w:r>
            <w:r w:rsidR="00635A5A">
              <w:t xml:space="preserve"> allows participant deferrals.</w:t>
            </w:r>
            <w:r w:rsidRPr="003D3A00">
              <w:t xml:space="preserve"> </w:t>
            </w:r>
          </w:p>
          <w:tbl>
            <w:tblPr>
              <w:tblStyle w:val="TableGrid"/>
              <w:tblW w:w="0" w:type="auto"/>
              <w:tblBorders>
                <w:insideH w:val="none" w:sz="0" w:space="0" w:color="auto"/>
                <w:insideV w:val="none" w:sz="0" w:space="0" w:color="auto"/>
              </w:tblBorders>
              <w:shd w:val="clear" w:color="auto" w:fill="E0E0E0"/>
              <w:tblLook w:val="04A0" w:firstRow="1" w:lastRow="0" w:firstColumn="1" w:lastColumn="0" w:noHBand="0" w:noVBand="1"/>
            </w:tblPr>
            <w:tblGrid>
              <w:gridCol w:w="9345"/>
            </w:tblGrid>
            <w:tr w:rsidR="00200833" w14:paraId="2E820C01" w14:textId="77777777" w:rsidTr="008E3F14">
              <w:tc>
                <w:tcPr>
                  <w:tcW w:w="9345" w:type="dxa"/>
                  <w:shd w:val="clear" w:color="auto" w:fill="E0E0E0"/>
                </w:tcPr>
                <w:p w14:paraId="68C69052" w14:textId="77777777" w:rsidR="00200833" w:rsidRPr="008579E0" w:rsidRDefault="00200833" w:rsidP="006027B5">
                  <w:pPr>
                    <w:rPr>
                      <w:rStyle w:val="Hyperlink"/>
                      <w:u w:val="none"/>
                    </w:rPr>
                  </w:pPr>
                  <w:r w:rsidRPr="008E3F14">
                    <w:rPr>
                      <w:rStyle w:val="Hyperlink"/>
                      <w:u w:val="none"/>
                    </w:rPr>
                    <w:t>Limits</w:t>
                  </w:r>
                </w:p>
                <w:p w14:paraId="31769D6C" w14:textId="26C85152" w:rsidR="00200833" w:rsidRPr="008E3F14" w:rsidRDefault="00200833">
                  <w:pPr>
                    <w:rPr>
                      <w:rStyle w:val="Hyperlink"/>
                    </w:rPr>
                  </w:pPr>
                  <w:r w:rsidRPr="003D3A00">
                    <w:t xml:space="preserve">The maximum </w:t>
                  </w:r>
                  <w:r>
                    <w:t xml:space="preserve">annual </w:t>
                  </w:r>
                  <w:r w:rsidRPr="003D3A00">
                    <w:t xml:space="preserve">benefit that can be funded for a benefit beginning at age 65 (in </w:t>
                  </w:r>
                  <w:r w:rsidR="002D2503">
                    <w:t>2016</w:t>
                  </w:r>
                  <w:r>
                    <w:t xml:space="preserve">, </w:t>
                  </w:r>
                  <w:r w:rsidRPr="003D3A00">
                    <w:t xml:space="preserve">as indexed) is </w:t>
                  </w:r>
                  <w:r>
                    <w:t xml:space="preserve">the lesser of </w:t>
                  </w:r>
                  <w:r w:rsidRPr="003D3A00">
                    <w:t>$</w:t>
                  </w:r>
                  <w:r>
                    <w:t>210</w:t>
                  </w:r>
                  <w:r w:rsidRPr="003D3A00">
                    <w:t xml:space="preserve">,000 </w:t>
                  </w:r>
                  <w:r>
                    <w:t>or 100% of the average compensation earned over the three highest paid consecutive years. These limits are referred to as the “Section 415(b)” limits. The limits are lower for retirement before age 62 and higher for retirement after age 65.</w:t>
                  </w:r>
                </w:p>
              </w:tc>
            </w:tr>
          </w:tbl>
          <w:p w14:paraId="1E5DFFA1" w14:textId="77777777" w:rsidR="00635A5A" w:rsidRDefault="00635A5A" w:rsidP="00635A5A"/>
          <w:tbl>
            <w:tblPr>
              <w:tblStyle w:val="TableGrid"/>
              <w:tblW w:w="0" w:type="auto"/>
              <w:tblBorders>
                <w:insideH w:val="none" w:sz="0" w:space="0" w:color="auto"/>
                <w:insideV w:val="none" w:sz="0" w:space="0" w:color="auto"/>
              </w:tblBorders>
              <w:shd w:val="clear" w:color="auto" w:fill="E0E0E0"/>
              <w:tblLook w:val="04A0" w:firstRow="1" w:lastRow="0" w:firstColumn="1" w:lastColumn="0" w:noHBand="0" w:noVBand="1"/>
            </w:tblPr>
            <w:tblGrid>
              <w:gridCol w:w="9345"/>
            </w:tblGrid>
            <w:tr w:rsidR="00635A5A" w14:paraId="7E874D76" w14:textId="77777777" w:rsidTr="00635A5A">
              <w:tc>
                <w:tcPr>
                  <w:tcW w:w="9345" w:type="dxa"/>
                  <w:shd w:val="clear" w:color="auto" w:fill="E0E0E0"/>
                </w:tcPr>
                <w:p w14:paraId="17247B50" w14:textId="65652883" w:rsidR="00635A5A" w:rsidRPr="008579E0" w:rsidRDefault="00635A5A" w:rsidP="00635A5A">
                  <w:pPr>
                    <w:rPr>
                      <w:rStyle w:val="Hyperlink"/>
                      <w:u w:val="none"/>
                    </w:rPr>
                  </w:pPr>
                  <w:r w:rsidRPr="008579E0">
                    <w:rPr>
                      <w:rStyle w:val="Hyperlink"/>
                      <w:u w:val="none"/>
                    </w:rPr>
                    <w:t>DB(k) Plan</w:t>
                  </w:r>
                </w:p>
                <w:p w14:paraId="6D9B6BE6" w14:textId="4E39DA8D" w:rsidR="00635A5A" w:rsidRPr="00E42959" w:rsidRDefault="00635A5A">
                  <w:pPr>
                    <w:rPr>
                      <w:rStyle w:val="Hyperlink"/>
                    </w:rPr>
                  </w:pPr>
                  <w:r>
                    <w:rPr>
                      <w:rStyle w:val="Strong"/>
                      <w:b w:val="0"/>
                      <w:bCs w:val="0"/>
                    </w:rPr>
                    <w:t>Courtesy of the Pension Protection Act of 2006, plan participants may make salary deferrals into a specialized version of the Traditional Defined Benefit Plan known as the DB(k) Plan. The employer is allowed</w:t>
                  </w:r>
                  <w:r w:rsidR="008579E0">
                    <w:rPr>
                      <w:rStyle w:val="Strong"/>
                      <w:b w:val="0"/>
                      <w:bCs w:val="0"/>
                    </w:rPr>
                    <w:t>,</w:t>
                  </w:r>
                  <w:r>
                    <w:rPr>
                      <w:rStyle w:val="Strong"/>
                      <w:b w:val="0"/>
                      <w:bCs w:val="0"/>
                    </w:rPr>
                    <w:t xml:space="preserve"> but not required to</w:t>
                  </w:r>
                  <w:r w:rsidR="008579E0">
                    <w:rPr>
                      <w:rStyle w:val="Strong"/>
                      <w:b w:val="0"/>
                      <w:bCs w:val="0"/>
                    </w:rPr>
                    <w:t>,</w:t>
                  </w:r>
                  <w:r>
                    <w:rPr>
                      <w:rStyle w:val="Strong"/>
                      <w:b w:val="0"/>
                      <w:bCs w:val="0"/>
                    </w:rPr>
                    <w:t xml:space="preserve"> make DB(k) </w:t>
                  </w:r>
                  <w:r w:rsidR="008579E0">
                    <w:rPr>
                      <w:rStyle w:val="Strong"/>
                      <w:b w:val="0"/>
                      <w:bCs w:val="0"/>
                    </w:rPr>
                    <w:t>P</w:t>
                  </w:r>
                  <w:r>
                    <w:rPr>
                      <w:rStyle w:val="Strong"/>
                      <w:b w:val="0"/>
                      <w:bCs w:val="0"/>
                    </w:rPr>
                    <w:t>lans available.</w:t>
                  </w:r>
                  <w:r w:rsidR="008816D8">
                    <w:rPr>
                      <w:rStyle w:val="Strong"/>
                      <w:b w:val="0"/>
                      <w:bCs w:val="0"/>
                    </w:rPr>
                    <w:t xml:space="preserve"> DB(k) </w:t>
                  </w:r>
                  <w:r w:rsidR="008579E0">
                    <w:rPr>
                      <w:rStyle w:val="Strong"/>
                      <w:b w:val="0"/>
                      <w:bCs w:val="0"/>
                    </w:rPr>
                    <w:t>P</w:t>
                  </w:r>
                  <w:r w:rsidR="008816D8">
                    <w:rPr>
                      <w:rStyle w:val="Strong"/>
                      <w:b w:val="0"/>
                      <w:bCs w:val="0"/>
                    </w:rPr>
                    <w:t xml:space="preserve">lans are designed to require less sponsor cost vs. traditional DB </w:t>
                  </w:r>
                  <w:r w:rsidR="008579E0">
                    <w:rPr>
                      <w:rStyle w:val="Strong"/>
                      <w:b w:val="0"/>
                      <w:bCs w:val="0"/>
                    </w:rPr>
                    <w:t>P</w:t>
                  </w:r>
                  <w:r w:rsidR="008816D8">
                    <w:rPr>
                      <w:rStyle w:val="Strong"/>
                      <w:b w:val="0"/>
                      <w:bCs w:val="0"/>
                    </w:rPr>
                    <w:t>lans to encourage adoption by small to medium</w:t>
                  </w:r>
                  <w:r w:rsidR="008579E0">
                    <w:rPr>
                      <w:rStyle w:val="Strong"/>
                      <w:b w:val="0"/>
                      <w:bCs w:val="0"/>
                    </w:rPr>
                    <w:t>-</w:t>
                  </w:r>
                  <w:r w:rsidR="008816D8">
                    <w:rPr>
                      <w:rStyle w:val="Strong"/>
                      <w:b w:val="0"/>
                      <w:bCs w:val="0"/>
                    </w:rPr>
                    <w:t xml:space="preserve">sized business owners. </w:t>
                  </w:r>
                </w:p>
              </w:tc>
            </w:tr>
          </w:tbl>
          <w:p w14:paraId="554B5856" w14:textId="1CA9248D" w:rsidR="00AC40A8" w:rsidRDefault="00AC40A8" w:rsidP="00050D62">
            <w:pPr>
              <w:rPr>
                <w:rStyle w:val="Strong"/>
                <w:b w:val="0"/>
                <w:bCs w:val="0"/>
              </w:rPr>
            </w:pPr>
            <w:r w:rsidRPr="003D3A00">
              <w:rPr>
                <w:rStyle w:val="Strong"/>
                <w:b w:val="0"/>
                <w:bCs w:val="0"/>
              </w:rPr>
              <w:t>As in any qualified plan, taxation of withdrawals from the plan is deferred until withdrawn by the plan participant. Employers are subject to at least a quarterly funding obligation, regardless of the company’s profitability.</w:t>
            </w:r>
            <w:r w:rsidR="00635A5A">
              <w:rPr>
                <w:rStyle w:val="Strong"/>
                <w:b w:val="0"/>
                <w:bCs w:val="0"/>
              </w:rPr>
              <w:t xml:space="preserve"> </w:t>
            </w:r>
          </w:p>
          <w:p w14:paraId="09240F70" w14:textId="5868E716" w:rsidR="00D03076" w:rsidRDefault="00AC40A8" w:rsidP="006B5917">
            <w:r>
              <w:t>The Employee Benefit Research Institute (EBRI), in its August 2011 Notes, Vol. 32, No. 8, reports a free fall in employee participation rates in private sec</w:t>
            </w:r>
            <w:r w:rsidR="008579E0">
              <w:t>tor Defined Benefits Plans.</w:t>
            </w:r>
            <w:r>
              <w:t xml:space="preserve"> </w:t>
            </w:r>
            <w:r w:rsidR="008579E0">
              <w:t>I</w:t>
            </w:r>
            <w:r>
              <w:t>n 1979</w:t>
            </w:r>
            <w:r w:rsidR="00356F9A">
              <w:t>,</w:t>
            </w:r>
            <w:r>
              <w:t xml:space="preserve"> 38% of private sector employees participated in these plans and by 2008</w:t>
            </w:r>
            <w:r w:rsidR="008579E0">
              <w:t>,</w:t>
            </w:r>
            <w:r>
              <w:t xml:space="preserve"> the participation rate had plummeted to 15%. </w:t>
            </w:r>
            <w:r w:rsidR="001B3FD1">
              <w:t xml:space="preserve">This plummet can be attributed to the increasing lack of such plan offerings by employers. </w:t>
            </w:r>
            <w:r>
              <w:t>By 2011, only 1 in 10 private sector employers offered a Defined Benefit Plan.</w:t>
            </w:r>
            <w:r w:rsidR="00162BCF">
              <w:rPr>
                <w:rStyle w:val="FootnoteReference"/>
              </w:rPr>
              <w:footnoteReference w:id="7"/>
            </w:r>
          </w:p>
          <w:p w14:paraId="34E9ABB6" w14:textId="77777777" w:rsidR="00D03076" w:rsidRDefault="00635A5A">
            <w:r>
              <w:t>Here is a key takeaway. A</w:t>
            </w:r>
            <w:r w:rsidR="006B5917">
              <w:t xml:space="preserve"> client currently participating in a Defined Benefit Plan should carefully consider the </w:t>
            </w:r>
            <w:r w:rsidR="008B79CF">
              <w:t xml:space="preserve">retirement accumulation </w:t>
            </w:r>
            <w:r w:rsidR="006B5917">
              <w:t>impact of changing jobs if the new employer does not offer a DB Plan.</w:t>
            </w:r>
          </w:p>
          <w:p w14:paraId="4770F0D0" w14:textId="10F2507B" w:rsidR="00CE5D1B" w:rsidRPr="00162BCF" w:rsidRDefault="00095E0E" w:rsidP="00095E0E">
            <w:r>
              <w:t>Annual employer contributions are required.</w:t>
            </w:r>
          </w:p>
        </w:tc>
      </w:tr>
      <w:tr w:rsidR="00162BCF" w:rsidRPr="003D3A00" w14:paraId="56679BE1" w14:textId="77777777" w:rsidTr="00162BCF">
        <w:tc>
          <w:tcPr>
            <w:tcW w:w="9590" w:type="dxa"/>
            <w:tcBorders>
              <w:bottom w:val="single" w:sz="4" w:space="0" w:color="6CA8CD"/>
            </w:tcBorders>
            <w:shd w:val="clear" w:color="auto" w:fill="6CA8CD"/>
            <w:tcMar>
              <w:top w:w="72" w:type="dxa"/>
              <w:left w:w="115" w:type="dxa"/>
              <w:bottom w:w="72" w:type="dxa"/>
              <w:right w:w="115" w:type="dxa"/>
            </w:tcMar>
          </w:tcPr>
          <w:p w14:paraId="0A757073" w14:textId="72339DB1" w:rsidR="00162BCF" w:rsidRPr="003D3A00" w:rsidRDefault="0041370C" w:rsidP="009F0D3D">
            <w:pPr>
              <w:rPr>
                <w:b/>
                <w:color w:val="FFFFFF"/>
              </w:rPr>
            </w:pPr>
            <w:r>
              <w:rPr>
                <w:b/>
                <w:color w:val="FFFFFF"/>
              </w:rPr>
              <w:lastRenderedPageBreak/>
              <w:t xml:space="preserve">412(e)(3) </w:t>
            </w:r>
            <w:r w:rsidR="00162BCF">
              <w:rPr>
                <w:b/>
                <w:color w:val="FFFFFF"/>
              </w:rPr>
              <w:t>Fully Insured Defined Benefit</w:t>
            </w:r>
            <w:r w:rsidR="00162BCF">
              <w:t xml:space="preserve"> </w:t>
            </w:r>
            <w:r w:rsidR="00162BCF" w:rsidRPr="003D3A00">
              <w:rPr>
                <w:b/>
                <w:color w:val="FFFFFF"/>
              </w:rPr>
              <w:t>Plans</w:t>
            </w:r>
          </w:p>
        </w:tc>
      </w:tr>
      <w:tr w:rsidR="00162BCF" w:rsidRPr="003D3A00" w14:paraId="525A9E29" w14:textId="77777777" w:rsidTr="00162BCF">
        <w:tc>
          <w:tcPr>
            <w:tcW w:w="9590" w:type="dxa"/>
            <w:tcBorders>
              <w:bottom w:val="single" w:sz="4" w:space="0" w:color="6CA8CD"/>
            </w:tcBorders>
            <w:shd w:val="clear" w:color="auto" w:fill="FFFFFF"/>
            <w:tcMar>
              <w:top w:w="72" w:type="dxa"/>
              <w:left w:w="115" w:type="dxa"/>
              <w:bottom w:w="72" w:type="dxa"/>
              <w:right w:w="115" w:type="dxa"/>
            </w:tcMar>
          </w:tcPr>
          <w:p w14:paraId="28DB66B2" w14:textId="77777777" w:rsidR="00162BCF" w:rsidRDefault="00162BCF">
            <w:r w:rsidRPr="003D3A00">
              <w:t xml:space="preserve">A </w:t>
            </w:r>
            <w:r w:rsidR="00750A59">
              <w:t>Fully Insured Defined Benefit P</w:t>
            </w:r>
            <w:r>
              <w:t xml:space="preserve">lan is simply a Traditional DB Plan funded exclusively with life insurance and/or annuity products. </w:t>
            </w:r>
            <w:r w:rsidR="000D2768">
              <w:t xml:space="preserve">Employers </w:t>
            </w:r>
            <w:r>
              <w:t xml:space="preserve">are attracted to fully insured plans because investment risk is shifted from the plan sponsor to an insurance company, </w:t>
            </w:r>
            <w:r w:rsidR="00750A59">
              <w:t>costs of plan set</w:t>
            </w:r>
            <w:r w:rsidR="00535989">
              <w:t>-</w:t>
            </w:r>
            <w:r w:rsidRPr="003D3A00">
              <w:t xml:space="preserve">up and </w:t>
            </w:r>
            <w:r w:rsidR="00750A59">
              <w:t>administration are less than a T</w:t>
            </w:r>
            <w:r w:rsidRPr="003D3A00">
              <w:t>raditional DB Plan, and the contribution levels are typically higher in the early plan years</w:t>
            </w:r>
            <w:r w:rsidR="00750A59">
              <w:t xml:space="preserve"> than in a T</w:t>
            </w:r>
            <w:r>
              <w:t>raditional DB Plan.</w:t>
            </w:r>
            <w:r w:rsidR="000D2768">
              <w:t xml:space="preserve"> For those reasons, the </w:t>
            </w:r>
            <w:r w:rsidR="00750A59">
              <w:t>F</w:t>
            </w:r>
            <w:r w:rsidR="000D2768">
              <w:t xml:space="preserve">ully </w:t>
            </w:r>
            <w:r w:rsidR="00750A59">
              <w:t>I</w:t>
            </w:r>
            <w:r w:rsidR="000D2768">
              <w:t xml:space="preserve">nsured DB </w:t>
            </w:r>
            <w:r w:rsidR="00750A59">
              <w:t>P</w:t>
            </w:r>
            <w:r w:rsidR="000D2768">
              <w:t xml:space="preserve">lan may also appeal to the small business owner/employee. </w:t>
            </w:r>
          </w:p>
          <w:p w14:paraId="34C706BF" w14:textId="3B062AD1" w:rsidR="00CE5D1B" w:rsidRPr="003D3A00" w:rsidRDefault="00095E0E" w:rsidP="00095E0E">
            <w:r>
              <w:t>Annual employer contributions are required.</w:t>
            </w:r>
          </w:p>
        </w:tc>
      </w:tr>
      <w:tr w:rsidR="003D3A00" w:rsidRPr="003D3A00" w14:paraId="33759EA5" w14:textId="77777777" w:rsidTr="00162BCF">
        <w:tc>
          <w:tcPr>
            <w:tcW w:w="9590" w:type="dxa"/>
            <w:tcBorders>
              <w:bottom w:val="single" w:sz="4" w:space="0" w:color="6CA8CD"/>
            </w:tcBorders>
            <w:shd w:val="clear" w:color="auto" w:fill="6CA8CD"/>
            <w:tcMar>
              <w:top w:w="72" w:type="dxa"/>
              <w:left w:w="115" w:type="dxa"/>
              <w:bottom w:w="72" w:type="dxa"/>
              <w:right w:w="115" w:type="dxa"/>
            </w:tcMar>
          </w:tcPr>
          <w:p w14:paraId="79725D63" w14:textId="46D1325E" w:rsidR="003D3A00" w:rsidRPr="003D3A00" w:rsidRDefault="00CE5D1B" w:rsidP="003916C4">
            <w:pPr>
              <w:rPr>
                <w:b/>
                <w:color w:val="FFFFFF"/>
              </w:rPr>
            </w:pPr>
            <w:r>
              <w:rPr>
                <w:b/>
                <w:color w:val="FFFFFF"/>
              </w:rPr>
              <w:t xml:space="preserve">Cash Balance </w:t>
            </w:r>
            <w:r w:rsidR="003D3A00" w:rsidRPr="003D3A00">
              <w:rPr>
                <w:b/>
                <w:color w:val="FFFFFF"/>
              </w:rPr>
              <w:t>Plans</w:t>
            </w:r>
          </w:p>
        </w:tc>
      </w:tr>
      <w:tr w:rsidR="003D3A00" w:rsidRPr="003D3A00" w14:paraId="592DBE05" w14:textId="77777777" w:rsidTr="00162BCF">
        <w:tc>
          <w:tcPr>
            <w:tcW w:w="9590" w:type="dxa"/>
            <w:shd w:val="clear" w:color="auto" w:fill="FFFFFF"/>
            <w:tcMar>
              <w:top w:w="72" w:type="dxa"/>
              <w:left w:w="115" w:type="dxa"/>
              <w:bottom w:w="72" w:type="dxa"/>
              <w:right w:w="115" w:type="dxa"/>
            </w:tcMar>
          </w:tcPr>
          <w:p w14:paraId="4253E733" w14:textId="7B849113" w:rsidR="003D3A00" w:rsidRPr="00E3113C" w:rsidRDefault="00FD74E4" w:rsidP="003916C4">
            <w:r>
              <w:t xml:space="preserve">Cash Balance </w:t>
            </w:r>
            <w:r w:rsidR="00750A59">
              <w:t>Pension P</w:t>
            </w:r>
            <w:r>
              <w:t xml:space="preserve">lans </w:t>
            </w:r>
            <w:r w:rsidR="003D3A00" w:rsidRPr="00E3113C">
              <w:t xml:space="preserve">are </w:t>
            </w:r>
            <w:r>
              <w:t>functionally a</w:t>
            </w:r>
            <w:r w:rsidRPr="00E3113C">
              <w:t xml:space="preserve"> </w:t>
            </w:r>
            <w:r w:rsidR="003D3A00" w:rsidRPr="00E3113C">
              <w:t xml:space="preserve">hybrid of defined benefit plans and </w:t>
            </w:r>
            <w:r>
              <w:t xml:space="preserve">defined contribution category plans. </w:t>
            </w:r>
            <w:r w:rsidR="003D3A00" w:rsidRPr="00E3113C">
              <w:t xml:space="preserve">The employer makes contributions to the plan based on actuarial calculations (like a DB Plan). Each employee’s non-segregated account accumulates based on contributions and interest “credits.” Like a </w:t>
            </w:r>
            <w:r>
              <w:t xml:space="preserve">defined contribution </w:t>
            </w:r>
            <w:r w:rsidR="00600ABA">
              <w:t>category</w:t>
            </w:r>
            <w:r>
              <w:t xml:space="preserve"> plan</w:t>
            </w:r>
            <w:r w:rsidR="003D3A00" w:rsidRPr="00E3113C">
              <w:t xml:space="preserve">, these plans pay out benefits at retirement based on how much money has accumulated in the account. Typically, the employer guarantees the interest rate (which is </w:t>
            </w:r>
            <w:r w:rsidR="00F128C8">
              <w:t>usually</w:t>
            </w:r>
            <w:r w:rsidR="003D3A00" w:rsidRPr="00E3113C">
              <w:t xml:space="preserve"> modest due to short-term ra</w:t>
            </w:r>
            <w:r w:rsidR="00157BF9">
              <w:t>te assumptions and guarantees).</w:t>
            </w:r>
          </w:p>
          <w:p w14:paraId="27D95F67" w14:textId="76A56D3D" w:rsidR="003D3A00" w:rsidRPr="00E3113C" w:rsidRDefault="00FD74E4" w:rsidP="009B48DF">
            <w:r>
              <w:lastRenderedPageBreak/>
              <w:t xml:space="preserve">Cash Balance </w:t>
            </w:r>
            <w:r w:rsidR="00750A59">
              <w:t>Plans have been</w:t>
            </w:r>
            <w:r w:rsidR="003D3A00" w:rsidRPr="00E3113C">
              <w:t xml:space="preserve"> the subject of controversy in recent years since many large companies have amended their Defined Benefit Plans to Cash Balance Plans. These amendments tend to significantly reduce </w:t>
            </w:r>
            <w:r w:rsidR="00471C02">
              <w:t xml:space="preserve">future </w:t>
            </w:r>
            <w:r w:rsidR="003D3A00" w:rsidRPr="00E3113C">
              <w:t>benefit</w:t>
            </w:r>
            <w:r w:rsidR="00471C02">
              <w:t xml:space="preserve"> accruals</w:t>
            </w:r>
            <w:r w:rsidR="003D3A00" w:rsidRPr="00E3113C">
              <w:t xml:space="preserve"> for older/shorter-term employees. Why the change? Cash Balance Plans are much less expensive to </w:t>
            </w:r>
            <w:r>
              <w:t xml:space="preserve">administer and pose far less investment risk to </w:t>
            </w:r>
            <w:r w:rsidR="003D3A00" w:rsidRPr="00E3113C">
              <w:t>the emp</w:t>
            </w:r>
            <w:r w:rsidR="00157BF9">
              <w:t>loyer.</w:t>
            </w:r>
            <w:r w:rsidR="00CE5D1B">
              <w:t xml:space="preserve"> </w:t>
            </w:r>
            <w:r w:rsidR="00095E0E">
              <w:t>Annual employer contributions are required.</w:t>
            </w:r>
          </w:p>
        </w:tc>
      </w:tr>
    </w:tbl>
    <w:p w14:paraId="01920F79" w14:textId="77777777" w:rsidR="009E7DBE" w:rsidRDefault="0006149C" w:rsidP="004344CA">
      <w:pPr>
        <w:pStyle w:val="Heading2"/>
      </w:pPr>
      <w:r>
        <w:lastRenderedPageBreak/>
        <w:br w:type="page"/>
      </w:r>
      <w:r w:rsidR="00A232E4">
        <w:lastRenderedPageBreak/>
        <w:t>Defined Contribution Plans</w:t>
      </w:r>
    </w:p>
    <w:p w14:paraId="5B68425D" w14:textId="4BABBC35" w:rsidR="009E7DBE" w:rsidRPr="00E67340" w:rsidRDefault="0042491B" w:rsidP="001450D5">
      <w:r>
        <w:rPr>
          <w:noProof/>
          <w:lang w:eastAsia="zh-CN"/>
        </w:rPr>
        <w:drawing>
          <wp:anchor distT="0" distB="0" distL="114300" distR="114300" simplePos="0" relativeHeight="251658240" behindDoc="0" locked="0" layoutInCell="1" allowOverlap="1" wp14:anchorId="2209D8BC" wp14:editId="2B0AA143">
            <wp:simplePos x="0" y="0"/>
            <wp:positionH relativeFrom="column">
              <wp:posOffset>3657600</wp:posOffset>
            </wp:positionH>
            <wp:positionV relativeFrom="paragraph">
              <wp:posOffset>-63500</wp:posOffset>
            </wp:positionV>
            <wp:extent cx="2199005" cy="2199005"/>
            <wp:effectExtent l="0" t="0" r="10795" b="10795"/>
            <wp:wrapSquare wrapText="bothSides"/>
            <wp:docPr id="24" name="Picture 24" descr="Qualified Pla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ualified Plans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005" cy="21990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E7DBE" w:rsidRPr="00E67340">
        <w:t xml:space="preserve">These plans do not define the benefits the employee receives upon retirement. Rather, they define the procedures under which contributions </w:t>
      </w:r>
      <w:r w:rsidR="009E7DBE" w:rsidRPr="00E67340">
        <w:rPr>
          <w:rStyle w:val="Strong"/>
        </w:rPr>
        <w:t>may or may not</w:t>
      </w:r>
      <w:r w:rsidR="009E7DBE" w:rsidRPr="00E67340">
        <w:t xml:space="preserve"> be made by the participant or employer to each participant's account. Contributions are not </w:t>
      </w:r>
      <w:r w:rsidR="00130219">
        <w:t>always guaranteed in Defined Contribution P</w:t>
      </w:r>
      <w:r w:rsidR="009E7DBE" w:rsidRPr="00E67340">
        <w:t xml:space="preserve">lans. Benefits upon retirement </w:t>
      </w:r>
      <w:r w:rsidR="00EF5141" w:rsidRPr="00E67340">
        <w:t>depend on the amount of plan contributions, how long they have to grow and</w:t>
      </w:r>
      <w:r w:rsidR="009E7DBE" w:rsidRPr="00E67340">
        <w:t xml:space="preserve"> the investment performance of the funds that are contributed.  This shift of investment responsibility from the employer and reduced cost are the primary reason</w:t>
      </w:r>
      <w:r w:rsidR="00AC2B75" w:rsidRPr="00E67340">
        <w:t>s</w:t>
      </w:r>
      <w:r w:rsidR="009E7DBE" w:rsidRPr="00E67340">
        <w:t xml:space="preserve"> these plans have become much more popular with employers than </w:t>
      </w:r>
      <w:r w:rsidR="00855762">
        <w:t>DB</w:t>
      </w:r>
      <w:r w:rsidR="00130219">
        <w:t xml:space="preserve"> P</w:t>
      </w:r>
      <w:r w:rsidR="009E7DBE" w:rsidRPr="00E67340">
        <w:t>lans</w:t>
      </w:r>
      <w:r w:rsidR="005B13C7">
        <w:t xml:space="preserve">. Our focus in this discussion is on the most widely available Defined Contribution </w:t>
      </w:r>
      <w:r w:rsidR="00130219">
        <w:t>P</w:t>
      </w:r>
      <w:r w:rsidR="005B13C7">
        <w:t>lans</w:t>
      </w:r>
      <w:r w:rsidR="00855762">
        <w:t>.</w:t>
      </w:r>
      <w:r w:rsidR="005B13C7">
        <w:t xml:space="preserve"> </w:t>
      </w:r>
    </w:p>
    <w:p w14:paraId="49C6C679" w14:textId="28823EF9" w:rsidR="00076D5F" w:rsidRDefault="00076D5F" w:rsidP="000809A4">
      <w:pPr>
        <w:jc w:val="center"/>
        <w:rPr>
          <w:b/>
          <w:color w:val="FF0000"/>
        </w:rPr>
      </w:pPr>
    </w:p>
    <w:p w14:paraId="69B8E958" w14:textId="77777777" w:rsidR="00A232E4" w:rsidRPr="001F3D42" w:rsidRDefault="00F758D3" w:rsidP="001F3D42">
      <w:pPr>
        <w:rPr>
          <w:b/>
          <w:color w:val="FF0000"/>
        </w:rPr>
      </w:pPr>
      <w:r w:rsidRPr="00E67340">
        <w:rPr>
          <w:b/>
          <w:color w:val="FF0000"/>
        </w:rPr>
        <w:t>Click on each plan to learn more.</w:t>
      </w:r>
    </w:p>
    <w:p w14:paraId="75DCC98E" w14:textId="77777777" w:rsidR="00F758D3" w:rsidRDefault="00F758D3" w:rsidP="00A55B71">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3279E2" w:rsidRPr="003279E2" w14:paraId="0CCB4B72" w14:textId="77777777" w:rsidTr="008E3F14">
        <w:tc>
          <w:tcPr>
            <w:tcW w:w="9590" w:type="dxa"/>
            <w:tcBorders>
              <w:bottom w:val="single" w:sz="4" w:space="0" w:color="6CA8CD"/>
            </w:tcBorders>
            <w:shd w:val="clear" w:color="auto" w:fill="6CA8CD"/>
            <w:tcMar>
              <w:top w:w="72" w:type="dxa"/>
              <w:left w:w="115" w:type="dxa"/>
              <w:bottom w:w="72" w:type="dxa"/>
              <w:right w:w="115" w:type="dxa"/>
            </w:tcMar>
          </w:tcPr>
          <w:p w14:paraId="322D3EB4" w14:textId="77777777" w:rsidR="003279E2" w:rsidRPr="003279E2" w:rsidRDefault="003279E2" w:rsidP="003916C4">
            <w:pPr>
              <w:rPr>
                <w:b/>
                <w:color w:val="FFFFFF"/>
              </w:rPr>
            </w:pPr>
            <w:r w:rsidRPr="003279E2">
              <w:rPr>
                <w:rStyle w:val="Strong"/>
                <w:bCs w:val="0"/>
                <w:color w:val="FFFFFF"/>
              </w:rPr>
              <w:t>Profit Sharing Plans</w:t>
            </w:r>
          </w:p>
        </w:tc>
      </w:tr>
      <w:tr w:rsidR="003279E2" w:rsidRPr="003279E2" w14:paraId="706E2510" w14:textId="77777777" w:rsidTr="008E3F14">
        <w:tc>
          <w:tcPr>
            <w:tcW w:w="9590" w:type="dxa"/>
            <w:shd w:val="clear" w:color="auto" w:fill="FFFFFF"/>
            <w:tcMar>
              <w:top w:w="72" w:type="dxa"/>
              <w:left w:w="115" w:type="dxa"/>
              <w:bottom w:w="72" w:type="dxa"/>
              <w:right w:w="115" w:type="dxa"/>
            </w:tcMar>
          </w:tcPr>
          <w:p w14:paraId="6E1A15E6" w14:textId="3C77A971" w:rsidR="003279E2" w:rsidRPr="003279E2" w:rsidRDefault="003279E2" w:rsidP="00A73EC2">
            <w:r w:rsidRPr="003279E2">
              <w:t xml:space="preserve">Profit </w:t>
            </w:r>
            <w:r w:rsidR="00130219" w:rsidRPr="003279E2">
              <w:t xml:space="preserve">Sharing Plans </w:t>
            </w:r>
            <w:r w:rsidRPr="003279E2">
              <w:t xml:space="preserve">are a popular type of plan because they have the greatest </w:t>
            </w:r>
            <w:r w:rsidR="00EA48C4">
              <w:t xml:space="preserve">employer </w:t>
            </w:r>
            <w:r w:rsidRPr="003279E2">
              <w:t xml:space="preserve">flexibility. They were initially developed to encourage employees to work hard for the corporation to be profitable, with the expectation that the company would contribute money into the employees’ accounts when corporate profits were realized. Employer contributions to a </w:t>
            </w:r>
            <w:r w:rsidR="00130219" w:rsidRPr="003279E2">
              <w:t xml:space="preserve">Profit Sharing Plan </w:t>
            </w:r>
            <w:r w:rsidRPr="003279E2">
              <w:t xml:space="preserve">are </w:t>
            </w:r>
            <w:r w:rsidR="00EA48C4">
              <w:t xml:space="preserve">generally </w:t>
            </w:r>
            <w:r w:rsidRPr="003279E2">
              <w:t xml:space="preserve">discretionary </w:t>
            </w:r>
            <w:r w:rsidR="00EA48C4">
              <w:t xml:space="preserve">in that the employer decides if, when, and how much to contribute. Annual contributions are not required. </w:t>
            </w:r>
            <w:r w:rsidR="00B53C27">
              <w:t xml:space="preserve">  </w:t>
            </w:r>
          </w:p>
          <w:p w14:paraId="79C70F50" w14:textId="55108A9B" w:rsidR="003279E2" w:rsidRDefault="008206C7" w:rsidP="00A73EC2">
            <w:pPr>
              <w:rPr>
                <w:rStyle w:val="Strong"/>
                <w:b w:val="0"/>
                <w:bCs w:val="0"/>
              </w:rPr>
            </w:pPr>
            <w:r>
              <w:t xml:space="preserve">Compared to Defined Benefit Category </w:t>
            </w:r>
            <w:r w:rsidR="00550F8E">
              <w:t>P</w:t>
            </w:r>
            <w:r>
              <w:t xml:space="preserve">lans, Profit Sharing </w:t>
            </w:r>
            <w:r w:rsidR="00550F8E">
              <w:t>P</w:t>
            </w:r>
            <w:r w:rsidR="003279E2" w:rsidRPr="003279E2">
              <w:t xml:space="preserve">lans are relatively inexpensive to set up and administer. </w:t>
            </w:r>
            <w:r w:rsidR="003279E2" w:rsidRPr="003279E2">
              <w:rPr>
                <w:rStyle w:val="Strong"/>
                <w:b w:val="0"/>
                <w:bCs w:val="0"/>
              </w:rPr>
              <w:t>Employees bear investment risk in this type of plan since the investment performance of plan assets directly affects the amount of their retirement benefits.  As in any qualified plan, pre-tax contributions, growth, and earnings of plan assets are not taxed until wit</w:t>
            </w:r>
            <w:r w:rsidR="00846542">
              <w:rPr>
                <w:rStyle w:val="Strong"/>
                <w:b w:val="0"/>
                <w:bCs w:val="0"/>
              </w:rPr>
              <w:t>hdrawn by the plan participant.</w:t>
            </w:r>
            <w:r w:rsidR="00EA48C4">
              <w:rPr>
                <w:rStyle w:val="Strong"/>
                <w:b w:val="0"/>
                <w:bCs w:val="0"/>
              </w:rPr>
              <w:t xml:space="preserve"> Contributions are subject to statutory </w:t>
            </w:r>
            <w:r w:rsidR="00EA48C4" w:rsidRPr="008E3F14">
              <w:rPr>
                <w:rStyle w:val="Hyperlink"/>
              </w:rPr>
              <w:t>limits</w:t>
            </w:r>
            <w:r w:rsidR="00EA48C4">
              <w:rPr>
                <w:rStyle w:val="Strong"/>
                <w:b w:val="0"/>
                <w:bCs w:val="0"/>
              </w:rPr>
              <w:t xml:space="preserve">. </w:t>
            </w:r>
            <w:r w:rsidR="00095E0E">
              <w:t>Employer contributions are required on a substantial and recurring basis</w:t>
            </w:r>
            <w:r w:rsidR="00A007E2">
              <w:t>,</w:t>
            </w:r>
            <w:r w:rsidR="00095E0E">
              <w:t xml:space="preserve"> but not every year.</w:t>
            </w:r>
          </w:p>
          <w:tbl>
            <w:tblPr>
              <w:tblStyle w:val="TableGrid"/>
              <w:tblW w:w="0" w:type="auto"/>
              <w:tblBorders>
                <w:insideH w:val="none" w:sz="0" w:space="0" w:color="auto"/>
                <w:insideV w:val="none" w:sz="0" w:space="0" w:color="auto"/>
              </w:tblBorders>
              <w:shd w:val="clear" w:color="auto" w:fill="E0E0E0"/>
              <w:tblLook w:val="04A0" w:firstRow="1" w:lastRow="0" w:firstColumn="1" w:lastColumn="0" w:noHBand="0" w:noVBand="1"/>
            </w:tblPr>
            <w:tblGrid>
              <w:gridCol w:w="9345"/>
            </w:tblGrid>
            <w:tr w:rsidR="00EA48C4" w14:paraId="26047A72" w14:textId="77777777" w:rsidTr="008E3F14">
              <w:tc>
                <w:tcPr>
                  <w:tcW w:w="9345" w:type="dxa"/>
                  <w:shd w:val="clear" w:color="auto" w:fill="E0E0E0"/>
                </w:tcPr>
                <w:p w14:paraId="10A845F7" w14:textId="77777777" w:rsidR="00EA48C4" w:rsidRPr="00813D5C" w:rsidRDefault="00EA48C4" w:rsidP="00C162E2">
                  <w:pPr>
                    <w:rPr>
                      <w:rStyle w:val="Hyperlink"/>
                      <w:u w:val="none"/>
                    </w:rPr>
                  </w:pPr>
                  <w:r w:rsidRPr="00813D5C">
                    <w:rPr>
                      <w:rStyle w:val="Hyperlink"/>
                      <w:u w:val="none"/>
                    </w:rPr>
                    <w:t>Limits</w:t>
                  </w:r>
                </w:p>
                <w:p w14:paraId="7BAE7C7A" w14:textId="715FC6C2" w:rsidR="00EA48C4" w:rsidRPr="00846542" w:rsidRDefault="00EA48C4" w:rsidP="00EA48C4">
                  <w:pPr>
                    <w:rPr>
                      <w:rFonts w:eastAsia="Arial Unicode MS"/>
                      <w:color w:val="000000"/>
                    </w:rPr>
                  </w:pPr>
                  <w:r w:rsidRPr="00660376">
                    <w:rPr>
                      <w:color w:val="000000"/>
                    </w:rPr>
                    <w:t xml:space="preserve">In </w:t>
                  </w:r>
                  <w:r w:rsidR="002D2503">
                    <w:rPr>
                      <w:color w:val="000000"/>
                    </w:rPr>
                    <w:t>2016</w:t>
                  </w:r>
                  <w:r w:rsidRPr="00660376">
                    <w:rPr>
                      <w:color w:val="000000"/>
                    </w:rPr>
                    <w:t>, the limit is the lesser of $</w:t>
                  </w:r>
                  <w:r>
                    <w:rPr>
                      <w:color w:val="000000"/>
                    </w:rPr>
                    <w:t>5</w:t>
                  </w:r>
                  <w:r w:rsidR="00F840D0">
                    <w:rPr>
                      <w:color w:val="000000"/>
                    </w:rPr>
                    <w:t>3</w:t>
                  </w:r>
                  <w:r>
                    <w:rPr>
                      <w:color w:val="000000"/>
                    </w:rPr>
                    <w:t xml:space="preserve">,000 (as indexed for CPI) </w:t>
                  </w:r>
                  <w:r w:rsidRPr="00660376">
                    <w:rPr>
                      <w:color w:val="000000"/>
                    </w:rPr>
                    <w:t>or 100% of compensation</w:t>
                  </w:r>
                  <w:r>
                    <w:rPr>
                      <w:color w:val="000000"/>
                    </w:rPr>
                    <w:t>.</w:t>
                  </w:r>
                  <w:r w:rsidRPr="00660376">
                    <w:rPr>
                      <w:color w:val="000000"/>
                    </w:rPr>
                    <w:t xml:space="preserve"> There is also a limit of $</w:t>
                  </w:r>
                  <w:r>
                    <w:rPr>
                      <w:color w:val="000000"/>
                    </w:rPr>
                    <w:t>26</w:t>
                  </w:r>
                  <w:r w:rsidR="00F840D0">
                    <w:rPr>
                      <w:color w:val="000000"/>
                    </w:rPr>
                    <w:t>5</w:t>
                  </w:r>
                  <w:r>
                    <w:rPr>
                      <w:color w:val="000000"/>
                    </w:rPr>
                    <w:t>,000</w:t>
                  </w:r>
                  <w:r w:rsidRPr="00660376">
                    <w:rPr>
                      <w:color w:val="000000"/>
                    </w:rPr>
                    <w:t xml:space="preserve"> (</w:t>
                  </w:r>
                  <w:r w:rsidR="002D2503">
                    <w:rPr>
                      <w:color w:val="000000"/>
                    </w:rPr>
                    <w:t>2016</w:t>
                  </w:r>
                  <w:r w:rsidRPr="00660376">
                    <w:rPr>
                      <w:color w:val="000000"/>
                    </w:rPr>
                    <w:t xml:space="preserve">, as indexed) of compensation that can be used for purposes of determining contributions. </w:t>
                  </w:r>
                </w:p>
                <w:p w14:paraId="47E0E04F" w14:textId="0258E94E" w:rsidR="00EA48C4" w:rsidRDefault="00EA48C4">
                  <w:pPr>
                    <w:rPr>
                      <w:color w:val="000000"/>
                    </w:rPr>
                  </w:pPr>
                  <w:r w:rsidRPr="00660376">
                    <w:rPr>
                      <w:color w:val="000000"/>
                    </w:rPr>
                    <w:t>Employer deductions are generally limited to 25% of covered payroll; thus</w:t>
                  </w:r>
                  <w:r w:rsidR="00550F8E">
                    <w:rPr>
                      <w:color w:val="000000"/>
                    </w:rPr>
                    <w:t>,</w:t>
                  </w:r>
                  <w:r>
                    <w:rPr>
                      <w:color w:val="000000"/>
                    </w:rPr>
                    <w:t xml:space="preserve"> </w:t>
                  </w:r>
                  <w:r w:rsidRPr="00660376">
                    <w:rPr>
                      <w:color w:val="000000"/>
                    </w:rPr>
                    <w:t>most plans limit employer contributions to 25% of each employee’s compensation to a combined employer/employee maximum contribution of $</w:t>
                  </w:r>
                  <w:r>
                    <w:rPr>
                      <w:color w:val="000000"/>
                    </w:rPr>
                    <w:t>5</w:t>
                  </w:r>
                  <w:r w:rsidR="00F840D0">
                    <w:rPr>
                      <w:color w:val="000000"/>
                    </w:rPr>
                    <w:t>3</w:t>
                  </w:r>
                  <w:r>
                    <w:rPr>
                      <w:color w:val="000000"/>
                    </w:rPr>
                    <w:t>,000</w:t>
                  </w:r>
                  <w:r w:rsidRPr="00660376">
                    <w:rPr>
                      <w:color w:val="000000"/>
                    </w:rPr>
                    <w:t xml:space="preserve"> (</w:t>
                  </w:r>
                  <w:r w:rsidR="002D2503">
                    <w:rPr>
                      <w:color w:val="000000"/>
                    </w:rPr>
                    <w:t>2016</w:t>
                  </w:r>
                  <w:r>
                    <w:rPr>
                      <w:color w:val="000000"/>
                    </w:rPr>
                    <w:t>).  Employer contributions are allocated to participants based upon compensation.</w:t>
                  </w:r>
                </w:p>
                <w:p w14:paraId="32A20A60" w14:textId="32707D7F" w:rsidR="00EA48C4" w:rsidRDefault="00EA48C4">
                  <w:pPr>
                    <w:rPr>
                      <w:b/>
                      <w:color w:val="FF0000"/>
                    </w:rPr>
                  </w:pPr>
                  <w:r w:rsidRPr="001F3D42">
                    <w:rPr>
                      <w:b/>
                      <w:color w:val="FF0000"/>
                    </w:rPr>
                    <w:t xml:space="preserve">Click </w:t>
                  </w:r>
                  <w:r w:rsidRPr="001F3D42">
                    <w:rPr>
                      <w:rStyle w:val="Hyperlink"/>
                    </w:rPr>
                    <w:t>here</w:t>
                  </w:r>
                  <w:r w:rsidRPr="001F3D42">
                    <w:rPr>
                      <w:b/>
                      <w:color w:val="FF0000"/>
                    </w:rPr>
                    <w:t xml:space="preserve"> for an example.</w:t>
                  </w:r>
                </w:p>
                <w:tbl>
                  <w:tblPr>
                    <w:tblW w:w="0" w:type="auto"/>
                    <w:tblBorders>
                      <w:top w:val="single" w:sz="4" w:space="0" w:color="auto"/>
                      <w:left w:val="single" w:sz="4" w:space="0" w:color="auto"/>
                      <w:bottom w:val="single" w:sz="4" w:space="0" w:color="auto"/>
                      <w:right w:val="single" w:sz="4" w:space="0" w:color="auto"/>
                    </w:tblBorders>
                    <w:shd w:val="clear" w:color="auto" w:fill="BFBFBF" w:themeFill="background1" w:themeFillShade="BF"/>
                    <w:tblLook w:val="04A0" w:firstRow="1" w:lastRow="0" w:firstColumn="1" w:lastColumn="0" w:noHBand="0" w:noVBand="1"/>
                  </w:tblPr>
                  <w:tblGrid>
                    <w:gridCol w:w="9119"/>
                  </w:tblGrid>
                  <w:tr w:rsidR="00EA48C4" w14:paraId="0D4616B8" w14:textId="77777777" w:rsidTr="008E3F14">
                    <w:tc>
                      <w:tcPr>
                        <w:tcW w:w="9119" w:type="dxa"/>
                        <w:shd w:val="clear" w:color="auto" w:fill="BFBFBF" w:themeFill="background1" w:themeFillShade="BF"/>
                      </w:tcPr>
                      <w:p w14:paraId="5A7BFDB5" w14:textId="77777777" w:rsidR="00EA48C4" w:rsidRPr="001F3D42" w:rsidRDefault="00EA48C4" w:rsidP="00C162E2">
                        <w:pPr>
                          <w:rPr>
                            <w:b/>
                          </w:rPr>
                        </w:pPr>
                        <w:r w:rsidRPr="001F3D42">
                          <w:rPr>
                            <w:b/>
                          </w:rPr>
                          <w:t>Example</w:t>
                        </w:r>
                      </w:p>
                      <w:p w14:paraId="61C0ED88" w14:textId="27FB0D4F" w:rsidR="00EA48C4" w:rsidRDefault="00EA48C4" w:rsidP="00C162E2">
                        <w:r>
                          <w:lastRenderedPageBreak/>
                          <w:t xml:space="preserve">Brian, Christian, Kayla, and Allison participate in their company’s Profit Sharing Plan. Their company elects to provide a 10% profit sharing contribution in </w:t>
                        </w:r>
                        <w:r w:rsidR="002D2503">
                          <w:t>2016</w:t>
                        </w:r>
                        <w:r>
                          <w:t xml:space="preserve">. The chart below illustrates the allocation to each participant.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1"/>
                          <w:gridCol w:w="2979"/>
                          <w:gridCol w:w="2983"/>
                        </w:tblGrid>
                        <w:tr w:rsidR="00EA48C4" w14:paraId="30B348AB" w14:textId="77777777" w:rsidTr="00C162E2">
                          <w:tc>
                            <w:tcPr>
                              <w:tcW w:w="3038" w:type="dxa"/>
                              <w:shd w:val="clear" w:color="auto" w:fill="BFBA84"/>
                            </w:tcPr>
                            <w:p w14:paraId="41656002" w14:textId="77777777" w:rsidR="00EA48C4" w:rsidRPr="001F3D42" w:rsidRDefault="00EA48C4" w:rsidP="00C162E2">
                              <w:pPr>
                                <w:jc w:val="center"/>
                                <w:rPr>
                                  <w:b/>
                                </w:rPr>
                              </w:pPr>
                            </w:p>
                          </w:tc>
                          <w:tc>
                            <w:tcPr>
                              <w:tcW w:w="3038" w:type="dxa"/>
                              <w:shd w:val="clear" w:color="auto" w:fill="BFBA84"/>
                            </w:tcPr>
                            <w:p w14:paraId="69211241" w14:textId="77777777" w:rsidR="00EA48C4" w:rsidRPr="001F3D42" w:rsidRDefault="00EA48C4" w:rsidP="00C162E2">
                              <w:pPr>
                                <w:jc w:val="center"/>
                                <w:rPr>
                                  <w:b/>
                                </w:rPr>
                              </w:pPr>
                              <w:r w:rsidRPr="001F3D42">
                                <w:rPr>
                                  <w:b/>
                                </w:rPr>
                                <w:t>Compensation</w:t>
                              </w:r>
                            </w:p>
                          </w:tc>
                          <w:tc>
                            <w:tcPr>
                              <w:tcW w:w="3038" w:type="dxa"/>
                              <w:shd w:val="clear" w:color="auto" w:fill="BFBA84"/>
                            </w:tcPr>
                            <w:p w14:paraId="34C6262C" w14:textId="653A5D7A" w:rsidR="00EA48C4" w:rsidRPr="001F3D42" w:rsidRDefault="00EA48C4" w:rsidP="00C162E2">
                              <w:pPr>
                                <w:jc w:val="center"/>
                                <w:rPr>
                                  <w:b/>
                                </w:rPr>
                              </w:pPr>
                              <w:r w:rsidRPr="001F3D42">
                                <w:rPr>
                                  <w:b/>
                                </w:rPr>
                                <w:t>10% Profit Sharing Contribution (</w:t>
                              </w:r>
                              <w:r w:rsidR="002D2503">
                                <w:rPr>
                                  <w:b/>
                                </w:rPr>
                                <w:t>2016</w:t>
                              </w:r>
                              <w:r w:rsidRPr="001F3D42">
                                <w:rPr>
                                  <w:b/>
                                </w:rPr>
                                <w:t>)</w:t>
                              </w:r>
                            </w:p>
                          </w:tc>
                        </w:tr>
                        <w:tr w:rsidR="00EA48C4" w14:paraId="3B5C94A7" w14:textId="77777777" w:rsidTr="00C162E2">
                          <w:tc>
                            <w:tcPr>
                              <w:tcW w:w="3038" w:type="dxa"/>
                              <w:shd w:val="clear" w:color="auto" w:fill="E7E6CF"/>
                            </w:tcPr>
                            <w:p w14:paraId="68F78410" w14:textId="77777777" w:rsidR="00EA48C4" w:rsidRDefault="00EA48C4" w:rsidP="00C162E2">
                              <w:r>
                                <w:t>Brian</w:t>
                              </w:r>
                            </w:p>
                          </w:tc>
                          <w:tc>
                            <w:tcPr>
                              <w:tcW w:w="3038" w:type="dxa"/>
                              <w:shd w:val="clear" w:color="auto" w:fill="E7E6CF"/>
                            </w:tcPr>
                            <w:p w14:paraId="7A923FA3" w14:textId="77777777" w:rsidR="00EA48C4" w:rsidRDefault="00EA48C4" w:rsidP="00C162E2">
                              <w:pPr>
                                <w:ind w:right="794"/>
                                <w:jc w:val="right"/>
                              </w:pPr>
                              <w:r>
                                <w:t>$300,000</w:t>
                              </w:r>
                            </w:p>
                          </w:tc>
                          <w:tc>
                            <w:tcPr>
                              <w:tcW w:w="3038" w:type="dxa"/>
                              <w:shd w:val="clear" w:color="auto" w:fill="E7E6CF"/>
                            </w:tcPr>
                            <w:p w14:paraId="57A04AA6" w14:textId="0D09BEA1" w:rsidR="00EA48C4" w:rsidRDefault="00EA48C4" w:rsidP="00C162E2">
                              <w:pPr>
                                <w:ind w:right="862"/>
                                <w:jc w:val="right"/>
                              </w:pPr>
                              <w:r>
                                <w:t>$26,</w:t>
                              </w:r>
                              <w:r w:rsidR="00F840D0">
                                <w:t>5</w:t>
                              </w:r>
                              <w:r>
                                <w:t>00*</w:t>
                              </w:r>
                            </w:p>
                          </w:tc>
                        </w:tr>
                        <w:tr w:rsidR="00EA48C4" w14:paraId="520E8B01" w14:textId="77777777" w:rsidTr="00C162E2">
                          <w:tc>
                            <w:tcPr>
                              <w:tcW w:w="3038" w:type="dxa"/>
                              <w:shd w:val="clear" w:color="auto" w:fill="E7E6CF"/>
                            </w:tcPr>
                            <w:p w14:paraId="69BF960B" w14:textId="77777777" w:rsidR="00EA48C4" w:rsidRDefault="00EA48C4" w:rsidP="00C162E2">
                              <w:r>
                                <w:t>Christian</w:t>
                              </w:r>
                            </w:p>
                          </w:tc>
                          <w:tc>
                            <w:tcPr>
                              <w:tcW w:w="3038" w:type="dxa"/>
                              <w:shd w:val="clear" w:color="auto" w:fill="E7E6CF"/>
                            </w:tcPr>
                            <w:p w14:paraId="75EC19DB" w14:textId="77777777" w:rsidR="00EA48C4" w:rsidRDefault="00EA48C4" w:rsidP="00C162E2">
                              <w:pPr>
                                <w:ind w:right="794"/>
                                <w:jc w:val="right"/>
                              </w:pPr>
                              <w:r>
                                <w:t>$250,000</w:t>
                              </w:r>
                            </w:p>
                          </w:tc>
                          <w:tc>
                            <w:tcPr>
                              <w:tcW w:w="3038" w:type="dxa"/>
                              <w:shd w:val="clear" w:color="auto" w:fill="E7E6CF"/>
                            </w:tcPr>
                            <w:p w14:paraId="7DA8DC0B" w14:textId="77777777" w:rsidR="00EA48C4" w:rsidRDefault="00EA48C4" w:rsidP="00C162E2">
                              <w:pPr>
                                <w:ind w:right="952"/>
                                <w:jc w:val="right"/>
                              </w:pPr>
                              <w:r>
                                <w:t>$25,000</w:t>
                              </w:r>
                            </w:p>
                          </w:tc>
                        </w:tr>
                        <w:tr w:rsidR="00EA48C4" w14:paraId="29E7BC1E" w14:textId="77777777" w:rsidTr="00C162E2">
                          <w:tc>
                            <w:tcPr>
                              <w:tcW w:w="3038" w:type="dxa"/>
                              <w:shd w:val="clear" w:color="auto" w:fill="E7E6CF"/>
                            </w:tcPr>
                            <w:p w14:paraId="12F78CB1" w14:textId="77777777" w:rsidR="00EA48C4" w:rsidRDefault="00EA48C4" w:rsidP="00C162E2">
                              <w:r>
                                <w:t>Kayla</w:t>
                              </w:r>
                            </w:p>
                          </w:tc>
                          <w:tc>
                            <w:tcPr>
                              <w:tcW w:w="3038" w:type="dxa"/>
                              <w:shd w:val="clear" w:color="auto" w:fill="E7E6CF"/>
                            </w:tcPr>
                            <w:p w14:paraId="3DDD2849" w14:textId="77777777" w:rsidR="00EA48C4" w:rsidRDefault="00EA48C4" w:rsidP="00C162E2">
                              <w:pPr>
                                <w:ind w:right="794"/>
                                <w:jc w:val="right"/>
                              </w:pPr>
                              <w:r>
                                <w:t>$250,000</w:t>
                              </w:r>
                            </w:p>
                          </w:tc>
                          <w:tc>
                            <w:tcPr>
                              <w:tcW w:w="3038" w:type="dxa"/>
                              <w:shd w:val="clear" w:color="auto" w:fill="E7E6CF"/>
                            </w:tcPr>
                            <w:p w14:paraId="685F4505" w14:textId="77777777" w:rsidR="00EA48C4" w:rsidRDefault="00EA48C4" w:rsidP="00C162E2">
                              <w:pPr>
                                <w:ind w:right="952"/>
                                <w:jc w:val="right"/>
                              </w:pPr>
                              <w:r>
                                <w:t>$25,000</w:t>
                              </w:r>
                            </w:p>
                          </w:tc>
                        </w:tr>
                        <w:tr w:rsidR="00EA48C4" w14:paraId="7D843ED4" w14:textId="77777777" w:rsidTr="00C162E2">
                          <w:tc>
                            <w:tcPr>
                              <w:tcW w:w="3038" w:type="dxa"/>
                              <w:shd w:val="clear" w:color="auto" w:fill="E7E6CF"/>
                            </w:tcPr>
                            <w:p w14:paraId="3A288292" w14:textId="77777777" w:rsidR="00EA48C4" w:rsidRDefault="00EA48C4" w:rsidP="00C162E2">
                              <w:r>
                                <w:t>Allison</w:t>
                              </w:r>
                            </w:p>
                          </w:tc>
                          <w:tc>
                            <w:tcPr>
                              <w:tcW w:w="3038" w:type="dxa"/>
                              <w:shd w:val="clear" w:color="auto" w:fill="E7E6CF"/>
                            </w:tcPr>
                            <w:p w14:paraId="3F25F34E" w14:textId="77777777" w:rsidR="00EA48C4" w:rsidRDefault="00EA48C4" w:rsidP="00C162E2">
                              <w:pPr>
                                <w:ind w:right="794"/>
                                <w:jc w:val="right"/>
                              </w:pPr>
                              <w:r>
                                <w:t>$250,000</w:t>
                              </w:r>
                            </w:p>
                          </w:tc>
                          <w:tc>
                            <w:tcPr>
                              <w:tcW w:w="3038" w:type="dxa"/>
                              <w:shd w:val="clear" w:color="auto" w:fill="E7E6CF"/>
                            </w:tcPr>
                            <w:p w14:paraId="2DF3D021" w14:textId="77777777" w:rsidR="00EA48C4" w:rsidRDefault="00EA48C4" w:rsidP="00C162E2">
                              <w:pPr>
                                <w:ind w:right="952"/>
                                <w:jc w:val="right"/>
                              </w:pPr>
                              <w:r>
                                <w:t>$25,000</w:t>
                              </w:r>
                            </w:p>
                          </w:tc>
                        </w:tr>
                      </w:tbl>
                      <w:p w14:paraId="556B37BC" w14:textId="77777777" w:rsidR="00EA48C4" w:rsidRDefault="00EA48C4" w:rsidP="00C162E2"/>
                    </w:tc>
                  </w:tr>
                  <w:tr w:rsidR="00EA48C4" w14:paraId="07F668DE" w14:textId="77777777" w:rsidTr="008E3F14">
                    <w:trPr>
                      <w:trHeight w:val="71"/>
                    </w:trPr>
                    <w:tc>
                      <w:tcPr>
                        <w:tcW w:w="9119" w:type="dxa"/>
                        <w:shd w:val="clear" w:color="auto" w:fill="BFBFBF" w:themeFill="background1" w:themeFillShade="BF"/>
                      </w:tcPr>
                      <w:p w14:paraId="54E24824" w14:textId="0B20F0A2" w:rsidR="00EA48C4" w:rsidRPr="001F3D42" w:rsidRDefault="00EA48C4" w:rsidP="00C162E2">
                        <w:pPr>
                          <w:rPr>
                            <w:i/>
                            <w:sz w:val="16"/>
                            <w:szCs w:val="16"/>
                          </w:rPr>
                        </w:pPr>
                        <w:r w:rsidRPr="001F3D42">
                          <w:rPr>
                            <w:i/>
                            <w:sz w:val="16"/>
                            <w:szCs w:val="16"/>
                          </w:rPr>
                          <w:lastRenderedPageBreak/>
                          <w:t>* Compensation above $26</w:t>
                        </w:r>
                        <w:r w:rsidR="00F840D0">
                          <w:rPr>
                            <w:i/>
                            <w:sz w:val="16"/>
                            <w:szCs w:val="16"/>
                          </w:rPr>
                          <w:t>5</w:t>
                        </w:r>
                        <w:r w:rsidRPr="001F3D42">
                          <w:rPr>
                            <w:i/>
                            <w:sz w:val="16"/>
                            <w:szCs w:val="16"/>
                          </w:rPr>
                          <w:t>,000 (</w:t>
                        </w:r>
                        <w:r w:rsidR="002D2503">
                          <w:rPr>
                            <w:i/>
                            <w:sz w:val="16"/>
                            <w:szCs w:val="16"/>
                          </w:rPr>
                          <w:t>2016</w:t>
                        </w:r>
                        <w:r w:rsidRPr="001F3D42">
                          <w:rPr>
                            <w:i/>
                            <w:sz w:val="16"/>
                            <w:szCs w:val="16"/>
                          </w:rPr>
                          <w:t>) may not be used to calculate contributions or benefits in a qualified plan.</w:t>
                        </w:r>
                      </w:p>
                    </w:tc>
                  </w:tr>
                </w:tbl>
                <w:p w14:paraId="2290BF38" w14:textId="190A13B0" w:rsidR="00EA48C4" w:rsidRPr="00E42959" w:rsidRDefault="00EA48C4">
                  <w:pPr>
                    <w:rPr>
                      <w:rStyle w:val="Hyperlink"/>
                    </w:rPr>
                  </w:pPr>
                  <w:r>
                    <w:rPr>
                      <w:color w:val="000000"/>
                    </w:rPr>
                    <w:t xml:space="preserve"> </w:t>
                  </w:r>
                </w:p>
              </w:tc>
            </w:tr>
          </w:tbl>
          <w:p w14:paraId="65184DD1" w14:textId="77777777" w:rsidR="00B53C27" w:rsidRPr="00846542" w:rsidRDefault="00B53C27" w:rsidP="00B53C27">
            <w:pPr>
              <w:rPr>
                <w:color w:val="000000"/>
              </w:rPr>
            </w:pPr>
          </w:p>
        </w:tc>
      </w:tr>
      <w:tr w:rsidR="003279E2" w:rsidRPr="003279E2" w14:paraId="68C9C67A" w14:textId="77777777" w:rsidTr="008E3F14">
        <w:tc>
          <w:tcPr>
            <w:tcW w:w="9590" w:type="dxa"/>
            <w:tcBorders>
              <w:bottom w:val="single" w:sz="4" w:space="0" w:color="6CA8CD"/>
            </w:tcBorders>
            <w:shd w:val="clear" w:color="auto" w:fill="6CA8CD"/>
            <w:tcMar>
              <w:top w:w="72" w:type="dxa"/>
              <w:left w:w="115" w:type="dxa"/>
              <w:bottom w:w="72" w:type="dxa"/>
              <w:right w:w="115" w:type="dxa"/>
            </w:tcMar>
          </w:tcPr>
          <w:p w14:paraId="4C90C45B" w14:textId="77777777" w:rsidR="003279E2" w:rsidRPr="003279E2" w:rsidRDefault="003279E2" w:rsidP="003916C4">
            <w:pPr>
              <w:rPr>
                <w:b/>
                <w:color w:val="FFFFFF"/>
              </w:rPr>
            </w:pPr>
            <w:r w:rsidRPr="003279E2">
              <w:rPr>
                <w:rStyle w:val="Strong"/>
                <w:bCs w:val="0"/>
                <w:color w:val="FFFFFF"/>
              </w:rPr>
              <w:lastRenderedPageBreak/>
              <w:t>Money Purchase Plans</w:t>
            </w:r>
          </w:p>
        </w:tc>
      </w:tr>
      <w:tr w:rsidR="003279E2" w:rsidRPr="003279E2" w14:paraId="135CE6FE" w14:textId="77777777" w:rsidTr="00DB7BC7">
        <w:trPr>
          <w:trHeight w:val="2708"/>
        </w:trPr>
        <w:tc>
          <w:tcPr>
            <w:tcW w:w="9590" w:type="dxa"/>
            <w:shd w:val="clear" w:color="auto" w:fill="FFFFFF"/>
            <w:tcMar>
              <w:top w:w="72" w:type="dxa"/>
              <w:left w:w="115" w:type="dxa"/>
              <w:bottom w:w="72" w:type="dxa"/>
              <w:right w:w="115" w:type="dxa"/>
            </w:tcMar>
          </w:tcPr>
          <w:p w14:paraId="1FD013FC" w14:textId="77777777" w:rsidR="003279E2" w:rsidRPr="003279E2" w:rsidRDefault="003279E2" w:rsidP="00A55B71">
            <w:r w:rsidRPr="003279E2">
              <w:t xml:space="preserve">The rate of contribution to a Money Purchase Plan is </w:t>
            </w:r>
            <w:r w:rsidRPr="003279E2">
              <w:rPr>
                <w:b/>
              </w:rPr>
              <w:t>fixed</w:t>
            </w:r>
            <w:r w:rsidRPr="003279E2">
              <w:t>. Once the employer fixes a percent of compensation that is to be placed into the plan, the employer must make that tax-deductible contribution each year, even if the</w:t>
            </w:r>
            <w:r w:rsidR="006C36B6">
              <w:t>re are no profits for the year.</w:t>
            </w:r>
          </w:p>
          <w:p w14:paraId="0C9B5FF9" w14:textId="77777777" w:rsidR="003279E2" w:rsidRPr="00A55B71" w:rsidRDefault="003279E2" w:rsidP="00A55B71">
            <w:r w:rsidRPr="00A55B71">
              <w:t>As in any qualified plan, taxation of contributions and earnings of plan assets in the plan are deferred until withdrawn. Employees bear investment risk in this type of plan since the investment performance of plan assets directly affects the amoun</w:t>
            </w:r>
            <w:r w:rsidR="006C36B6" w:rsidRPr="00A55B71">
              <w:t>t of their retirement benefits.</w:t>
            </w:r>
          </w:p>
          <w:p w14:paraId="67DC8EBD" w14:textId="5BEBA342" w:rsidR="003279E2" w:rsidRPr="006C36B6" w:rsidRDefault="00660376" w:rsidP="005C20DB">
            <w:pPr>
              <w:rPr>
                <w:color w:val="000000"/>
              </w:rPr>
            </w:pPr>
            <w:r w:rsidRPr="00D42971">
              <w:rPr>
                <w:color w:val="000000"/>
              </w:rPr>
              <w:t xml:space="preserve">These plans are subject to </w:t>
            </w:r>
            <w:r w:rsidR="00F13610" w:rsidRPr="00D42971">
              <w:rPr>
                <w:color w:val="000000"/>
              </w:rPr>
              <w:t xml:space="preserve">the same contribution and deduction limits as Profit Sharing Plans. </w:t>
            </w:r>
            <w:r w:rsidR="00095E0E">
              <w:t>Annual employer contributions are required.</w:t>
            </w:r>
          </w:p>
        </w:tc>
      </w:tr>
      <w:tr w:rsidR="003279E2" w:rsidRPr="003279E2" w14:paraId="6AB53420" w14:textId="77777777" w:rsidTr="008E3F14">
        <w:tc>
          <w:tcPr>
            <w:tcW w:w="9590" w:type="dxa"/>
            <w:tcBorders>
              <w:bottom w:val="single" w:sz="4" w:space="0" w:color="6CA8CD"/>
            </w:tcBorders>
            <w:shd w:val="clear" w:color="auto" w:fill="6CA8CD"/>
            <w:tcMar>
              <w:top w:w="72" w:type="dxa"/>
              <w:left w:w="115" w:type="dxa"/>
              <w:bottom w:w="72" w:type="dxa"/>
              <w:right w:w="115" w:type="dxa"/>
            </w:tcMar>
          </w:tcPr>
          <w:p w14:paraId="6E165B30" w14:textId="77777777" w:rsidR="003279E2" w:rsidRPr="003279E2" w:rsidRDefault="003279E2" w:rsidP="003916C4">
            <w:pPr>
              <w:rPr>
                <w:b/>
                <w:color w:val="FFFFFF"/>
              </w:rPr>
            </w:pPr>
            <w:r w:rsidRPr="003279E2">
              <w:rPr>
                <w:rStyle w:val="Strong"/>
                <w:bCs w:val="0"/>
                <w:color w:val="FFFFFF"/>
              </w:rPr>
              <w:t>401(k) Plans</w:t>
            </w:r>
          </w:p>
        </w:tc>
      </w:tr>
      <w:tr w:rsidR="003279E2" w:rsidRPr="003279E2" w14:paraId="04B54845" w14:textId="77777777" w:rsidTr="002D3017">
        <w:trPr>
          <w:trHeight w:val="332"/>
        </w:trPr>
        <w:tc>
          <w:tcPr>
            <w:tcW w:w="9590" w:type="dxa"/>
            <w:tcBorders>
              <w:bottom w:val="single" w:sz="4" w:space="0" w:color="6CA8CD"/>
            </w:tcBorders>
            <w:shd w:val="clear" w:color="auto" w:fill="FFFFFF"/>
            <w:tcMar>
              <w:top w:w="72" w:type="dxa"/>
              <w:left w:w="115" w:type="dxa"/>
              <w:bottom w:w="72" w:type="dxa"/>
              <w:right w:w="115" w:type="dxa"/>
            </w:tcMar>
          </w:tcPr>
          <w:p w14:paraId="3B1064CE" w14:textId="5465713D" w:rsidR="0080517C" w:rsidRDefault="00070F6E" w:rsidP="003916C4">
            <w:r>
              <w:t>What priority would you place on gaining competency or enhancing competency in</w:t>
            </w:r>
            <w:r w:rsidR="00C22324">
              <w:t xml:space="preserve"> the second most popular retirement savings vehic</w:t>
            </w:r>
            <w:r w:rsidR="00D42971">
              <w:t>le in this country? The 401(k) P</w:t>
            </w:r>
            <w:r w:rsidR="00C22324">
              <w:t>lan is second in popularity only to the IRA. The American Benefits Council reports that a</w:t>
            </w:r>
            <w:r w:rsidR="00FF0789">
              <w:t>lmost 8 of every 10 workers h</w:t>
            </w:r>
            <w:r w:rsidR="00C22324">
              <w:t xml:space="preserve">as access to a </w:t>
            </w:r>
            <w:r w:rsidR="00D42971">
              <w:t>Defined Contribution Category Plan</w:t>
            </w:r>
            <w:r w:rsidR="00FF0789">
              <w:t xml:space="preserve"> and mos</w:t>
            </w:r>
            <w:r w:rsidR="00D42971">
              <w:t>t of those are 401(k) P</w:t>
            </w:r>
            <w:r w:rsidR="00FF0789">
              <w:t>lans.</w:t>
            </w:r>
            <w:r w:rsidR="00FF0789">
              <w:rPr>
                <w:rStyle w:val="FootnoteReference"/>
              </w:rPr>
              <w:footnoteReference w:id="8"/>
            </w:r>
            <w:r w:rsidR="00C22324">
              <w:t xml:space="preserve"> </w:t>
            </w:r>
          </w:p>
          <w:p w14:paraId="1627952E" w14:textId="470D2A8C" w:rsidR="00C22324" w:rsidRDefault="0080517C" w:rsidP="003916C4">
            <w:r>
              <w:t>O</w:t>
            </w:r>
            <w:r w:rsidR="00B52F06">
              <w:t>ur presentation of 401(k) P</w:t>
            </w:r>
            <w:r w:rsidR="009C770D">
              <w:t>lans reflects</w:t>
            </w:r>
            <w:r w:rsidR="009D29D5">
              <w:t xml:space="preserve"> the driving need to develop</w:t>
            </w:r>
            <w:r w:rsidR="00070F6E">
              <w:t xml:space="preserve"> or expand your</w:t>
            </w:r>
            <w:r w:rsidR="009D29D5">
              <w:t xml:space="preserve"> expertise </w:t>
            </w:r>
            <w:r w:rsidR="009C770D">
              <w:t>in this essential retirement accumulation vehicle.</w:t>
            </w:r>
            <w:r>
              <w:t xml:space="preserve"> The following six factors should be part of your core competency</w:t>
            </w:r>
            <w:r w:rsidR="009D29D5">
              <w:t>.</w:t>
            </w:r>
            <w:r>
              <w:t xml:space="preserve"> Click on each to learn more.</w:t>
            </w:r>
          </w:p>
          <w:p w14:paraId="5C17FCF3" w14:textId="1042F06A" w:rsidR="004C287F" w:rsidRPr="008E3F14" w:rsidRDefault="00660F82" w:rsidP="008E3F14">
            <w:pPr>
              <w:pStyle w:val="ListParagraph"/>
              <w:numPr>
                <w:ilvl w:val="0"/>
                <w:numId w:val="83"/>
              </w:numPr>
              <w:rPr>
                <w:rStyle w:val="Hyperlink"/>
              </w:rPr>
            </w:pPr>
            <w:r>
              <w:rPr>
                <w:rStyle w:val="Hyperlink"/>
              </w:rPr>
              <w:t>I</w:t>
            </w:r>
            <w:r w:rsidR="009D29D5" w:rsidRPr="007B0D25">
              <w:rPr>
                <w:rStyle w:val="Hyperlink"/>
              </w:rPr>
              <w:t>nvestment Control and Risk</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653"/>
            </w:tblGrid>
            <w:tr w:rsidR="004C287F" w:rsidRPr="0028324A" w14:paraId="5EEEE78B" w14:textId="77777777" w:rsidTr="00B52F06">
              <w:tc>
                <w:tcPr>
                  <w:tcW w:w="8653" w:type="dxa"/>
                  <w:shd w:val="clear" w:color="auto" w:fill="D9D9D9"/>
                </w:tcPr>
                <w:p w14:paraId="5D03C442" w14:textId="3EC6FF5E" w:rsidR="004C287F" w:rsidRPr="00B52F06" w:rsidRDefault="009D29D5" w:rsidP="004C287F">
                  <w:pPr>
                    <w:rPr>
                      <w:rStyle w:val="Hyperlink"/>
                      <w:u w:val="none"/>
                    </w:rPr>
                  </w:pPr>
                  <w:r w:rsidRPr="00B52F06">
                    <w:rPr>
                      <w:rStyle w:val="Hyperlink"/>
                      <w:u w:val="none"/>
                    </w:rPr>
                    <w:lastRenderedPageBreak/>
                    <w:t xml:space="preserve">Investment </w:t>
                  </w:r>
                  <w:r w:rsidR="004C287F" w:rsidRPr="00B52F06">
                    <w:rPr>
                      <w:rStyle w:val="Hyperlink"/>
                      <w:u w:val="none"/>
                    </w:rPr>
                    <w:t>Co</w:t>
                  </w:r>
                  <w:r w:rsidR="0033750B" w:rsidRPr="00B52F06">
                    <w:rPr>
                      <w:rStyle w:val="Hyperlink"/>
                      <w:u w:val="none"/>
                    </w:rPr>
                    <w:t xml:space="preserve">ntrol </w:t>
                  </w:r>
                  <w:r w:rsidRPr="00B52F06">
                    <w:rPr>
                      <w:rStyle w:val="Hyperlink"/>
                      <w:u w:val="none"/>
                    </w:rPr>
                    <w:t xml:space="preserve">and Risk </w:t>
                  </w:r>
                </w:p>
                <w:p w14:paraId="733F9396" w14:textId="50A9A093" w:rsidR="004C287F" w:rsidRDefault="0033750B" w:rsidP="007B0D25">
                  <w:r>
                    <w:t>The qualified plans discussed thus far give little investmen</w:t>
                  </w:r>
                  <w:r w:rsidR="00B52F06">
                    <w:t xml:space="preserve">t choice to a plan participant - </w:t>
                  </w:r>
                  <w:r>
                    <w:t xml:space="preserve">the employer makes all or virtually all investment decisions regarding contributions or benefit accruals. In stark contrast, the </w:t>
                  </w:r>
                  <w:r w:rsidRPr="003279E2">
                    <w:t xml:space="preserve">401(k) </w:t>
                  </w:r>
                  <w:r>
                    <w:t xml:space="preserve">offers the participant the opportunity to direct his or her investment choices. </w:t>
                  </w:r>
                </w:p>
                <w:p w14:paraId="748CF70F" w14:textId="3C61AA2A" w:rsidR="009D29D5" w:rsidRPr="008F74E9" w:rsidRDefault="009D29D5">
                  <w:r w:rsidRPr="00A55B71">
                    <w:t xml:space="preserve">Employees bear investment risk in these plans since the investment performance of plan assets directly affects the amount of their retirement </w:t>
                  </w:r>
                  <w:r w:rsidR="00070F6E">
                    <w:t>accumulation</w:t>
                  </w:r>
                  <w:r w:rsidRPr="00A55B71">
                    <w:t>.</w:t>
                  </w:r>
                  <w:r w:rsidR="00070F6E">
                    <w:t xml:space="preserve"> </w:t>
                  </w:r>
                </w:p>
              </w:tc>
            </w:tr>
          </w:tbl>
          <w:p w14:paraId="2C4F2A9C" w14:textId="75FD9A84" w:rsidR="0033750B" w:rsidRPr="008F74E9" w:rsidRDefault="0033750B">
            <w:pPr>
              <w:pStyle w:val="ListParagraph"/>
              <w:numPr>
                <w:ilvl w:val="0"/>
                <w:numId w:val="83"/>
              </w:numPr>
              <w:rPr>
                <w:rStyle w:val="Hyperlink"/>
              </w:rPr>
            </w:pPr>
            <w:r>
              <w:rPr>
                <w:rStyle w:val="Hyperlink"/>
              </w:rPr>
              <w:t xml:space="preserve">Deferral and Matching </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653"/>
            </w:tblGrid>
            <w:tr w:rsidR="0033750B" w:rsidRPr="0028324A" w14:paraId="67ECE564" w14:textId="77777777" w:rsidTr="00B52F06">
              <w:trPr>
                <w:trHeight w:val="4904"/>
              </w:trPr>
              <w:tc>
                <w:tcPr>
                  <w:tcW w:w="8653" w:type="dxa"/>
                  <w:shd w:val="clear" w:color="auto" w:fill="D9D9D9"/>
                </w:tcPr>
                <w:p w14:paraId="74226176" w14:textId="32586F5C" w:rsidR="0033750B" w:rsidRPr="0041326B" w:rsidRDefault="0033750B" w:rsidP="00114D13">
                  <w:pPr>
                    <w:rPr>
                      <w:rStyle w:val="Hyperlink"/>
                      <w:u w:val="none"/>
                    </w:rPr>
                  </w:pPr>
                  <w:r w:rsidRPr="0041326B">
                    <w:rPr>
                      <w:rStyle w:val="Hyperlink"/>
                      <w:u w:val="none"/>
                    </w:rPr>
                    <w:t xml:space="preserve">Deferral and Matching  </w:t>
                  </w:r>
                </w:p>
                <w:p w14:paraId="4E0141DF" w14:textId="13542643" w:rsidR="0033750B" w:rsidRDefault="00B52F06" w:rsidP="0033750B">
                  <w:r>
                    <w:t>401(k) P</w:t>
                  </w:r>
                  <w:r w:rsidR="0033750B">
                    <w:t xml:space="preserve">lans </w:t>
                  </w:r>
                  <w:r w:rsidR="0033750B" w:rsidRPr="003279E2">
                    <w:t xml:space="preserve">allow employees to defer compensation into individually designated separate accounts for their retirement. The employees always own (vest in) 100% of their own </w:t>
                  </w:r>
                  <w:r w:rsidR="0033750B">
                    <w:t>deferrals</w:t>
                  </w:r>
                  <w:r w:rsidR="0033750B" w:rsidRPr="003279E2">
                    <w:t xml:space="preserve"> and any earnings thereon. If the employer </w:t>
                  </w:r>
                  <w:r w:rsidR="0033750B">
                    <w:t>m</w:t>
                  </w:r>
                  <w:r w:rsidR="0033750B" w:rsidRPr="003279E2">
                    <w:t>ak</w:t>
                  </w:r>
                  <w:r w:rsidR="0033750B">
                    <w:t>es</w:t>
                  </w:r>
                  <w:r w:rsidR="0033750B" w:rsidRPr="003279E2">
                    <w:t xml:space="preserve"> matching contributions, there may be a requirement that an employee fulfill a specific period of service before fully vesting in any employer contribut</w:t>
                  </w:r>
                  <w:r w:rsidR="0033750B">
                    <w:t xml:space="preserve">ions and the earnings thereon. </w:t>
                  </w:r>
                </w:p>
                <w:p w14:paraId="41DB29A1" w14:textId="78AE0D54" w:rsidR="00660F82" w:rsidRDefault="0033750B">
                  <w:r>
                    <w:t>How about a little free mone</w:t>
                  </w:r>
                  <w:r w:rsidR="00B52F06">
                    <w:t>y for your client? If a 401(k) P</w:t>
                  </w:r>
                  <w:r>
                    <w:t xml:space="preserve">lan offers matching contributions, the participant should defer at least the </w:t>
                  </w:r>
                  <w:r w:rsidR="009D29D5">
                    <w:t xml:space="preserve">amount </w:t>
                  </w:r>
                  <w:r>
                    <w:t>required to receive the full amount of any employer matching contributions.</w:t>
                  </w:r>
                </w:p>
                <w:p w14:paraId="0FD8DBCF" w14:textId="12F5A716" w:rsidR="00660F82" w:rsidRDefault="00660F82" w:rsidP="00660F82">
                  <w:pPr>
                    <w:rPr>
                      <w:rStyle w:val="Hyperlink"/>
                      <w:b w:val="0"/>
                      <w:color w:val="auto"/>
                      <w:u w:val="none"/>
                    </w:rPr>
                  </w:pPr>
                  <w:r>
                    <w:t>The maximum employee deferral is $</w:t>
                  </w:r>
                  <w:r w:rsidR="000F3F88">
                    <w:t>18,000</w:t>
                  </w:r>
                  <w:r>
                    <w:t xml:space="preserve"> (</w:t>
                  </w:r>
                  <w:r w:rsidR="002D2503">
                    <w:t>2016</w:t>
                  </w:r>
                  <w:r>
                    <w:t>) for plan participants under the age of 50. Participants age 50 or more are entitled to an additional $</w:t>
                  </w:r>
                  <w:r w:rsidR="000F3F88">
                    <w:t>6,000</w:t>
                  </w:r>
                  <w:r>
                    <w:t xml:space="preserve"> (</w:t>
                  </w:r>
                  <w:r w:rsidR="002D2503">
                    <w:t>2016</w:t>
                  </w:r>
                  <w:r>
                    <w:t>) deferral.</w:t>
                  </w:r>
                  <w:r w:rsidR="00C921E1">
                    <w:t xml:space="preserve"> </w:t>
                  </w:r>
                  <w:r>
                    <w:t xml:space="preserve">The deferral limit must be </w:t>
                  </w:r>
                  <w:r w:rsidRPr="008F74E9">
                    <w:rPr>
                      <w:rStyle w:val="Hyperlink"/>
                    </w:rPr>
                    <w:t>coordinated</w:t>
                  </w:r>
                  <w:r>
                    <w:t xml:space="preserve"> with deferrals in certain other employer sponsored retirement plans.</w:t>
                  </w:r>
                  <w:r>
                    <w:rPr>
                      <w:rStyle w:val="Hyperlink"/>
                      <w:b w:val="0"/>
                      <w:color w:val="auto"/>
                      <w:u w:val="non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427"/>
                  </w:tblGrid>
                  <w:tr w:rsidR="00660F82" w:rsidRPr="0028324A" w14:paraId="7B1C7EB5" w14:textId="77777777" w:rsidTr="00114D13">
                    <w:tc>
                      <w:tcPr>
                        <w:tcW w:w="9350" w:type="dxa"/>
                        <w:shd w:val="clear" w:color="auto" w:fill="D9D9D9"/>
                      </w:tcPr>
                      <w:p w14:paraId="0D755145" w14:textId="77777777" w:rsidR="00660F82" w:rsidRPr="0041326B" w:rsidRDefault="00660F82" w:rsidP="00114D13">
                        <w:pPr>
                          <w:rPr>
                            <w:rStyle w:val="Hyperlink"/>
                            <w:u w:val="none"/>
                          </w:rPr>
                        </w:pPr>
                        <w:r w:rsidRPr="0041326B">
                          <w:rPr>
                            <w:rStyle w:val="Hyperlink"/>
                            <w:u w:val="none"/>
                          </w:rPr>
                          <w:t>Coordinated</w:t>
                        </w:r>
                      </w:p>
                      <w:p w14:paraId="68BB78F7" w14:textId="1D5A040B" w:rsidR="00660F82" w:rsidRPr="008F74E9" w:rsidRDefault="00660F82" w:rsidP="007B0D25">
                        <w:r>
                          <w:rPr>
                            <w:rStyle w:val="Hyperlink"/>
                            <w:b w:val="0"/>
                            <w:color w:val="auto"/>
                            <w:u w:val="none"/>
                          </w:rPr>
                          <w:t>T</w:t>
                        </w:r>
                        <w:r w:rsidRPr="008F74E9">
                          <w:rPr>
                            <w:rStyle w:val="Hyperlink"/>
                            <w:b w:val="0"/>
                            <w:color w:val="auto"/>
                            <w:u w:val="none"/>
                          </w:rPr>
                          <w:t>he sum of all defer</w:t>
                        </w:r>
                        <w:r w:rsidR="0041326B">
                          <w:rPr>
                            <w:rStyle w:val="Hyperlink"/>
                            <w:b w:val="0"/>
                            <w:color w:val="auto"/>
                            <w:u w:val="none"/>
                          </w:rPr>
                          <w:t>rals into 401(k) P</w:t>
                        </w:r>
                        <w:r w:rsidRPr="008F74E9">
                          <w:rPr>
                            <w:rStyle w:val="Hyperlink"/>
                            <w:b w:val="0"/>
                            <w:color w:val="auto"/>
                            <w:u w:val="none"/>
                          </w:rPr>
                          <w:t xml:space="preserve">lans, </w:t>
                        </w:r>
                        <w:r>
                          <w:rPr>
                            <w:rStyle w:val="Hyperlink"/>
                            <w:b w:val="0"/>
                            <w:color w:val="auto"/>
                            <w:u w:val="none"/>
                          </w:rPr>
                          <w:t>403(b) arrangements, SARSEP</w:t>
                        </w:r>
                        <w:r w:rsidR="009D29D5">
                          <w:rPr>
                            <w:rStyle w:val="Hyperlink"/>
                            <w:b w:val="0"/>
                            <w:color w:val="auto"/>
                            <w:u w:val="none"/>
                          </w:rPr>
                          <w:t>s</w:t>
                        </w:r>
                        <w:r>
                          <w:rPr>
                            <w:rStyle w:val="Hyperlink"/>
                            <w:b w:val="0"/>
                            <w:color w:val="auto"/>
                            <w:u w:val="none"/>
                          </w:rPr>
                          <w:t xml:space="preserve">, </w:t>
                        </w:r>
                        <w:r w:rsidRPr="008F74E9">
                          <w:rPr>
                            <w:rStyle w:val="Hyperlink"/>
                            <w:b w:val="0"/>
                            <w:color w:val="auto"/>
                            <w:u w:val="none"/>
                          </w:rPr>
                          <w:t>and SIMPLE</w:t>
                        </w:r>
                        <w:r w:rsidR="009D29D5">
                          <w:rPr>
                            <w:rStyle w:val="Hyperlink"/>
                            <w:b w:val="0"/>
                            <w:color w:val="auto"/>
                            <w:u w:val="none"/>
                          </w:rPr>
                          <w:t>s</w:t>
                        </w:r>
                        <w:r w:rsidRPr="008F74E9">
                          <w:rPr>
                            <w:rStyle w:val="Hyperlink"/>
                            <w:b w:val="0"/>
                            <w:color w:val="auto"/>
                            <w:u w:val="none"/>
                          </w:rPr>
                          <w:t xml:space="preserve"> </w:t>
                        </w:r>
                        <w:r w:rsidR="009D29D5">
                          <w:rPr>
                            <w:rStyle w:val="Hyperlink"/>
                            <w:b w:val="0"/>
                            <w:color w:val="auto"/>
                            <w:u w:val="none"/>
                          </w:rPr>
                          <w:t>may</w:t>
                        </w:r>
                        <w:r w:rsidRPr="008F74E9">
                          <w:rPr>
                            <w:rStyle w:val="Hyperlink"/>
                            <w:b w:val="0"/>
                            <w:color w:val="auto"/>
                            <w:u w:val="none"/>
                          </w:rPr>
                          <w:t xml:space="preserve"> not exceed the </w:t>
                        </w:r>
                        <w:r w:rsidR="009D29D5">
                          <w:rPr>
                            <w:rStyle w:val="Hyperlink"/>
                            <w:b w:val="0"/>
                            <w:color w:val="auto"/>
                            <w:u w:val="none"/>
                          </w:rPr>
                          <w:t xml:space="preserve">annual </w:t>
                        </w:r>
                        <w:r>
                          <w:rPr>
                            <w:rStyle w:val="Hyperlink"/>
                            <w:b w:val="0"/>
                            <w:color w:val="auto"/>
                            <w:u w:val="none"/>
                          </w:rPr>
                          <w:t>maximum employee deferral limit (</w:t>
                        </w:r>
                        <w:r w:rsidR="009D29D5">
                          <w:rPr>
                            <w:rStyle w:val="Hyperlink"/>
                            <w:b w:val="0"/>
                            <w:color w:val="auto"/>
                            <w:u w:val="none"/>
                          </w:rPr>
                          <w:t>as indexed</w:t>
                        </w:r>
                        <w:r>
                          <w:rPr>
                            <w:rStyle w:val="Hyperlink"/>
                            <w:b w:val="0"/>
                            <w:color w:val="auto"/>
                            <w:u w:val="none"/>
                          </w:rPr>
                          <w:t xml:space="preserve">). </w:t>
                        </w:r>
                      </w:p>
                    </w:tc>
                  </w:tr>
                </w:tbl>
                <w:p w14:paraId="71B92C7F" w14:textId="751C98CE" w:rsidR="00660F82" w:rsidRPr="008F74E9" w:rsidRDefault="00660F82"/>
              </w:tc>
            </w:tr>
          </w:tbl>
          <w:p w14:paraId="006E48FD" w14:textId="6FCDB05E" w:rsidR="00660F82" w:rsidRPr="008F74E9" w:rsidRDefault="00660F82" w:rsidP="00660F82">
            <w:pPr>
              <w:pStyle w:val="ListParagraph"/>
              <w:numPr>
                <w:ilvl w:val="0"/>
                <w:numId w:val="83"/>
              </w:numPr>
              <w:rPr>
                <w:rStyle w:val="Hyperlink"/>
              </w:rPr>
            </w:pPr>
            <w:r>
              <w:rPr>
                <w:rStyle w:val="Hyperlink"/>
              </w:rPr>
              <w:t>Contribution and Deduction Limits</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653"/>
            </w:tblGrid>
            <w:tr w:rsidR="00660F82" w:rsidRPr="0028324A" w14:paraId="4A987066" w14:textId="77777777" w:rsidTr="0041326B">
              <w:tc>
                <w:tcPr>
                  <w:tcW w:w="8653" w:type="dxa"/>
                  <w:shd w:val="clear" w:color="auto" w:fill="D9D9D9"/>
                </w:tcPr>
                <w:p w14:paraId="21F2AFCF" w14:textId="3510BF50" w:rsidR="00660F82" w:rsidRPr="0041326B" w:rsidRDefault="00660F82" w:rsidP="00114D13">
                  <w:pPr>
                    <w:rPr>
                      <w:rStyle w:val="Hyperlink"/>
                      <w:u w:val="none"/>
                    </w:rPr>
                  </w:pPr>
                  <w:r w:rsidRPr="0041326B">
                    <w:rPr>
                      <w:rStyle w:val="Hyperlink"/>
                      <w:u w:val="none"/>
                    </w:rPr>
                    <w:t>Contribution and Deduction Limits</w:t>
                  </w:r>
                </w:p>
                <w:p w14:paraId="0B79CA01" w14:textId="77777777" w:rsidR="00660F82" w:rsidRDefault="00660F82" w:rsidP="00660F82">
                  <w:pPr>
                    <w:rPr>
                      <w:b/>
                      <w:color w:val="4F81BD"/>
                    </w:rPr>
                  </w:pPr>
                  <w:r w:rsidRPr="00E959E9">
                    <w:t>A 401(k) Plan is subject to IRC Section 415</w:t>
                  </w:r>
                  <w:r>
                    <w:t>(c)</w:t>
                  </w:r>
                  <w:r w:rsidRPr="00E959E9">
                    <w:t xml:space="preserve"> </w:t>
                  </w:r>
                  <w:r>
                    <w:t xml:space="preserve">contribution </w:t>
                  </w:r>
                  <w:r w:rsidRPr="00E959E9">
                    <w:t>limits:</w:t>
                  </w:r>
                </w:p>
                <w:p w14:paraId="3559AEC5" w14:textId="2A4F341C" w:rsidR="00660F82" w:rsidRPr="00044B4A" w:rsidRDefault="00660F82" w:rsidP="00660F82">
                  <w:pPr>
                    <w:numPr>
                      <w:ilvl w:val="0"/>
                      <w:numId w:val="52"/>
                    </w:numPr>
                    <w:rPr>
                      <w:b/>
                      <w:color w:val="4F81BD"/>
                    </w:rPr>
                  </w:pPr>
                  <w:r w:rsidRPr="00E959E9">
                    <w:t>Annual additions to a participant’s account are limited to the lesser of $</w:t>
                  </w:r>
                  <w:r>
                    <w:t>5</w:t>
                  </w:r>
                  <w:r w:rsidR="0099441A">
                    <w:t>3</w:t>
                  </w:r>
                  <w:r>
                    <w:t>,000</w:t>
                  </w:r>
                  <w:r w:rsidRPr="00E959E9">
                    <w:t xml:space="preserve"> (in </w:t>
                  </w:r>
                  <w:r w:rsidR="002D2503">
                    <w:t>2016</w:t>
                  </w:r>
                  <w:r w:rsidRPr="00E959E9">
                    <w:t xml:space="preserve">, as indexed) or 100% of compensation including all </w:t>
                  </w:r>
                  <w:r w:rsidRPr="00044B4A">
                    <w:rPr>
                      <w:i/>
                    </w:rPr>
                    <w:t>employee</w:t>
                  </w:r>
                  <w:r w:rsidRPr="00E959E9">
                    <w:t xml:space="preserve"> deferrals, after-tax </w:t>
                  </w:r>
                  <w:r w:rsidRPr="00044B4A">
                    <w:rPr>
                      <w:i/>
                    </w:rPr>
                    <w:t>employee</w:t>
                  </w:r>
                  <w:r w:rsidRPr="00E959E9">
                    <w:t xml:space="preserve"> contributions, </w:t>
                  </w:r>
                  <w:r w:rsidRPr="00044B4A">
                    <w:rPr>
                      <w:i/>
                    </w:rPr>
                    <w:t>employer</w:t>
                  </w:r>
                  <w:r w:rsidRPr="00E959E9">
                    <w:t xml:space="preserve"> contributions, and any forfeitures from other participant accounts.</w:t>
                  </w:r>
                  <w:r>
                    <w:t xml:space="preserve"> The additional deferral for participants age 50 or more</w:t>
                  </w:r>
                  <w:r w:rsidR="0041326B">
                    <w:t xml:space="preserve"> increases the limit by $</w:t>
                  </w:r>
                  <w:r w:rsidR="0099441A">
                    <w:t>6,000</w:t>
                  </w:r>
                  <w:r w:rsidR="0081202B">
                    <w:t xml:space="preserve">, </w:t>
                  </w:r>
                  <w:r>
                    <w:t>from $5</w:t>
                  </w:r>
                  <w:r w:rsidR="0099441A">
                    <w:t>3</w:t>
                  </w:r>
                  <w:r>
                    <w:t>,000 to $</w:t>
                  </w:r>
                  <w:r w:rsidR="0099441A">
                    <w:t>59,000</w:t>
                  </w:r>
                  <w:r>
                    <w:t xml:space="preserve"> (</w:t>
                  </w:r>
                  <w:r w:rsidR="002D2503">
                    <w:t>2016</w:t>
                  </w:r>
                  <w:r>
                    <w:t>).</w:t>
                  </w:r>
                </w:p>
                <w:p w14:paraId="4C928479" w14:textId="3B8EDA22" w:rsidR="00660F82" w:rsidRPr="001F3D42" w:rsidRDefault="00660F82" w:rsidP="00660F82">
                  <w:pPr>
                    <w:numPr>
                      <w:ilvl w:val="0"/>
                      <w:numId w:val="52"/>
                    </w:numPr>
                    <w:rPr>
                      <w:b/>
                      <w:color w:val="4F81BD"/>
                    </w:rPr>
                  </w:pPr>
                  <w:r>
                    <w:t>T</w:t>
                  </w:r>
                  <w:r w:rsidRPr="00E959E9">
                    <w:t>here is also a limit</w:t>
                  </w:r>
                  <w:r w:rsidR="00EA3522">
                    <w:t>, called the covered compensation limit,</w:t>
                  </w:r>
                  <w:r w:rsidRPr="00E959E9">
                    <w:t xml:space="preserve"> of $</w:t>
                  </w:r>
                  <w:r>
                    <w:t>26</w:t>
                  </w:r>
                  <w:r w:rsidR="00881C4F">
                    <w:t>5</w:t>
                  </w:r>
                  <w:r>
                    <w:t>,000</w:t>
                  </w:r>
                  <w:r w:rsidRPr="00E959E9">
                    <w:t xml:space="preserve"> (</w:t>
                  </w:r>
                  <w:r w:rsidR="002D2503">
                    <w:t>2016</w:t>
                  </w:r>
                  <w:r w:rsidRPr="00E959E9">
                    <w:t xml:space="preserve">, as indexed) to the amount of compensation that can be used for purposes of determining </w:t>
                  </w:r>
                  <w:r w:rsidRPr="00876912">
                    <w:rPr>
                      <w:i/>
                    </w:rPr>
                    <w:t xml:space="preserve">employer </w:t>
                  </w:r>
                  <w:r w:rsidRPr="00E959E9">
                    <w:t xml:space="preserve">contributions. </w:t>
                  </w:r>
                </w:p>
                <w:p w14:paraId="5DD18998" w14:textId="36D98417" w:rsidR="00660F82" w:rsidRPr="008F74E9" w:rsidRDefault="00660F82" w:rsidP="00A81324">
                  <w:r w:rsidRPr="00E959E9">
                    <w:t xml:space="preserve">The employer's deduction for contributions made to the plan is </w:t>
                  </w:r>
                  <w:r w:rsidR="00C921E1">
                    <w:t xml:space="preserve">generally </w:t>
                  </w:r>
                  <w:r w:rsidRPr="00E959E9">
                    <w:t xml:space="preserve">limited to 25% of </w:t>
                  </w:r>
                  <w:r w:rsidR="00C921E1">
                    <w:t xml:space="preserve">the covered compensation of all plan participants. </w:t>
                  </w:r>
                  <w:r w:rsidR="00A81324">
                    <w:t xml:space="preserve">Employer contributions </w:t>
                  </w:r>
                  <w:r w:rsidR="00A81324">
                    <w:lastRenderedPageBreak/>
                    <w:t>are required on a substantial and recurring basis but not every year.</w:t>
                  </w:r>
                </w:p>
              </w:tc>
            </w:tr>
          </w:tbl>
          <w:p w14:paraId="207B079C" w14:textId="225863F5" w:rsidR="00952D1F" w:rsidRPr="008F74E9" w:rsidRDefault="006E032B" w:rsidP="007B0D25">
            <w:pPr>
              <w:pStyle w:val="ListParagraph"/>
              <w:numPr>
                <w:ilvl w:val="0"/>
                <w:numId w:val="83"/>
              </w:numPr>
              <w:rPr>
                <w:rStyle w:val="Hyperlink"/>
              </w:rPr>
            </w:pPr>
            <w:r>
              <w:rPr>
                <w:rStyle w:val="Hyperlink"/>
              </w:rPr>
              <w:lastRenderedPageBreak/>
              <w:t xml:space="preserve">Basic </w:t>
            </w:r>
            <w:r w:rsidR="00952D1F">
              <w:rPr>
                <w:rStyle w:val="Hyperlink"/>
              </w:rPr>
              <w:t>Taxation</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743"/>
            </w:tblGrid>
            <w:tr w:rsidR="00952D1F" w:rsidRPr="0028324A" w14:paraId="28BC1391" w14:textId="77777777" w:rsidTr="0041326B">
              <w:tc>
                <w:tcPr>
                  <w:tcW w:w="8743" w:type="dxa"/>
                  <w:shd w:val="clear" w:color="auto" w:fill="D9D9D9"/>
                </w:tcPr>
                <w:p w14:paraId="2ADFB567" w14:textId="15C4795A" w:rsidR="00952D1F" w:rsidRPr="0041326B" w:rsidRDefault="0041326B" w:rsidP="00952D1F">
                  <w:pPr>
                    <w:rPr>
                      <w:rStyle w:val="Hyperlink"/>
                      <w:u w:val="none"/>
                    </w:rPr>
                  </w:pPr>
                  <w:r w:rsidRPr="0041326B">
                    <w:rPr>
                      <w:rStyle w:val="Hyperlink"/>
                      <w:u w:val="none"/>
                    </w:rPr>
                    <w:t xml:space="preserve">Basic </w:t>
                  </w:r>
                  <w:r w:rsidR="00952D1F" w:rsidRPr="0041326B">
                    <w:rPr>
                      <w:rStyle w:val="Hyperlink"/>
                      <w:u w:val="none"/>
                    </w:rPr>
                    <w:t>Taxation</w:t>
                  </w:r>
                </w:p>
                <w:p w14:paraId="22AFEA14" w14:textId="7C55D4FE" w:rsidR="006E032B" w:rsidRDefault="006E032B" w:rsidP="007B0D25">
                  <w:r>
                    <w:t>Income t</w:t>
                  </w:r>
                  <w:r w:rsidR="00952D1F" w:rsidRPr="00A55B71">
                    <w:t>ax</w:t>
                  </w:r>
                  <w:r w:rsidR="002D011C">
                    <w:t xml:space="preserve">es on the participant’s </w:t>
                  </w:r>
                  <w:r w:rsidR="00952D1F">
                    <w:t xml:space="preserve">pretax deferrals, employer </w:t>
                  </w:r>
                  <w:r w:rsidR="00952D1F" w:rsidRPr="00A55B71">
                    <w:t xml:space="preserve">contributions and earnings </w:t>
                  </w:r>
                  <w:r w:rsidR="002D011C">
                    <w:t xml:space="preserve">thereon </w:t>
                  </w:r>
                  <w:r w:rsidR="00952D1F" w:rsidRPr="00A55B71">
                    <w:t>are deferred until withdrawn by the plan participant.</w:t>
                  </w:r>
                  <w:r w:rsidR="00952D1F">
                    <w:t xml:space="preserve"> The participant pays only Social Security a</w:t>
                  </w:r>
                  <w:r w:rsidR="0041326B">
                    <w:t xml:space="preserve">nd Medicare taxes on deferrals - </w:t>
                  </w:r>
                  <w:r w:rsidR="00952D1F">
                    <w:t xml:space="preserve">no income taxes are paid on amounts deferred into the 401(k). </w:t>
                  </w:r>
                </w:p>
                <w:p w14:paraId="02F2693E" w14:textId="51B3D017" w:rsidR="00952D1F" w:rsidRPr="008F74E9" w:rsidRDefault="00952D1F">
                  <w:r>
                    <w:t xml:space="preserve">In general, distributions from qualified plans are taxed as ordinary income. </w:t>
                  </w:r>
                </w:p>
              </w:tc>
            </w:tr>
          </w:tbl>
          <w:p w14:paraId="44C2AC78" w14:textId="3A101CC6" w:rsidR="00952D1F" w:rsidRPr="008F74E9" w:rsidRDefault="00952D1F" w:rsidP="007B0D25">
            <w:pPr>
              <w:pStyle w:val="ListParagraph"/>
              <w:numPr>
                <w:ilvl w:val="0"/>
                <w:numId w:val="83"/>
              </w:numPr>
              <w:rPr>
                <w:rStyle w:val="Hyperlink"/>
              </w:rPr>
            </w:pPr>
            <w:r>
              <w:rPr>
                <w:rStyle w:val="Hyperlink"/>
              </w:rPr>
              <w:t>Beat</w:t>
            </w:r>
            <w:r w:rsidR="002D011C">
              <w:rPr>
                <w:rStyle w:val="Hyperlink"/>
              </w:rPr>
              <w:t>ing the Tax Man, Boosting After-</w:t>
            </w:r>
            <w:r>
              <w:rPr>
                <w:rStyle w:val="Hyperlink"/>
              </w:rPr>
              <w:t>Tax Income</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743"/>
            </w:tblGrid>
            <w:tr w:rsidR="00952D1F" w:rsidRPr="0028324A" w14:paraId="4F62C058" w14:textId="77777777" w:rsidTr="002D011C">
              <w:trPr>
                <w:trHeight w:val="5642"/>
              </w:trPr>
              <w:tc>
                <w:tcPr>
                  <w:tcW w:w="8743" w:type="dxa"/>
                  <w:shd w:val="clear" w:color="auto" w:fill="D9D9D9"/>
                </w:tcPr>
                <w:p w14:paraId="7B5F4DFC" w14:textId="29397DE7" w:rsidR="00952D1F" w:rsidRPr="002D011C" w:rsidRDefault="00952D1F" w:rsidP="00952D1F">
                  <w:pPr>
                    <w:rPr>
                      <w:rStyle w:val="Hyperlink"/>
                      <w:u w:val="none"/>
                    </w:rPr>
                  </w:pPr>
                  <w:r w:rsidRPr="002D011C">
                    <w:rPr>
                      <w:rStyle w:val="Hyperlink"/>
                      <w:u w:val="none"/>
                    </w:rPr>
                    <w:t>Beat</w:t>
                  </w:r>
                  <w:r w:rsidR="002D011C">
                    <w:rPr>
                      <w:rStyle w:val="Hyperlink"/>
                      <w:u w:val="none"/>
                    </w:rPr>
                    <w:t>ing the Tax Man, Boosting After-</w:t>
                  </w:r>
                  <w:r w:rsidRPr="002D011C">
                    <w:rPr>
                      <w:rStyle w:val="Hyperlink"/>
                      <w:u w:val="none"/>
                    </w:rPr>
                    <w:t xml:space="preserve">Tax Income </w:t>
                  </w:r>
                </w:p>
                <w:p w14:paraId="0AC58744" w14:textId="58F6A6CC" w:rsidR="00952D1F" w:rsidRDefault="00952D1F" w:rsidP="00952D1F">
                  <w:pPr>
                    <w:rPr>
                      <w:rStyle w:val="Hyperlink"/>
                      <w:b w:val="0"/>
                      <w:color w:val="auto"/>
                      <w:u w:val="none"/>
                    </w:rPr>
                  </w:pPr>
                  <w:r>
                    <w:t>W</w:t>
                  </w:r>
                  <w:r w:rsidR="002D011C">
                    <w:t>hile distributions from 401(k) P</w:t>
                  </w:r>
                  <w:r>
                    <w:t xml:space="preserve">lans are usually taxed as ordinary income, you should know two exceptions to that general rule </w:t>
                  </w:r>
                  <w:r w:rsidR="002D011C">
                    <w:t>that</w:t>
                  </w:r>
                  <w:r>
                    <w:t xml:space="preserve"> could dramatically boost after-tax retirement income. Those exceptions include the </w:t>
                  </w:r>
                  <w:r w:rsidRPr="008F74E9">
                    <w:rPr>
                      <w:rStyle w:val="Hyperlink"/>
                    </w:rPr>
                    <w:t>Designated Roth 401(k) Account</w:t>
                  </w:r>
                  <w:r w:rsidR="002D011C">
                    <w:t xml:space="preserve"> (income tax-</w:t>
                  </w:r>
                  <w:r>
                    <w:t xml:space="preserve">free income) and </w:t>
                  </w:r>
                  <w:r w:rsidRPr="001F3D42">
                    <w:rPr>
                      <w:rStyle w:val="Hyperlink"/>
                    </w:rPr>
                    <w:t>investing in employer securities</w:t>
                  </w:r>
                  <w:r w:rsidRPr="008F74E9">
                    <w:rPr>
                      <w:rStyle w:val="Hyperlink"/>
                      <w:u w:val="none"/>
                    </w:rPr>
                    <w:t xml:space="preserve"> </w:t>
                  </w:r>
                  <w:r w:rsidRPr="002D011C">
                    <w:t>(</w:t>
                  </w:r>
                  <w:r w:rsidRPr="008F74E9">
                    <w:rPr>
                      <w:rStyle w:val="Hyperlink"/>
                      <w:b w:val="0"/>
                      <w:color w:val="auto"/>
                      <w:u w:val="none"/>
                    </w:rPr>
                    <w:t xml:space="preserve">taxation </w:t>
                  </w:r>
                  <w:r>
                    <w:rPr>
                      <w:rStyle w:val="Hyperlink"/>
                      <w:b w:val="0"/>
                      <w:color w:val="auto"/>
                      <w:u w:val="none"/>
                    </w:rPr>
                    <w:t xml:space="preserve">of gains </w:t>
                  </w:r>
                  <w:r w:rsidRPr="008F74E9">
                    <w:rPr>
                      <w:rStyle w:val="Hyperlink"/>
                      <w:b w:val="0"/>
                      <w:color w:val="auto"/>
                      <w:u w:val="none"/>
                    </w:rPr>
                    <w:t xml:space="preserve">at preferential </w:t>
                  </w:r>
                  <w:r w:rsidRPr="00C162E2">
                    <w:rPr>
                      <w:rStyle w:val="Hyperlink"/>
                      <w:b w:val="0"/>
                      <w:color w:val="auto"/>
                      <w:u w:val="none"/>
                    </w:rPr>
                    <w:t>long-term</w:t>
                  </w:r>
                  <w:r w:rsidRPr="008F74E9">
                    <w:rPr>
                      <w:rStyle w:val="Hyperlink"/>
                      <w:b w:val="0"/>
                      <w:color w:val="auto"/>
                      <w:u w:val="none"/>
                    </w:rPr>
                    <w:t xml:space="preserve"> capital gain rates</w:t>
                  </w:r>
                  <w:r>
                    <w:rPr>
                      <w:rStyle w:val="Hyperlink"/>
                      <w:b w:val="0"/>
                      <w:color w:val="auto"/>
                      <w:u w:val="none"/>
                    </w:rPr>
                    <w:t>)</w:t>
                  </w:r>
                  <w:r w:rsidRPr="008F74E9">
                    <w:rPr>
                      <w:rStyle w:val="Hyperlink"/>
                      <w:b w:val="0"/>
                      <w:color w:val="auto"/>
                      <w:u w:val="none"/>
                    </w:rPr>
                    <w:t>.</w:t>
                  </w:r>
                </w:p>
                <w:tbl>
                  <w:tblPr>
                    <w:tblStyle w:val="TableGrid"/>
                    <w:tblW w:w="0" w:type="auto"/>
                    <w:tblLook w:val="04A0" w:firstRow="1" w:lastRow="0" w:firstColumn="1" w:lastColumn="0" w:noHBand="0" w:noVBand="1"/>
                  </w:tblPr>
                  <w:tblGrid>
                    <w:gridCol w:w="8517"/>
                  </w:tblGrid>
                  <w:tr w:rsidR="00952D1F" w14:paraId="2BF72FB0" w14:textId="77777777" w:rsidTr="002D011C">
                    <w:tc>
                      <w:tcPr>
                        <w:tcW w:w="9119" w:type="dxa"/>
                        <w:shd w:val="clear" w:color="auto" w:fill="F2F2F2" w:themeFill="background1" w:themeFillShade="F2"/>
                      </w:tcPr>
                      <w:p w14:paraId="2BBB772D" w14:textId="77777777" w:rsidR="0020761E" w:rsidRDefault="00952D1F" w:rsidP="00952D1F">
                        <w:r w:rsidRPr="0020761E">
                          <w:rPr>
                            <w:rStyle w:val="Hyperlink"/>
                            <w:u w:val="none"/>
                          </w:rPr>
                          <w:t>Designated Roth 401(k) Accounts</w:t>
                        </w:r>
                        <w:r w:rsidRPr="0020761E">
                          <w:t xml:space="preserve"> </w:t>
                        </w:r>
                      </w:p>
                      <w:p w14:paraId="52FF671F" w14:textId="5D89043B" w:rsidR="00952D1F" w:rsidRDefault="0020761E" w:rsidP="00952D1F">
                        <w:r>
                          <w:t xml:space="preserve">Designated Roth 401(k) Accounts </w:t>
                        </w:r>
                        <w:r w:rsidR="00952D1F">
                          <w:t>(DRAs) may be included at the emplo</w:t>
                        </w:r>
                        <w:r w:rsidR="002D011C">
                          <w:t>yer’s discretion in any 401(k) P</w:t>
                        </w:r>
                        <w:r w:rsidR="00952D1F">
                          <w:t xml:space="preserve">lan. </w:t>
                        </w:r>
                        <w:r w:rsidR="00952D1F" w:rsidRPr="003279E2">
                          <w:t xml:space="preserve">Similar to a Roth IRA, </w:t>
                        </w:r>
                        <w:r w:rsidR="00952D1F">
                          <w:t>deferrals in</w:t>
                        </w:r>
                        <w:r w:rsidR="00952D1F" w:rsidRPr="003279E2">
                          <w:t xml:space="preserve">to a </w:t>
                        </w:r>
                        <w:r w:rsidR="00952D1F">
                          <w:t>DRA</w:t>
                        </w:r>
                        <w:r w:rsidR="00952D1F" w:rsidRPr="003279E2">
                          <w:t xml:space="preserve"> </w:t>
                        </w:r>
                        <w:r w:rsidR="00952D1F">
                          <w:t>are</w:t>
                        </w:r>
                        <w:r w:rsidR="00952D1F" w:rsidRPr="003279E2">
                          <w:t xml:space="preserve"> made with after-tax dollars and </w:t>
                        </w:r>
                        <w:r w:rsidR="00952D1F" w:rsidRPr="00DB5083">
                          <w:rPr>
                            <w:rStyle w:val="Hyperlink"/>
                            <w:b w:val="0"/>
                            <w:color w:val="auto"/>
                            <w:u w:val="none"/>
                          </w:rPr>
                          <w:t>qualified withdrawals</w:t>
                        </w:r>
                        <w:r w:rsidR="00952D1F">
                          <w:rPr>
                            <w:rStyle w:val="Hyperlink"/>
                            <w:b w:val="0"/>
                            <w:color w:val="auto"/>
                            <w:u w:val="none"/>
                          </w:rPr>
                          <w:t xml:space="preserve">, </w:t>
                        </w:r>
                        <w:r w:rsidR="00952D1F">
                          <w:t>including earnings,</w:t>
                        </w:r>
                        <w:r w:rsidR="00952D1F" w:rsidRPr="003279E2">
                          <w:t xml:space="preserve"> during retirement will </w:t>
                        </w:r>
                        <w:r w:rsidR="00952D1F">
                          <w:t xml:space="preserve">not </w:t>
                        </w:r>
                        <w:r w:rsidR="00952D1F" w:rsidRPr="003279E2">
                          <w:t>be subject to income tax</w:t>
                        </w:r>
                        <w:r w:rsidR="00952D1F">
                          <w:t xml:space="preserve">. </w:t>
                        </w:r>
                      </w:p>
                      <w:p w14:paraId="2B23F2A5" w14:textId="792D6E27" w:rsidR="00952D1F" w:rsidRDefault="00952D1F" w:rsidP="00952D1F">
                        <w:pPr>
                          <w:rPr>
                            <w:rStyle w:val="Hyperlink"/>
                            <w:b w:val="0"/>
                            <w:color w:val="auto"/>
                            <w:u w:val="none"/>
                          </w:rPr>
                        </w:pPr>
                        <w:r>
                          <w:t xml:space="preserve">Distributions of earnings from </w:t>
                        </w:r>
                        <w:r w:rsidR="002D011C">
                          <w:t>a DRA are qualified (income tax-</w:t>
                        </w:r>
                        <w:r>
                          <w:t xml:space="preserve">free) </w:t>
                        </w:r>
                        <w:r w:rsidRPr="003279E2">
                          <w:t>provided the participant has reached age 59½ and has been in the plan at least five years.</w:t>
                        </w:r>
                        <w:r>
                          <w:t xml:space="preserve"> Noteworthy and unlike a Roth IRA, minimum </w:t>
                        </w:r>
                        <w:r w:rsidRPr="00DB5083">
                          <w:rPr>
                            <w:rStyle w:val="Hyperlink"/>
                            <w:b w:val="0"/>
                            <w:color w:val="auto"/>
                            <w:u w:val="none"/>
                          </w:rPr>
                          <w:t>distributions are required</w:t>
                        </w:r>
                        <w:r>
                          <w:t xml:space="preserve"> during the owner’s lifetime based upon qualified plan rules.</w:t>
                        </w:r>
                        <w:r w:rsidRPr="003279E2">
                          <w:t xml:space="preserve"> The annual employee elective contribution is $</w:t>
                        </w:r>
                        <w:r w:rsidR="00975A2D">
                          <w:t>18,000</w:t>
                        </w:r>
                        <w:r w:rsidRPr="003279E2">
                          <w:t xml:space="preserve"> in </w:t>
                        </w:r>
                        <w:r w:rsidR="002D2503">
                          <w:t>2016</w:t>
                        </w:r>
                        <w:r w:rsidRPr="003279E2">
                          <w:t xml:space="preserve"> with an additional $</w:t>
                        </w:r>
                        <w:r w:rsidR="00975A2D">
                          <w:t>6,000</w:t>
                        </w:r>
                        <w:r>
                          <w:t xml:space="preserve"> in </w:t>
                        </w:r>
                        <w:r w:rsidR="002D2503">
                          <w:t>2016</w:t>
                        </w:r>
                        <w:r w:rsidRPr="003279E2">
                          <w:t xml:space="preserve"> if age 50 or over. </w:t>
                        </w:r>
                        <w:r>
                          <w:t xml:space="preserve"> </w:t>
                        </w:r>
                      </w:p>
                      <w:p w14:paraId="1D206A60" w14:textId="4FBF7119" w:rsidR="00952D1F" w:rsidRDefault="00952D1F" w:rsidP="00952D1F">
                        <w:r>
                          <w:t>Designated Roth 401(k) Accounts (DRAs) may be included at the emplo</w:t>
                        </w:r>
                        <w:r w:rsidR="00C421D0">
                          <w:t>yer’s discretion in any 401(k) P</w:t>
                        </w:r>
                        <w:r>
                          <w:t xml:space="preserve">lan. </w:t>
                        </w:r>
                        <w:r w:rsidRPr="003279E2">
                          <w:t xml:space="preserve">Similar to a Roth IRA, </w:t>
                        </w:r>
                        <w:r>
                          <w:t>deferrals in</w:t>
                        </w:r>
                        <w:r w:rsidRPr="003279E2">
                          <w:t xml:space="preserve">to a </w:t>
                        </w:r>
                        <w:r>
                          <w:t>DRA</w:t>
                        </w:r>
                        <w:r w:rsidRPr="003279E2">
                          <w:t xml:space="preserve"> </w:t>
                        </w:r>
                        <w:r>
                          <w:t>are</w:t>
                        </w:r>
                        <w:r w:rsidRPr="003279E2">
                          <w:t xml:space="preserve"> made with after-tax dollars and </w:t>
                        </w:r>
                        <w:r w:rsidRPr="00DB5083">
                          <w:rPr>
                            <w:rStyle w:val="Hyperlink"/>
                            <w:b w:val="0"/>
                            <w:color w:val="auto"/>
                            <w:u w:val="none"/>
                          </w:rPr>
                          <w:t>qualified withdrawals</w:t>
                        </w:r>
                        <w:r>
                          <w:rPr>
                            <w:rStyle w:val="Hyperlink"/>
                            <w:b w:val="0"/>
                            <w:color w:val="auto"/>
                            <w:u w:val="none"/>
                          </w:rPr>
                          <w:t xml:space="preserve">, </w:t>
                        </w:r>
                        <w:r>
                          <w:t>including earnings,</w:t>
                        </w:r>
                        <w:r w:rsidRPr="003279E2">
                          <w:t xml:space="preserve"> during retirement will </w:t>
                        </w:r>
                        <w:r>
                          <w:t xml:space="preserve">not </w:t>
                        </w:r>
                        <w:r w:rsidRPr="003279E2">
                          <w:t>be subject to income tax</w:t>
                        </w:r>
                        <w:r>
                          <w:t xml:space="preserve">. </w:t>
                        </w:r>
                      </w:p>
                      <w:p w14:paraId="65DB5FCD" w14:textId="7D04AE58" w:rsidR="00952D1F" w:rsidRDefault="00952D1F" w:rsidP="00952D1F">
                        <w:pPr>
                          <w:rPr>
                            <w:rStyle w:val="Hyperlink"/>
                            <w:b w:val="0"/>
                            <w:color w:val="auto"/>
                            <w:u w:val="none"/>
                          </w:rPr>
                        </w:pPr>
                        <w:r>
                          <w:t xml:space="preserve">Distributions of earnings from </w:t>
                        </w:r>
                        <w:r w:rsidR="00C421D0">
                          <w:t>a DRA are qualified (income tax-</w:t>
                        </w:r>
                        <w:r>
                          <w:t xml:space="preserve">free) </w:t>
                        </w:r>
                        <w:r w:rsidRPr="003279E2">
                          <w:t>provided the participant has reached age 59½ and has been in the plan at least five years.</w:t>
                        </w:r>
                        <w:r>
                          <w:t xml:space="preserve"> Noteworthy and unlike a Roth IRA, minimum </w:t>
                        </w:r>
                        <w:r w:rsidRPr="00DB5083">
                          <w:rPr>
                            <w:rStyle w:val="Hyperlink"/>
                            <w:b w:val="0"/>
                            <w:color w:val="auto"/>
                            <w:u w:val="none"/>
                          </w:rPr>
                          <w:t>distributions are required</w:t>
                        </w:r>
                        <w:r>
                          <w:t xml:space="preserve"> during the owner’s lifetime based upon qualified plan rules.</w:t>
                        </w:r>
                        <w:r w:rsidRPr="003279E2">
                          <w:t xml:space="preserve"> The annual employee elective contribution is $</w:t>
                        </w:r>
                        <w:r w:rsidR="00975A2D">
                          <w:t>18,000</w:t>
                        </w:r>
                        <w:r w:rsidRPr="003279E2">
                          <w:t xml:space="preserve"> in </w:t>
                        </w:r>
                        <w:r w:rsidR="002D2503">
                          <w:t>2016</w:t>
                        </w:r>
                        <w:r w:rsidRPr="003279E2">
                          <w:t xml:space="preserve"> with an additional $</w:t>
                        </w:r>
                        <w:r w:rsidR="00975A2D">
                          <w:t>6,000</w:t>
                        </w:r>
                        <w:r>
                          <w:t xml:space="preserve"> in </w:t>
                        </w:r>
                        <w:r w:rsidR="002D2503">
                          <w:t>2016</w:t>
                        </w:r>
                        <w:r w:rsidRPr="003279E2">
                          <w:t xml:space="preserve"> if age 50 or over. </w:t>
                        </w:r>
                        <w:r>
                          <w:t xml:space="preserve"> </w:t>
                        </w:r>
                      </w:p>
                    </w:tc>
                  </w:tr>
                </w:tbl>
                <w:p w14:paraId="4A93625A" w14:textId="0D8B47CA" w:rsidR="00952D1F" w:rsidRDefault="00952D1F" w:rsidP="00952D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517"/>
                  </w:tblGrid>
                  <w:tr w:rsidR="00952D1F" w:rsidRPr="0028324A" w14:paraId="4C38E9A2" w14:textId="77777777" w:rsidTr="0020761E">
                    <w:trPr>
                      <w:trHeight w:val="872"/>
                    </w:trPr>
                    <w:tc>
                      <w:tcPr>
                        <w:tcW w:w="9350" w:type="dxa"/>
                        <w:shd w:val="clear" w:color="auto" w:fill="F2F2F2" w:themeFill="background1" w:themeFillShade="F2"/>
                      </w:tcPr>
                      <w:p w14:paraId="0B3BDD3B" w14:textId="77777777" w:rsidR="00952D1F" w:rsidRDefault="00952D1F" w:rsidP="00952D1F">
                        <w:pPr>
                          <w:rPr>
                            <w:b/>
                            <w:color w:val="4F81BD"/>
                          </w:rPr>
                        </w:pPr>
                        <w:r>
                          <w:rPr>
                            <w:b/>
                            <w:color w:val="4F81BD"/>
                          </w:rPr>
                          <w:t>Investing in Employer Securities</w:t>
                        </w:r>
                      </w:p>
                      <w:p w14:paraId="12A2D809" w14:textId="5893A0AA" w:rsidR="00952D1F" w:rsidRDefault="00952D1F" w:rsidP="00952D1F">
                        <w:r>
                          <w:t>Qualified plans may invest in the securities of the employer. Employer securities distributed to the retiree in a lump sum at retirement are t</w:t>
                        </w:r>
                        <w:r w:rsidR="00C421D0">
                          <w:t xml:space="preserve">axed, at least in part, </w:t>
                        </w:r>
                        <w:r w:rsidR="00C421D0">
                          <w:lastRenderedPageBreak/>
                          <w:t>at long-</w:t>
                        </w:r>
                        <w:r>
                          <w:t>term capital gains. This tactic is commonly described as “</w:t>
                        </w:r>
                        <w:r w:rsidRPr="008F74E9">
                          <w:rPr>
                            <w:rStyle w:val="Hyperlink"/>
                          </w:rPr>
                          <w:t>net unrealized appreciation</w:t>
                        </w:r>
                        <w:r>
                          <w:t>.”</w:t>
                        </w:r>
                      </w:p>
                      <w:p w14:paraId="0C467C35" w14:textId="113108D8" w:rsidR="00952D1F" w:rsidRDefault="00952D1F" w:rsidP="00952D1F">
                        <w:r>
                          <w:t>If the employee has the option to invest in employer securities, the future income tax benefits should be considered. However, the income tax “tail” should not wag the investment diversification “dog.” Investing into employer securities should be appropriate to your client’s portfolio diversificat</w:t>
                        </w:r>
                        <w:r w:rsidR="00C421D0">
                          <w:t>ion strategy first and foremost -</w:t>
                        </w:r>
                        <w:r>
                          <w:t xml:space="preserve"> the tax benefits should merely be a factor in the investment decision process.</w:t>
                        </w:r>
                      </w:p>
                      <w:tbl>
                        <w:tblPr>
                          <w:tblStyle w:val="TableGrid"/>
                          <w:tblW w:w="0" w:type="auto"/>
                          <w:tblLook w:val="04A0" w:firstRow="1" w:lastRow="0" w:firstColumn="1" w:lastColumn="0" w:noHBand="0" w:noVBand="1"/>
                        </w:tblPr>
                        <w:tblGrid>
                          <w:gridCol w:w="8291"/>
                        </w:tblGrid>
                        <w:tr w:rsidR="00952D1F" w14:paraId="283500EB" w14:textId="77777777" w:rsidTr="00C421D0">
                          <w:tc>
                            <w:tcPr>
                              <w:tcW w:w="9119" w:type="dxa"/>
                              <w:shd w:val="clear" w:color="auto" w:fill="D9D9D9" w:themeFill="background1" w:themeFillShade="D9"/>
                            </w:tcPr>
                            <w:p w14:paraId="0717B3CE" w14:textId="77777777" w:rsidR="00952D1F" w:rsidRPr="00C421D0" w:rsidRDefault="00952D1F" w:rsidP="00952D1F">
                              <w:pPr>
                                <w:rPr>
                                  <w:rStyle w:val="Hyperlink"/>
                                  <w:u w:val="none"/>
                                </w:rPr>
                              </w:pPr>
                              <w:r w:rsidRPr="00C421D0">
                                <w:rPr>
                                  <w:rStyle w:val="Hyperlink"/>
                                  <w:u w:val="none"/>
                                </w:rPr>
                                <w:t>Net Unrealized Appreciation</w:t>
                              </w:r>
                            </w:p>
                            <w:p w14:paraId="3359A24E" w14:textId="737B6A3A" w:rsidR="00952D1F" w:rsidRPr="002A33D6" w:rsidRDefault="00952D1F" w:rsidP="00952D1F">
                              <w:r>
                                <w:t>Investment of plan assets into employer stock is more commonly found in 401(k), Profit Sharing, Stock Bonus, a</w:t>
                              </w:r>
                              <w:r w:rsidR="00C421D0">
                                <w:t>nd ESOP P</w:t>
                              </w:r>
                              <w:r>
                                <w:t>lans than in other qualified plans. In 401(k) Plans</w:t>
                              </w:r>
                              <w:r w:rsidR="00C421D0">
                                <w:t>,</w:t>
                              </w:r>
                              <w:r w:rsidRPr="002A33D6">
                                <w:t xml:space="preserve"> it is not uncommon for employers to make matching contributions in employer stock. </w:t>
                              </w:r>
                            </w:p>
                            <w:p w14:paraId="10B45438" w14:textId="05D79F40" w:rsidR="00952D1F" w:rsidRDefault="00952D1F" w:rsidP="00952D1F">
                              <w:r w:rsidRPr="002A33D6">
                                <w:t xml:space="preserve">If the stock itself (versus cash in lieu of stock) is distributed to a participant, the participant can utilize net unrealized </w:t>
                              </w:r>
                              <w:r>
                                <w:t>appreciation</w:t>
                              </w:r>
                              <w:r w:rsidRPr="002A33D6">
                                <w:t xml:space="preserve"> (NUA) preferential tax treatment. If a qualified plan makes a lump sum distribution that includes employer stock, the unrealized appreciation of the stock (the difference between the value of the stock when contributed to the plan and the value of the stock when distributed) is not taxable to the participant at the time of the distribution as long as</w:t>
                              </w:r>
                              <w:r w:rsidR="00C421D0">
                                <w:t xml:space="preserve"> two conditions are met:</w:t>
                              </w:r>
                            </w:p>
                            <w:p w14:paraId="710F9F90" w14:textId="77777777" w:rsidR="00952D1F" w:rsidRDefault="00952D1F" w:rsidP="00952D1F">
                              <w:pPr>
                                <w:pStyle w:val="ListParagraph"/>
                                <w:numPr>
                                  <w:ilvl w:val="0"/>
                                  <w:numId w:val="79"/>
                                </w:numPr>
                              </w:pPr>
                              <w:r>
                                <w:t>T</w:t>
                              </w:r>
                              <w:r w:rsidRPr="002A33D6">
                                <w:t>he distribution</w:t>
                              </w:r>
                              <w:r>
                                <w:t xml:space="preserve"> is made after the participant's</w:t>
                              </w:r>
                              <w:r w:rsidRPr="002A33D6">
                                <w:t xml:space="preserve"> attainment of age 59½, </w:t>
                              </w:r>
                              <w:r>
                                <w:t>and</w:t>
                              </w:r>
                            </w:p>
                            <w:p w14:paraId="7F69527E" w14:textId="77777777" w:rsidR="00952D1F" w:rsidRDefault="00952D1F" w:rsidP="00952D1F">
                              <w:pPr>
                                <w:pStyle w:val="ListParagraph"/>
                                <w:numPr>
                                  <w:ilvl w:val="0"/>
                                  <w:numId w:val="79"/>
                                </w:numPr>
                              </w:pPr>
                              <w:r>
                                <w:t>T</w:t>
                              </w:r>
                              <w:r w:rsidRPr="002A33D6">
                                <w:t>he participant’s separation of service from the employer-plan sponsor</w:t>
                              </w:r>
                              <w:r>
                                <w:t xml:space="preserve">, or </w:t>
                              </w:r>
                              <w:r w:rsidRPr="002A33D6">
                                <w:t xml:space="preserve">is made </w:t>
                              </w:r>
                              <w:r>
                                <w:t xml:space="preserve">posthumously </w:t>
                              </w:r>
                              <w:r w:rsidRPr="002A33D6">
                                <w:t xml:space="preserve">within one year of death. </w:t>
                              </w:r>
                            </w:p>
                            <w:p w14:paraId="068E9D4B" w14:textId="77777777" w:rsidR="00952D1F" w:rsidRDefault="00952D1F" w:rsidP="00952D1F">
                              <w:r>
                                <w:t>T</w:t>
                              </w:r>
                              <w:r w:rsidRPr="002A33D6">
                                <w:t xml:space="preserve">he NUA is subject to income tax at a long-term capital gains rate when the participant actually sells the stock, regardless of how long it is held after the distribution date. </w:t>
                              </w:r>
                              <w:r>
                                <w:t>Note that the cost basis of the stock is treated as ordinary income at the time of the distribution.</w:t>
                              </w:r>
                            </w:p>
                          </w:tc>
                        </w:tr>
                      </w:tbl>
                      <w:p w14:paraId="1470F377" w14:textId="77777777" w:rsidR="00952D1F" w:rsidRPr="0028324A" w:rsidRDefault="00952D1F" w:rsidP="00952D1F"/>
                    </w:tc>
                  </w:tr>
                </w:tbl>
                <w:p w14:paraId="716F2170" w14:textId="77777777" w:rsidR="00952D1F" w:rsidRPr="008F74E9" w:rsidRDefault="00952D1F" w:rsidP="00952D1F"/>
              </w:tc>
            </w:tr>
          </w:tbl>
          <w:p w14:paraId="6239B9D4" w14:textId="7E2312CA" w:rsidR="0033750B" w:rsidRDefault="006E032B" w:rsidP="008E3F14">
            <w:pPr>
              <w:pStyle w:val="ListParagraph"/>
              <w:numPr>
                <w:ilvl w:val="0"/>
                <w:numId w:val="83"/>
              </w:numPr>
              <w:rPr>
                <w:rStyle w:val="Hyperlink"/>
              </w:rPr>
            </w:pPr>
            <w:r>
              <w:rPr>
                <w:rStyle w:val="Hyperlink"/>
              </w:rPr>
              <w:lastRenderedPageBreak/>
              <w:t>Solo 401(k) For the Small Business Owner</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743"/>
            </w:tblGrid>
            <w:tr w:rsidR="006E032B" w:rsidRPr="0028324A" w14:paraId="55D8628D" w14:textId="77777777" w:rsidTr="00C421D0">
              <w:tc>
                <w:tcPr>
                  <w:tcW w:w="8743" w:type="dxa"/>
                  <w:shd w:val="clear" w:color="auto" w:fill="D9D9D9"/>
                </w:tcPr>
                <w:p w14:paraId="70E07888" w14:textId="77777777" w:rsidR="006E032B" w:rsidRPr="00C421D0" w:rsidRDefault="006E032B" w:rsidP="007378D2">
                  <w:pPr>
                    <w:rPr>
                      <w:rStyle w:val="Hyperlink"/>
                      <w:u w:val="none"/>
                    </w:rPr>
                  </w:pPr>
                  <w:r w:rsidRPr="00C421D0">
                    <w:rPr>
                      <w:rStyle w:val="Hyperlink"/>
                      <w:u w:val="none"/>
                    </w:rPr>
                    <w:t>Solo 401(k) For the Small Business Owner</w:t>
                  </w:r>
                </w:p>
                <w:p w14:paraId="6E7CECA5" w14:textId="2802AA35" w:rsidR="006E032B" w:rsidRDefault="006E032B" w:rsidP="007378D2">
                  <w:r>
                    <w:t xml:space="preserve">What if your small business owner client seeks to establish a qualified plan but is highly averse to cost, complexity, and risk? Be sure you are familiar with an intriguing variation of the 401(k) </w:t>
                  </w:r>
                  <w:r w:rsidR="00C421D0">
                    <w:t>P</w:t>
                  </w:r>
                  <w:r>
                    <w:t xml:space="preserve">lan dubbed the </w:t>
                  </w:r>
                  <w:r w:rsidRPr="008F74E9">
                    <w:rPr>
                      <w:rStyle w:val="Hyperlink"/>
                    </w:rPr>
                    <w:t>Solo 401(k)</w:t>
                  </w:r>
                  <w:r>
                    <w:rPr>
                      <w:rStyle w:val="Hyperlink"/>
                    </w:rPr>
                    <w:t>.</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517"/>
                  </w:tblGrid>
                  <w:tr w:rsidR="006E032B" w:rsidRPr="0028324A" w14:paraId="4F317C38" w14:textId="77777777" w:rsidTr="00C421D0">
                    <w:tc>
                      <w:tcPr>
                        <w:tcW w:w="9350" w:type="dxa"/>
                        <w:shd w:val="clear" w:color="auto" w:fill="F2F2F2" w:themeFill="background1" w:themeFillShade="F2"/>
                      </w:tcPr>
                      <w:p w14:paraId="498F5DDE" w14:textId="77777777" w:rsidR="006E032B" w:rsidRPr="00C421D0" w:rsidRDefault="006E032B" w:rsidP="007378D2">
                        <w:r w:rsidRPr="00C421D0">
                          <w:rPr>
                            <w:rStyle w:val="Hyperlink"/>
                            <w:u w:val="none"/>
                          </w:rPr>
                          <w:t>Solo 401(k)</w:t>
                        </w:r>
                        <w:r w:rsidRPr="00C421D0">
                          <w:t xml:space="preserve"> </w:t>
                        </w:r>
                      </w:p>
                      <w:p w14:paraId="1C10E518" w14:textId="31EA0646" w:rsidR="006E032B" w:rsidRPr="0028324A" w:rsidRDefault="006E032B" w:rsidP="007378D2">
                        <w:r>
                          <w:t>This qualified plan may be ideal for the single owner/employee business or a business in which the only two employees are</w:t>
                        </w:r>
                        <w:r w:rsidR="00C421D0">
                          <w:t xml:space="preserve"> husband and wife. Solo 401(k) P</w:t>
                        </w:r>
                        <w:r>
                          <w:t>lans may also be referred to in the popul</w:t>
                        </w:r>
                        <w:r w:rsidR="00C421D0">
                          <w:t>ar press as “Individual 401(k) Plans” or “Uni-K P</w:t>
                        </w:r>
                        <w:r>
                          <w:t xml:space="preserve">lans.” </w:t>
                        </w:r>
                        <w:r w:rsidR="00222D5F">
                          <w:t>The employee may make deferrals</w:t>
                        </w:r>
                        <w:r>
                          <w:t xml:space="preserve"> and, in addition, the business may make tax-deductible contribu</w:t>
                        </w:r>
                        <w:r w:rsidR="00C421D0">
                          <w:t>tions as well. The solo 401(k) P</w:t>
                        </w:r>
                        <w:r>
                          <w:t>lan is subject to the same contributio</w:t>
                        </w:r>
                        <w:r w:rsidR="00C421D0">
                          <w:t xml:space="preserve">n limits </w:t>
                        </w:r>
                        <w:r w:rsidR="00A5212E">
                          <w:t>as the regular 401(k) Plan. Set</w:t>
                        </w:r>
                        <w:r w:rsidR="00535989">
                          <w:t>-</w:t>
                        </w:r>
                        <w:r>
                          <w:t>up and annual administrative costs are among the lowest of any qualified plan</w:t>
                        </w:r>
                        <w:r w:rsidR="00A5212E">
                          <w:t>,</w:t>
                        </w:r>
                        <w:r>
                          <w:t xml:space="preserve"> yet more expensive than related costs of a SEP </w:t>
                        </w:r>
                        <w:r w:rsidR="00A5212E">
                          <w:t>IRA or SIMPLE IRA. Solo 401(k) P</w:t>
                        </w:r>
                        <w:r>
                          <w:t>lans may also offer the equivalent of Designated Roth Accounts.</w:t>
                        </w:r>
                      </w:p>
                    </w:tc>
                  </w:tr>
                </w:tbl>
                <w:p w14:paraId="38775A85" w14:textId="77777777" w:rsidR="006E032B" w:rsidRPr="008F74E9" w:rsidRDefault="006E032B" w:rsidP="007378D2">
                  <w:r>
                    <w:t xml:space="preserve">If your client is open to nonqualified plans as well, consider the SEP IRA and SIMPLE </w:t>
                  </w:r>
                  <w:r>
                    <w:lastRenderedPageBreak/>
                    <w:t xml:space="preserve">IRA also. </w:t>
                  </w:r>
                </w:p>
              </w:tc>
            </w:tr>
          </w:tbl>
          <w:p w14:paraId="7119C55C" w14:textId="710145D0" w:rsidR="00C177C1" w:rsidRPr="003279E2" w:rsidRDefault="00C177C1" w:rsidP="002D3017">
            <w:pPr>
              <w:spacing w:before="0" w:after="0"/>
            </w:pPr>
          </w:p>
        </w:tc>
      </w:tr>
      <w:tr w:rsidR="003279E2" w:rsidRPr="003279E2" w14:paraId="4DD82CDC" w14:textId="77777777" w:rsidTr="008E3F14">
        <w:tc>
          <w:tcPr>
            <w:tcW w:w="9590" w:type="dxa"/>
            <w:shd w:val="clear" w:color="auto" w:fill="6CA8CD"/>
            <w:tcMar>
              <w:top w:w="72" w:type="dxa"/>
              <w:left w:w="115" w:type="dxa"/>
              <w:bottom w:w="72" w:type="dxa"/>
              <w:right w:w="115" w:type="dxa"/>
            </w:tcMar>
          </w:tcPr>
          <w:p w14:paraId="476376FA" w14:textId="77777777" w:rsidR="003279E2" w:rsidRPr="003279E2" w:rsidRDefault="003279E2" w:rsidP="003916C4">
            <w:pPr>
              <w:rPr>
                <w:b/>
                <w:color w:val="FFFFFF"/>
              </w:rPr>
            </w:pPr>
            <w:r w:rsidRPr="003279E2">
              <w:rPr>
                <w:rStyle w:val="Strong"/>
                <w:bCs w:val="0"/>
                <w:color w:val="FFFFFF"/>
              </w:rPr>
              <w:lastRenderedPageBreak/>
              <w:t>Stock Bonus/ESOP Plans</w:t>
            </w:r>
          </w:p>
        </w:tc>
      </w:tr>
      <w:tr w:rsidR="003279E2" w:rsidRPr="003279E2" w14:paraId="286ADDB9" w14:textId="77777777" w:rsidTr="008E3F14">
        <w:tc>
          <w:tcPr>
            <w:tcW w:w="9590" w:type="dxa"/>
            <w:tcBorders>
              <w:bottom w:val="single" w:sz="4" w:space="0" w:color="6CA8CD"/>
            </w:tcBorders>
            <w:shd w:val="clear" w:color="auto" w:fill="FFFFFF"/>
            <w:tcMar>
              <w:top w:w="72" w:type="dxa"/>
              <w:left w:w="115" w:type="dxa"/>
              <w:bottom w:w="72" w:type="dxa"/>
              <w:right w:w="115" w:type="dxa"/>
            </w:tcMar>
          </w:tcPr>
          <w:p w14:paraId="793DDE2B" w14:textId="62DBE330" w:rsidR="003279E2" w:rsidRPr="003279E2" w:rsidRDefault="003279E2" w:rsidP="003916C4">
            <w:pPr>
              <w:rPr>
                <w:rStyle w:val="Strong"/>
                <w:b w:val="0"/>
                <w:bCs w:val="0"/>
              </w:rPr>
            </w:pPr>
            <w:r w:rsidRPr="003279E2">
              <w:rPr>
                <w:rStyle w:val="Strong"/>
                <w:b w:val="0"/>
                <w:bCs w:val="0"/>
              </w:rPr>
              <w:t xml:space="preserve">A </w:t>
            </w:r>
            <w:r w:rsidR="000B215F" w:rsidRPr="003279E2">
              <w:rPr>
                <w:rStyle w:val="Strong"/>
                <w:b w:val="0"/>
                <w:bCs w:val="0"/>
              </w:rPr>
              <w:t>Stock Bonus Plan</w:t>
            </w:r>
            <w:r w:rsidRPr="003279E2">
              <w:rPr>
                <w:rStyle w:val="Strong"/>
                <w:b w:val="0"/>
                <w:bCs w:val="0"/>
              </w:rPr>
              <w:t xml:space="preserve"> is very similar to a </w:t>
            </w:r>
            <w:r w:rsidR="000B215F" w:rsidRPr="003279E2">
              <w:rPr>
                <w:rStyle w:val="Strong"/>
                <w:b w:val="0"/>
                <w:bCs w:val="0"/>
              </w:rPr>
              <w:t>Profit Sharing Plan</w:t>
            </w:r>
            <w:r w:rsidRPr="003279E2">
              <w:rPr>
                <w:rStyle w:val="Strong"/>
                <w:b w:val="0"/>
                <w:bCs w:val="0"/>
              </w:rPr>
              <w:t xml:space="preserve">, but the participant accounts are invested in stock of the employer company. Employer contributions to the plan are either stocks or contributions of cash that the plan uses to purchase employer stock. These contributions are </w:t>
            </w:r>
            <w:r w:rsidR="002A04B6">
              <w:rPr>
                <w:rStyle w:val="Strong"/>
                <w:b w:val="0"/>
                <w:bCs w:val="0"/>
              </w:rPr>
              <w:t>tax-deductible to the employer.</w:t>
            </w:r>
          </w:p>
          <w:p w14:paraId="55810730" w14:textId="1D95854D" w:rsidR="003279E2" w:rsidRPr="00A55B71" w:rsidRDefault="003279E2" w:rsidP="003916C4">
            <w:r w:rsidRPr="00A55B71">
              <w:t xml:space="preserve">An ESOP is a type of </w:t>
            </w:r>
            <w:r w:rsidR="000B215F" w:rsidRPr="00A55B71">
              <w:t>Stock Bonus Plan</w:t>
            </w:r>
            <w:r w:rsidRPr="00A55B71">
              <w:t>. However, an ESOP</w:t>
            </w:r>
            <w:r w:rsidR="000B215F">
              <w:t xml:space="preserve"> is designed to allow the ESOP P</w:t>
            </w:r>
            <w:r w:rsidRPr="00A55B71">
              <w:t>lan to borrow money from a lending institution. The plan uses the loan proceeds to purchase employer stock. The employer makes tax-deduct</w:t>
            </w:r>
            <w:r w:rsidR="000B215F">
              <w:t>ible contributions to the ESOP P</w:t>
            </w:r>
            <w:r w:rsidRPr="00A55B71">
              <w:t>lan (within certain limits</w:t>
            </w:r>
            <w:r w:rsidR="00C3183A" w:rsidRPr="00A55B71">
              <w:t>), which</w:t>
            </w:r>
            <w:r w:rsidRPr="00A55B71">
              <w:t xml:space="preserve"> the ESOP then uses to pay interest and principal on the loan. This enables the employer to borrow funds and repay both principal and intere</w:t>
            </w:r>
            <w:r w:rsidR="002A04B6" w:rsidRPr="00A55B71">
              <w:t>st with tax-deductible dollars.</w:t>
            </w:r>
          </w:p>
          <w:p w14:paraId="0B2714B0" w14:textId="1C082C0D" w:rsidR="003279E2" w:rsidRPr="003279E2" w:rsidRDefault="003279E2" w:rsidP="00A55B71">
            <w:pPr>
              <w:rPr>
                <w:rStyle w:val="Strong"/>
                <w:b w:val="0"/>
                <w:bCs w:val="0"/>
              </w:rPr>
            </w:pPr>
            <w:r w:rsidRPr="00A55B71">
              <w:t>Employees</w:t>
            </w:r>
            <w:r w:rsidRPr="003279E2">
              <w:rPr>
                <w:rStyle w:val="Strong"/>
                <w:b w:val="0"/>
                <w:bCs w:val="0"/>
              </w:rPr>
              <w:t xml:space="preserve"> </w:t>
            </w:r>
            <w:r w:rsidRPr="00A55B71">
              <w:t xml:space="preserve">bear investment risk in these plans since the investment performance of plan assets directly affects the amount </w:t>
            </w:r>
            <w:r w:rsidR="002A04B6" w:rsidRPr="00A55B71">
              <w:t xml:space="preserve">of their retirement benefits. </w:t>
            </w:r>
            <w:r w:rsidRPr="00A55B71">
              <w:t>ESOPs</w:t>
            </w:r>
            <w:r w:rsidRPr="003279E2">
              <w:rPr>
                <w:rStyle w:val="Strong"/>
                <w:b w:val="0"/>
                <w:bCs w:val="0"/>
              </w:rPr>
              <w:t xml:space="preserve"> can broaden stock ownership, which may make takeover more difficult, may incent employees, increase marketability of shares, but may dilute the primary </w:t>
            </w:r>
            <w:r w:rsidR="002A04B6">
              <w:rPr>
                <w:rStyle w:val="Strong"/>
                <w:b w:val="0"/>
                <w:bCs w:val="0"/>
              </w:rPr>
              <w:t>owners’ ownership percentage.</w:t>
            </w:r>
          </w:p>
          <w:p w14:paraId="4F00333F" w14:textId="008EC139" w:rsidR="003279E2" w:rsidRPr="003279E2" w:rsidRDefault="003279E2" w:rsidP="00A55B71">
            <w:pPr>
              <w:rPr>
                <w:rStyle w:val="Strong"/>
                <w:b w:val="0"/>
                <w:bCs w:val="0"/>
              </w:rPr>
            </w:pPr>
            <w:r w:rsidRPr="003279E2">
              <w:rPr>
                <w:rStyle w:val="Strong"/>
                <w:b w:val="0"/>
                <w:bCs w:val="0"/>
              </w:rPr>
              <w:t>As in any qualified plan, taxation to the participant of contributions and earnings of plan assets are deferred unti</w:t>
            </w:r>
            <w:r w:rsidR="002A04B6">
              <w:rPr>
                <w:rStyle w:val="Strong"/>
                <w:b w:val="0"/>
                <w:bCs w:val="0"/>
              </w:rPr>
              <w:t>l withdrawn by the participant.</w:t>
            </w:r>
            <w:r w:rsidR="00500768">
              <w:rPr>
                <w:rStyle w:val="Strong"/>
                <w:b w:val="0"/>
                <w:bCs w:val="0"/>
              </w:rPr>
              <w:t xml:space="preserve"> </w:t>
            </w:r>
            <w:r w:rsidRPr="003279E2">
              <w:rPr>
                <w:rStyle w:val="Strong"/>
                <w:b w:val="0"/>
                <w:bCs w:val="0"/>
              </w:rPr>
              <w:t xml:space="preserve">In addition, participants in a Stock Bonus Plan or ESOP can elect </w:t>
            </w:r>
            <w:r w:rsidR="00D27237">
              <w:rPr>
                <w:rStyle w:val="Strong"/>
                <w:b w:val="0"/>
                <w:bCs w:val="0"/>
              </w:rPr>
              <w:t xml:space="preserve">net unrealized appreciation treatment with respect to employer securities. </w:t>
            </w:r>
          </w:p>
          <w:p w14:paraId="79D62C35" w14:textId="67EDD77F" w:rsidR="003279E2" w:rsidRPr="003279E2" w:rsidRDefault="00660AC2">
            <w:r w:rsidRPr="00660AC2">
              <w:rPr>
                <w:color w:val="000000"/>
              </w:rPr>
              <w:t xml:space="preserve">These plans are subject to </w:t>
            </w:r>
            <w:r w:rsidR="00500768">
              <w:rPr>
                <w:color w:val="000000"/>
              </w:rPr>
              <w:t>the same funding and deduction limits as Profit Sharing Plans.</w:t>
            </w:r>
            <w:r w:rsidR="00A81324">
              <w:t xml:space="preserve"> </w:t>
            </w:r>
            <w:r w:rsidR="00095E0E">
              <w:t>Employer contributions are required on a substantial and recurring basis</w:t>
            </w:r>
            <w:r w:rsidR="009123C5">
              <w:t>,</w:t>
            </w:r>
            <w:r w:rsidR="00095E0E">
              <w:t xml:space="preserve"> but not every year.</w:t>
            </w:r>
          </w:p>
        </w:tc>
      </w:tr>
    </w:tbl>
    <w:p w14:paraId="26C8CE69" w14:textId="77777777" w:rsidR="00E25D97" w:rsidRPr="003F1EA9" w:rsidRDefault="00E25D97" w:rsidP="003F1EA9">
      <w:pPr>
        <w:spacing w:before="0" w:after="0"/>
        <w:rPr>
          <w:rStyle w:val="Strong"/>
          <w:b w:val="0"/>
          <w:color w:val="000099"/>
        </w:rPr>
      </w:pPr>
    </w:p>
    <w:p w14:paraId="00A36193" w14:textId="77777777" w:rsidR="00E25D97" w:rsidRDefault="003279E2" w:rsidP="00A82508">
      <w:pPr>
        <w:pStyle w:val="Sub-Headings"/>
      </w:pPr>
      <w:r w:rsidRPr="00A82508">
        <w:t>Try It</w:t>
      </w:r>
    </w:p>
    <w:p w14:paraId="16E2E633" w14:textId="77777777" w:rsidR="001B2584" w:rsidRPr="001F3D42" w:rsidRDefault="001B2584" w:rsidP="001F3D42">
      <w:pPr>
        <w:pStyle w:val="NormalWeb"/>
        <w:rPr>
          <w:rFonts w:cs="Arial"/>
          <w:sz w:val="20"/>
          <w:szCs w:val="20"/>
        </w:rPr>
      </w:pPr>
      <w:r w:rsidRPr="00E67340">
        <w:rPr>
          <w:rStyle w:val="Strong"/>
          <w:rFonts w:cs="Arial"/>
          <w:color w:val="FF0000"/>
          <w:szCs w:val="20"/>
        </w:rPr>
        <w:t>To check your understanding, answer the following:</w:t>
      </w:r>
    </w:p>
    <w:p w14:paraId="19A5E2EF" w14:textId="37A154DD" w:rsidR="003F1EA9" w:rsidRPr="003F1EA9" w:rsidRDefault="003F1EA9" w:rsidP="00822DE7">
      <w:pPr>
        <w:numPr>
          <w:ilvl w:val="0"/>
          <w:numId w:val="36"/>
        </w:numPr>
        <w:ind w:left="360"/>
        <w:rPr>
          <w:b/>
        </w:rPr>
      </w:pPr>
      <w:r w:rsidRPr="003F1EA9">
        <w:rPr>
          <w:b/>
        </w:rPr>
        <w:t xml:space="preserve">An employer contributes 15% of compensation into a </w:t>
      </w:r>
      <w:r w:rsidR="000B215F" w:rsidRPr="003F1EA9">
        <w:rPr>
          <w:b/>
        </w:rPr>
        <w:t>Defined Contribution Plan.</w:t>
      </w:r>
      <w:r w:rsidRPr="003F1EA9">
        <w:rPr>
          <w:b/>
        </w:rPr>
        <w:t xml:space="preserve"> If an employee’s </w:t>
      </w:r>
      <w:r w:rsidR="002D2503">
        <w:rPr>
          <w:b/>
        </w:rPr>
        <w:t>2016</w:t>
      </w:r>
      <w:r w:rsidR="00724F3C" w:rsidRPr="003F1EA9">
        <w:rPr>
          <w:b/>
        </w:rPr>
        <w:t xml:space="preserve"> </w:t>
      </w:r>
      <w:r w:rsidRPr="003F1EA9">
        <w:rPr>
          <w:b/>
        </w:rPr>
        <w:t>annual income is $300,000, how much can the employer contribute into the plan for the employee?</w:t>
      </w:r>
    </w:p>
    <w:p w14:paraId="0BFFB6D8" w14:textId="77777777" w:rsidR="003F1EA9" w:rsidRPr="00871980" w:rsidRDefault="003F1EA9" w:rsidP="00822DE7">
      <w:pPr>
        <w:numPr>
          <w:ilvl w:val="0"/>
          <w:numId w:val="35"/>
        </w:numPr>
      </w:pPr>
      <w:r w:rsidRPr="00871980">
        <w:t>46,000</w:t>
      </w:r>
    </w:p>
    <w:p w14:paraId="6C16274A" w14:textId="77777777" w:rsidR="003F1EA9" w:rsidRPr="00871980" w:rsidRDefault="003F1EA9" w:rsidP="003F1EA9">
      <w:pPr>
        <w:pStyle w:val="ReviewAnswer"/>
      </w:pPr>
      <w:r w:rsidRPr="000648F3">
        <w:rPr>
          <w:rStyle w:val="Strong"/>
        </w:rPr>
        <w:t>Incorrect</w:t>
      </w:r>
      <w:r w:rsidRPr="00871980">
        <w:t>. Try again.</w:t>
      </w:r>
    </w:p>
    <w:p w14:paraId="28EE2786" w14:textId="77777777" w:rsidR="003F1EA9" w:rsidRPr="00871980" w:rsidRDefault="003F1EA9" w:rsidP="00822DE7">
      <w:pPr>
        <w:numPr>
          <w:ilvl w:val="0"/>
          <w:numId w:val="35"/>
        </w:numPr>
      </w:pPr>
      <w:r w:rsidRPr="00871980">
        <w:t>45,000</w:t>
      </w:r>
    </w:p>
    <w:p w14:paraId="536F159F" w14:textId="77777777" w:rsidR="003F1EA9" w:rsidRPr="00871980" w:rsidRDefault="003F1EA9" w:rsidP="003F1EA9">
      <w:pPr>
        <w:pStyle w:val="ReviewAnswer"/>
      </w:pPr>
      <w:r w:rsidRPr="000648F3">
        <w:rPr>
          <w:rStyle w:val="Strong"/>
        </w:rPr>
        <w:t>Incorrect</w:t>
      </w:r>
      <w:r w:rsidRPr="00871980">
        <w:t>. Try again.</w:t>
      </w:r>
    </w:p>
    <w:p w14:paraId="679D5BB6" w14:textId="4FC4C507" w:rsidR="003F1EA9" w:rsidRPr="000648F3" w:rsidRDefault="00724F3C" w:rsidP="00822DE7">
      <w:pPr>
        <w:numPr>
          <w:ilvl w:val="0"/>
          <w:numId w:val="35"/>
        </w:numPr>
        <w:rPr>
          <w:rStyle w:val="Strong"/>
        </w:rPr>
      </w:pPr>
      <w:r w:rsidRPr="000648F3">
        <w:rPr>
          <w:rStyle w:val="Strong"/>
        </w:rPr>
        <w:t>3</w:t>
      </w:r>
      <w:r w:rsidR="00E54066">
        <w:rPr>
          <w:rStyle w:val="Strong"/>
        </w:rPr>
        <w:t>9,</w:t>
      </w:r>
      <w:r w:rsidR="00A40C59">
        <w:rPr>
          <w:rStyle w:val="Strong"/>
        </w:rPr>
        <w:t>750</w:t>
      </w:r>
    </w:p>
    <w:p w14:paraId="291AE384" w14:textId="5843AB1D" w:rsidR="00CC2B33" w:rsidRPr="008E3F14" w:rsidRDefault="003F1EA9" w:rsidP="008E3F14">
      <w:pPr>
        <w:pStyle w:val="ReviewAnswer"/>
        <w:rPr>
          <w:rFonts w:ascii="Arial" w:hAnsi="Arial"/>
          <w:color w:val="1A1A1A"/>
          <w:sz w:val="16"/>
          <w:szCs w:val="16"/>
        </w:rPr>
      </w:pPr>
      <w:r w:rsidRPr="000648F3">
        <w:rPr>
          <w:rStyle w:val="Strong"/>
        </w:rPr>
        <w:t>Correct</w:t>
      </w:r>
      <w:r w:rsidRPr="00871980">
        <w:t>. While the employer can contribute up to $</w:t>
      </w:r>
      <w:r w:rsidR="00975A2D">
        <w:t>53,000</w:t>
      </w:r>
      <w:r w:rsidRPr="00871980">
        <w:t xml:space="preserve"> for an employee, the employer cannot base the contribution on compensation above $</w:t>
      </w:r>
      <w:r w:rsidR="00975A2D">
        <w:t>265,000</w:t>
      </w:r>
      <w:r w:rsidRPr="00871980">
        <w:t>. Therefore, the most that can be contributed is 15% of $</w:t>
      </w:r>
      <w:r w:rsidR="00975A2D">
        <w:t>265,000</w:t>
      </w:r>
      <w:r w:rsidRPr="00871980">
        <w:t>, or $3</w:t>
      </w:r>
      <w:r w:rsidR="00E54066">
        <w:t>9,</w:t>
      </w:r>
      <w:r w:rsidR="00A40C59">
        <w:t>750</w:t>
      </w:r>
      <w:r w:rsidR="00294219">
        <w:br w:type="page"/>
      </w:r>
    </w:p>
    <w:p w14:paraId="03C0E819" w14:textId="1F279D7C" w:rsidR="0088340D" w:rsidRPr="0062180A" w:rsidRDefault="00E03E62" w:rsidP="004344CA">
      <w:pPr>
        <w:pStyle w:val="Heading2"/>
      </w:pPr>
      <w:r>
        <w:lastRenderedPageBreak/>
        <w:t xml:space="preserve">Corporate and </w:t>
      </w:r>
      <w:r w:rsidR="0088340D" w:rsidRPr="00A97587">
        <w:t>Keogh</w:t>
      </w:r>
      <w:r>
        <w:t xml:space="preserve"> Sponsors of </w:t>
      </w:r>
      <w:r w:rsidR="00222D5F">
        <w:t>Qualified</w:t>
      </w:r>
      <w:r w:rsidR="0088340D" w:rsidRPr="00A97587">
        <w:t xml:space="preserve"> Plans</w:t>
      </w:r>
    </w:p>
    <w:p w14:paraId="1570036A" w14:textId="2930BD07" w:rsidR="00E03E62" w:rsidRDefault="00E03E62" w:rsidP="004344CA">
      <w:r>
        <w:t xml:space="preserve">A corporation may sponsor any of the qualified plans. </w:t>
      </w:r>
      <w:r w:rsidR="00222D5F">
        <w:t>Unincorporated</w:t>
      </w:r>
      <w:r>
        <w:t xml:space="preserve"> sponsors, called Keogh </w:t>
      </w:r>
      <w:r w:rsidR="00192F83">
        <w:t>s</w:t>
      </w:r>
      <w:r>
        <w:t xml:space="preserve">ponsors, may not adopt Stock Bonus </w:t>
      </w:r>
      <w:r w:rsidR="00192F83">
        <w:t>or</w:t>
      </w:r>
      <w:r w:rsidR="000B215F">
        <w:t xml:space="preserve"> ESOP P</w:t>
      </w:r>
      <w:r>
        <w:t xml:space="preserve">lans. Why? </w:t>
      </w:r>
      <w:r w:rsidR="00192F83">
        <w:t>K</w:t>
      </w:r>
      <w:r>
        <w:t>eogh sponsors</w:t>
      </w:r>
      <w:r w:rsidR="000B215F">
        <w:t>,</w:t>
      </w:r>
      <w:r>
        <w:t xml:space="preserve"> such as sole proprietorships and partnerships</w:t>
      </w:r>
      <w:r w:rsidR="000B215F">
        <w:t>,</w:t>
      </w:r>
      <w:r>
        <w:t xml:space="preserve"> do not manifest ownership </w:t>
      </w:r>
      <w:r w:rsidR="00A53101">
        <w:t xml:space="preserve">of the business </w:t>
      </w:r>
      <w:r>
        <w:t xml:space="preserve">through stock certificates and hence, cannot adopt any qualified plan that requires employer stock. </w:t>
      </w:r>
    </w:p>
    <w:p w14:paraId="544A8E33" w14:textId="5541B276" w:rsidR="0088340D" w:rsidRDefault="00192F83" w:rsidP="004344CA">
      <w:r>
        <w:t>Keogh</w:t>
      </w:r>
      <w:r w:rsidR="000B215F">
        <w:t xml:space="preserve"> P</w:t>
      </w:r>
      <w:r w:rsidR="0088340D" w:rsidRPr="0062180A">
        <w:t xml:space="preserve">lans are substantially similar to </w:t>
      </w:r>
      <w:r w:rsidR="005D6875">
        <w:t xml:space="preserve">qualified </w:t>
      </w:r>
      <w:r w:rsidR="0088340D" w:rsidRPr="0062180A">
        <w:t xml:space="preserve">plans </w:t>
      </w:r>
      <w:r w:rsidR="005D6875">
        <w:t>sponsored</w:t>
      </w:r>
      <w:r w:rsidR="005D6875" w:rsidRPr="0062180A">
        <w:t xml:space="preserve"> </w:t>
      </w:r>
      <w:r w:rsidR="0088340D" w:rsidRPr="0062180A">
        <w:t xml:space="preserve">by corporations, except the business owners or partners deduct their plan contributions on their personal tax return, while non-owner employees do not report the contributions on their behalf either as income or as a deduction. </w:t>
      </w:r>
    </w:p>
    <w:p w14:paraId="0E3073A8" w14:textId="1626A35F" w:rsidR="00192F83" w:rsidRDefault="00192F83" w:rsidP="004344CA">
      <w:r>
        <w:t xml:space="preserve">Plans adopted by an incorporated business may be referred to as </w:t>
      </w:r>
      <w:r w:rsidR="005D6875">
        <w:t xml:space="preserve">either </w:t>
      </w:r>
      <w:r>
        <w:t>Keog</w:t>
      </w:r>
      <w:r w:rsidR="000B215F">
        <w:t>h Plans, HR-10 Plans, or Keogh (HR-10) P</w:t>
      </w:r>
      <w:r>
        <w:t>lans.</w:t>
      </w:r>
    </w:p>
    <w:p w14:paraId="4B3E3050" w14:textId="7C1DB4CC" w:rsidR="00254A7F" w:rsidRDefault="0088340D" w:rsidP="00254A7F">
      <w:pPr>
        <w:pStyle w:val="Heading2"/>
      </w:pPr>
      <w:r w:rsidRPr="001F3D42">
        <w:rPr>
          <w:b w:val="0"/>
          <w:u w:val="single"/>
        </w:rPr>
        <w:br w:type="page"/>
      </w:r>
      <w:r w:rsidR="00254A7F">
        <w:lastRenderedPageBreak/>
        <w:t>Pre-Retirement Distributions from Qualified Plans</w:t>
      </w:r>
    </w:p>
    <w:p w14:paraId="2BD05B95" w14:textId="77777777" w:rsidR="00254A7F" w:rsidRDefault="00254A7F" w:rsidP="00254A7F">
      <w:pPr>
        <w:rPr>
          <w:color w:val="3366FF"/>
        </w:rPr>
      </w:pPr>
      <w:r>
        <w:t xml:space="preserve">Distributions to a qualified plan participant who is still employed by the sponsor and still participating in the sponsor’s qualified plan are called </w:t>
      </w:r>
      <w:r>
        <w:rPr>
          <w:b/>
        </w:rPr>
        <w:t xml:space="preserve">in-service withdrawals.  </w:t>
      </w:r>
      <w:r>
        <w:t>The qualified plan administrator is generally required to withhold 20% for taxes from the amount of the in-service withdrawal, unless the distribution is transferred to an eligible retirement plan by means of a direct rollover.</w:t>
      </w:r>
      <w:r>
        <w:rPr>
          <w:color w:val="3366FF"/>
        </w:rPr>
        <w:t xml:space="preserve"> </w:t>
      </w:r>
    </w:p>
    <w:p w14:paraId="735639E5" w14:textId="13C69E6D" w:rsidR="00254A7F" w:rsidRDefault="00254A7F" w:rsidP="00254A7F">
      <w:r>
        <w:t xml:space="preserve">In general, Defined Benefit, Cash Balance, Target Benefit, and Money Purchase retirement plans do not permit in-service withdrawals before age 62. Other qualified plans may allow in-service withdrawals.  The table below identifies which retirement plans </w:t>
      </w:r>
      <w:r w:rsidR="003F49C8">
        <w:t xml:space="preserve">may </w:t>
      </w:r>
      <w:r>
        <w:t>allow in-service withdrawals.</w:t>
      </w:r>
      <w:r w:rsidR="003F49C8">
        <w:t xml:space="preserve"> In many cases, the plans are not required to offer in-service withdrawals, merely permitted to do so. Your client should check with the plan administrator to determine availability of in-service withdrawals.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48"/>
        <w:gridCol w:w="4140"/>
      </w:tblGrid>
      <w:tr w:rsidR="00254A7F" w14:paraId="4FB03400" w14:textId="77777777" w:rsidTr="003803B9">
        <w:trPr>
          <w:jc w:val="center"/>
        </w:trPr>
        <w:tc>
          <w:tcPr>
            <w:tcW w:w="2448" w:type="dxa"/>
            <w:shd w:val="clear" w:color="auto" w:fill="000080"/>
          </w:tcPr>
          <w:p w14:paraId="4DF7ED11" w14:textId="77777777" w:rsidR="00254A7F" w:rsidRDefault="00254A7F" w:rsidP="003803B9">
            <w:pPr>
              <w:spacing w:before="60" w:after="60"/>
              <w:jc w:val="center"/>
              <w:rPr>
                <w:b/>
                <w:color w:val="FFFFFF"/>
              </w:rPr>
            </w:pPr>
            <w:r>
              <w:rPr>
                <w:b/>
                <w:color w:val="FFFFFF"/>
              </w:rPr>
              <w:t>Type of Plan</w:t>
            </w:r>
          </w:p>
        </w:tc>
        <w:tc>
          <w:tcPr>
            <w:tcW w:w="4140" w:type="dxa"/>
            <w:shd w:val="clear" w:color="auto" w:fill="000080"/>
          </w:tcPr>
          <w:p w14:paraId="3B4E8E27" w14:textId="77777777" w:rsidR="00254A7F" w:rsidRDefault="00254A7F" w:rsidP="003803B9">
            <w:pPr>
              <w:spacing w:before="60" w:after="60"/>
              <w:jc w:val="center"/>
              <w:rPr>
                <w:b/>
                <w:color w:val="FFFFFF"/>
              </w:rPr>
            </w:pPr>
            <w:r>
              <w:rPr>
                <w:b/>
                <w:color w:val="FFFFFF"/>
              </w:rPr>
              <w:t>In-Service Withdrawals?</w:t>
            </w:r>
          </w:p>
        </w:tc>
      </w:tr>
      <w:tr w:rsidR="00254A7F" w14:paraId="1DEE8D81" w14:textId="77777777" w:rsidTr="003803B9">
        <w:trPr>
          <w:jc w:val="center"/>
        </w:trPr>
        <w:tc>
          <w:tcPr>
            <w:tcW w:w="2448" w:type="dxa"/>
            <w:shd w:val="clear" w:color="auto" w:fill="FFFFCC"/>
          </w:tcPr>
          <w:p w14:paraId="35C7C8EE" w14:textId="77777777" w:rsidR="00254A7F" w:rsidRDefault="00254A7F" w:rsidP="003803B9">
            <w:pPr>
              <w:spacing w:before="60" w:after="60"/>
              <w:jc w:val="center"/>
            </w:pPr>
            <w:r>
              <w:t>Defined Benefit</w:t>
            </w:r>
          </w:p>
        </w:tc>
        <w:tc>
          <w:tcPr>
            <w:tcW w:w="4140" w:type="dxa"/>
            <w:shd w:val="clear" w:color="auto" w:fill="FFFFCC"/>
          </w:tcPr>
          <w:p w14:paraId="4C741FA3" w14:textId="77777777" w:rsidR="00254A7F" w:rsidRDefault="00254A7F" w:rsidP="003803B9">
            <w:pPr>
              <w:spacing w:before="60" w:after="60"/>
              <w:jc w:val="center"/>
            </w:pPr>
            <w:r>
              <w:t>Not permitted until age 62</w:t>
            </w:r>
          </w:p>
        </w:tc>
      </w:tr>
      <w:tr w:rsidR="00254A7F" w14:paraId="50F14733" w14:textId="77777777" w:rsidTr="003803B9">
        <w:trPr>
          <w:jc w:val="center"/>
        </w:trPr>
        <w:tc>
          <w:tcPr>
            <w:tcW w:w="2448" w:type="dxa"/>
            <w:shd w:val="clear" w:color="auto" w:fill="FFFFCC"/>
          </w:tcPr>
          <w:p w14:paraId="63B746CF" w14:textId="77777777" w:rsidR="00254A7F" w:rsidRDefault="00254A7F" w:rsidP="003803B9">
            <w:pPr>
              <w:spacing w:before="60" w:after="60"/>
              <w:jc w:val="center"/>
            </w:pPr>
            <w:r>
              <w:t>Cash Balance</w:t>
            </w:r>
          </w:p>
        </w:tc>
        <w:tc>
          <w:tcPr>
            <w:tcW w:w="4140" w:type="dxa"/>
            <w:shd w:val="clear" w:color="auto" w:fill="FFFFCC"/>
          </w:tcPr>
          <w:p w14:paraId="09244ED7" w14:textId="77777777" w:rsidR="00254A7F" w:rsidRDefault="00254A7F" w:rsidP="003803B9">
            <w:pPr>
              <w:spacing w:before="60" w:after="60"/>
              <w:jc w:val="center"/>
            </w:pPr>
            <w:r>
              <w:t>Not permitted until age 62</w:t>
            </w:r>
          </w:p>
        </w:tc>
      </w:tr>
      <w:tr w:rsidR="00254A7F" w14:paraId="674A6AB7" w14:textId="77777777" w:rsidTr="003803B9">
        <w:trPr>
          <w:jc w:val="center"/>
        </w:trPr>
        <w:tc>
          <w:tcPr>
            <w:tcW w:w="2448" w:type="dxa"/>
            <w:shd w:val="clear" w:color="auto" w:fill="FFFFCC"/>
          </w:tcPr>
          <w:p w14:paraId="5345591A" w14:textId="77777777" w:rsidR="00254A7F" w:rsidRDefault="00254A7F" w:rsidP="003803B9">
            <w:pPr>
              <w:spacing w:before="60" w:after="60"/>
              <w:jc w:val="center"/>
            </w:pPr>
            <w:r>
              <w:t>Money Purchase</w:t>
            </w:r>
          </w:p>
        </w:tc>
        <w:tc>
          <w:tcPr>
            <w:tcW w:w="4140" w:type="dxa"/>
            <w:shd w:val="clear" w:color="auto" w:fill="FFFFCC"/>
          </w:tcPr>
          <w:p w14:paraId="267811AA" w14:textId="77777777" w:rsidR="00254A7F" w:rsidRDefault="00254A7F" w:rsidP="003803B9">
            <w:pPr>
              <w:spacing w:before="60" w:after="60"/>
              <w:jc w:val="center"/>
            </w:pPr>
            <w:r>
              <w:t>Not permitted until age 62</w:t>
            </w:r>
          </w:p>
        </w:tc>
      </w:tr>
      <w:tr w:rsidR="00254A7F" w14:paraId="7628CB61" w14:textId="77777777" w:rsidTr="003803B9">
        <w:trPr>
          <w:jc w:val="center"/>
        </w:trPr>
        <w:tc>
          <w:tcPr>
            <w:tcW w:w="2448" w:type="dxa"/>
            <w:shd w:val="clear" w:color="auto" w:fill="FFFFCC"/>
          </w:tcPr>
          <w:p w14:paraId="2CECE505" w14:textId="77777777" w:rsidR="00254A7F" w:rsidRDefault="00254A7F" w:rsidP="003803B9">
            <w:pPr>
              <w:spacing w:before="60" w:after="60"/>
              <w:jc w:val="center"/>
            </w:pPr>
            <w:r>
              <w:t>Target Benefit</w:t>
            </w:r>
          </w:p>
        </w:tc>
        <w:tc>
          <w:tcPr>
            <w:tcW w:w="4140" w:type="dxa"/>
            <w:shd w:val="clear" w:color="auto" w:fill="FFFFCC"/>
          </w:tcPr>
          <w:p w14:paraId="171AB1EF" w14:textId="77777777" w:rsidR="00254A7F" w:rsidRDefault="00254A7F" w:rsidP="003803B9">
            <w:pPr>
              <w:spacing w:before="60" w:after="60"/>
              <w:jc w:val="center"/>
            </w:pPr>
            <w:r>
              <w:t>Not permitted until age 62</w:t>
            </w:r>
          </w:p>
        </w:tc>
      </w:tr>
      <w:tr w:rsidR="00254A7F" w14:paraId="226A99F5" w14:textId="77777777" w:rsidTr="003803B9">
        <w:trPr>
          <w:jc w:val="center"/>
        </w:trPr>
        <w:tc>
          <w:tcPr>
            <w:tcW w:w="2448" w:type="dxa"/>
            <w:shd w:val="clear" w:color="auto" w:fill="FFFFCC"/>
          </w:tcPr>
          <w:p w14:paraId="160F32DD" w14:textId="77777777" w:rsidR="00254A7F" w:rsidRDefault="00254A7F" w:rsidP="003803B9">
            <w:pPr>
              <w:spacing w:before="60" w:after="60"/>
              <w:jc w:val="center"/>
            </w:pPr>
            <w:r>
              <w:t>Profit Sharing</w:t>
            </w:r>
          </w:p>
        </w:tc>
        <w:tc>
          <w:tcPr>
            <w:tcW w:w="4140" w:type="dxa"/>
            <w:shd w:val="clear" w:color="auto" w:fill="FFFFCC"/>
          </w:tcPr>
          <w:p w14:paraId="601F0E0B" w14:textId="77777777" w:rsidR="00254A7F" w:rsidRDefault="00254A7F" w:rsidP="003803B9">
            <w:pPr>
              <w:spacing w:before="60" w:after="60"/>
              <w:jc w:val="center"/>
            </w:pPr>
            <w:r>
              <w:t>After 2 years</w:t>
            </w:r>
          </w:p>
        </w:tc>
      </w:tr>
      <w:tr w:rsidR="00254A7F" w14:paraId="041893F0" w14:textId="77777777" w:rsidTr="003803B9">
        <w:trPr>
          <w:jc w:val="center"/>
        </w:trPr>
        <w:tc>
          <w:tcPr>
            <w:tcW w:w="2448" w:type="dxa"/>
            <w:shd w:val="clear" w:color="auto" w:fill="FFFFCC"/>
          </w:tcPr>
          <w:p w14:paraId="6EA11D4C" w14:textId="77777777" w:rsidR="00254A7F" w:rsidRDefault="00254A7F" w:rsidP="003803B9">
            <w:pPr>
              <w:spacing w:before="60" w:after="60"/>
              <w:jc w:val="center"/>
            </w:pPr>
            <w:r>
              <w:t>Section 401(k)</w:t>
            </w:r>
          </w:p>
        </w:tc>
        <w:tc>
          <w:tcPr>
            <w:tcW w:w="4140" w:type="dxa"/>
            <w:shd w:val="clear" w:color="auto" w:fill="FFFFCC"/>
          </w:tcPr>
          <w:p w14:paraId="35EDEFE2" w14:textId="55BEFAB1" w:rsidR="00254A7F" w:rsidRPr="003F49C8" w:rsidRDefault="007430CD" w:rsidP="00DA65EA">
            <w:pPr>
              <w:spacing w:before="60" w:after="60"/>
              <w:jc w:val="center"/>
              <w:rPr>
                <w:rStyle w:val="Hyperlink"/>
              </w:rPr>
            </w:pPr>
            <w:r>
              <w:t xml:space="preserve">After 2 years </w:t>
            </w:r>
            <w:r w:rsidR="004F4CF3">
              <w:t xml:space="preserve">with </w:t>
            </w:r>
            <w:r w:rsidR="004F4CF3" w:rsidRPr="007430CD">
              <w:rPr>
                <w:rStyle w:val="Hyperlink"/>
              </w:rPr>
              <w:t>exceptions</w:t>
            </w:r>
          </w:p>
        </w:tc>
      </w:tr>
      <w:tr w:rsidR="00254A7F" w14:paraId="739CD2A3" w14:textId="77777777" w:rsidTr="003803B9">
        <w:trPr>
          <w:jc w:val="center"/>
        </w:trPr>
        <w:tc>
          <w:tcPr>
            <w:tcW w:w="2448" w:type="dxa"/>
            <w:shd w:val="clear" w:color="auto" w:fill="FFFFCC"/>
          </w:tcPr>
          <w:p w14:paraId="3DF001B4" w14:textId="77777777" w:rsidR="00254A7F" w:rsidRDefault="00254A7F" w:rsidP="003803B9">
            <w:pPr>
              <w:spacing w:before="60" w:after="60"/>
              <w:jc w:val="center"/>
            </w:pPr>
            <w:r>
              <w:t>Stock Bonus</w:t>
            </w:r>
          </w:p>
        </w:tc>
        <w:tc>
          <w:tcPr>
            <w:tcW w:w="4140" w:type="dxa"/>
            <w:shd w:val="clear" w:color="auto" w:fill="FFFFCC"/>
          </w:tcPr>
          <w:p w14:paraId="3B7E33FA" w14:textId="77777777" w:rsidR="00254A7F" w:rsidRDefault="00254A7F" w:rsidP="003803B9">
            <w:pPr>
              <w:spacing w:before="60" w:after="60"/>
              <w:jc w:val="center"/>
            </w:pPr>
            <w:r>
              <w:t>After 2 years</w:t>
            </w:r>
          </w:p>
        </w:tc>
      </w:tr>
      <w:tr w:rsidR="00254A7F" w14:paraId="700E5C2F" w14:textId="77777777" w:rsidTr="003803B9">
        <w:trPr>
          <w:jc w:val="center"/>
        </w:trPr>
        <w:tc>
          <w:tcPr>
            <w:tcW w:w="2448" w:type="dxa"/>
            <w:shd w:val="clear" w:color="auto" w:fill="FFFFCC"/>
          </w:tcPr>
          <w:p w14:paraId="6249A8BB" w14:textId="77777777" w:rsidR="00254A7F" w:rsidRDefault="00254A7F" w:rsidP="003803B9">
            <w:pPr>
              <w:spacing w:before="60" w:after="60"/>
              <w:jc w:val="center"/>
            </w:pPr>
            <w:r>
              <w:t>ESOP</w:t>
            </w:r>
          </w:p>
        </w:tc>
        <w:tc>
          <w:tcPr>
            <w:tcW w:w="4140" w:type="dxa"/>
            <w:shd w:val="clear" w:color="auto" w:fill="FFFFCC"/>
          </w:tcPr>
          <w:p w14:paraId="3EDAEEF7" w14:textId="77777777" w:rsidR="00254A7F" w:rsidRDefault="00254A7F" w:rsidP="003803B9">
            <w:pPr>
              <w:spacing w:before="60" w:after="60"/>
              <w:jc w:val="center"/>
            </w:pPr>
            <w:r>
              <w:t>After 2 years</w:t>
            </w:r>
          </w:p>
        </w:tc>
      </w:tr>
    </w:tbl>
    <w:p w14:paraId="71F36AD6" w14:textId="77777777" w:rsidR="00BF06B7" w:rsidRDefault="00BF06B7" w:rsidP="00BF06B7">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BF06B7" w14:paraId="33705017" w14:textId="77777777" w:rsidTr="003803B9">
        <w:tc>
          <w:tcPr>
            <w:tcW w:w="9576" w:type="dxa"/>
            <w:shd w:val="clear" w:color="auto" w:fill="D9D9D9"/>
          </w:tcPr>
          <w:p w14:paraId="525D27C2" w14:textId="77777777" w:rsidR="004F4CF3" w:rsidRDefault="004F4CF3" w:rsidP="004F4CF3">
            <w:pPr>
              <w:rPr>
                <w:rStyle w:val="Hyperlink"/>
                <w:u w:val="none"/>
              </w:rPr>
            </w:pPr>
            <w:r>
              <w:rPr>
                <w:rStyle w:val="Hyperlink"/>
                <w:u w:val="none"/>
              </w:rPr>
              <w:t xml:space="preserve">Exceptions </w:t>
            </w:r>
            <w:r w:rsidRPr="003620EF">
              <w:rPr>
                <w:rStyle w:val="Hyperlink"/>
                <w:color w:val="auto"/>
                <w:u w:val="none"/>
              </w:rPr>
              <w:t>– Taking In-Service Distributions from a 401(k) Plan</w:t>
            </w:r>
          </w:p>
          <w:p w14:paraId="5ACB239A" w14:textId="1AA43D75" w:rsidR="004F4CF3" w:rsidRPr="00B75072" w:rsidRDefault="004F4CF3" w:rsidP="004F4CF3">
            <w:pPr>
              <w:rPr>
                <w:rStyle w:val="Hyperlink"/>
                <w:b w:val="0"/>
                <w:color w:val="auto"/>
                <w:u w:val="none"/>
              </w:rPr>
            </w:pPr>
            <w:r>
              <w:rPr>
                <w:rStyle w:val="Hyperlink"/>
                <w:b w:val="0"/>
                <w:color w:val="auto"/>
                <w:u w:val="none"/>
              </w:rPr>
              <w:t xml:space="preserve">In-service withdrawal of </w:t>
            </w:r>
            <w:r>
              <w:rPr>
                <w:rStyle w:val="Hyperlink"/>
                <w:color w:val="auto"/>
                <w:u w:val="none"/>
              </w:rPr>
              <w:t xml:space="preserve">pre-tax and Roth </w:t>
            </w:r>
            <w:r w:rsidR="00023F90">
              <w:rPr>
                <w:rStyle w:val="Hyperlink"/>
                <w:color w:val="auto"/>
                <w:u w:val="none"/>
              </w:rPr>
              <w:t>d</w:t>
            </w:r>
            <w:r>
              <w:rPr>
                <w:rStyle w:val="Hyperlink"/>
                <w:color w:val="auto"/>
                <w:u w:val="none"/>
              </w:rPr>
              <w:t>eferrals</w:t>
            </w:r>
            <w:r>
              <w:rPr>
                <w:rStyle w:val="Hyperlink"/>
                <w:b w:val="0"/>
                <w:color w:val="auto"/>
                <w:u w:val="none"/>
              </w:rPr>
              <w:t xml:space="preserve"> are only allowed for the following:</w:t>
            </w:r>
          </w:p>
          <w:p w14:paraId="3E21BAE3" w14:textId="487CB8F7" w:rsidR="004F4CF3" w:rsidRPr="00B75072" w:rsidRDefault="004F4CF3" w:rsidP="004F4CF3">
            <w:pPr>
              <w:pStyle w:val="ListParagraph"/>
              <w:numPr>
                <w:ilvl w:val="0"/>
                <w:numId w:val="35"/>
              </w:numPr>
              <w:rPr>
                <w:rStyle w:val="Hyperlink"/>
                <w:color w:val="auto"/>
                <w:u w:val="none"/>
              </w:rPr>
            </w:pPr>
            <w:r>
              <w:rPr>
                <w:rStyle w:val="Hyperlink"/>
                <w:b w:val="0"/>
                <w:color w:val="auto"/>
                <w:u w:val="none"/>
              </w:rPr>
              <w:t>Attainment of age 59½</w:t>
            </w:r>
          </w:p>
          <w:p w14:paraId="2F0B7E8B" w14:textId="77777777" w:rsidR="004F4CF3" w:rsidRPr="00B75072" w:rsidRDefault="004F4CF3" w:rsidP="004F4CF3">
            <w:pPr>
              <w:pStyle w:val="ListParagraph"/>
              <w:numPr>
                <w:ilvl w:val="0"/>
                <w:numId w:val="35"/>
              </w:numPr>
              <w:rPr>
                <w:rStyle w:val="Hyperlink"/>
                <w:color w:val="auto"/>
                <w:u w:val="none"/>
              </w:rPr>
            </w:pPr>
            <w:r>
              <w:rPr>
                <w:rStyle w:val="Hyperlink"/>
                <w:b w:val="0"/>
                <w:color w:val="auto"/>
                <w:u w:val="none"/>
              </w:rPr>
              <w:t>Due to disability</w:t>
            </w:r>
          </w:p>
          <w:p w14:paraId="6702596F" w14:textId="77777777" w:rsidR="004F4CF3" w:rsidRPr="00B75072" w:rsidRDefault="004F4CF3" w:rsidP="004F4CF3">
            <w:pPr>
              <w:pStyle w:val="ListParagraph"/>
              <w:numPr>
                <w:ilvl w:val="0"/>
                <w:numId w:val="35"/>
              </w:numPr>
              <w:rPr>
                <w:rStyle w:val="Hyperlink"/>
                <w:color w:val="auto"/>
                <w:u w:val="none"/>
              </w:rPr>
            </w:pPr>
            <w:r>
              <w:rPr>
                <w:rStyle w:val="Hyperlink"/>
                <w:b w:val="0"/>
                <w:color w:val="auto"/>
                <w:u w:val="none"/>
              </w:rPr>
              <w:t xml:space="preserve">Due to a </w:t>
            </w:r>
            <w:r w:rsidRPr="00B75072">
              <w:rPr>
                <w:rStyle w:val="Hyperlink"/>
              </w:rPr>
              <w:t xml:space="preserve">hardship </w:t>
            </w:r>
            <w:r>
              <w:rPr>
                <w:rStyle w:val="Hyperlink"/>
                <w:b w:val="0"/>
                <w:color w:val="auto"/>
                <w:u w:val="none"/>
              </w:rPr>
              <w:t xml:space="preserve"> </w:t>
            </w:r>
          </w:p>
          <w:tbl>
            <w:tblPr>
              <w:tblStyle w:val="TableGrid"/>
              <w:tblW w:w="0" w:type="auto"/>
              <w:tblLook w:val="04A0" w:firstRow="1" w:lastRow="0" w:firstColumn="1" w:lastColumn="0" w:noHBand="0" w:noVBand="1"/>
            </w:tblPr>
            <w:tblGrid>
              <w:gridCol w:w="9345"/>
            </w:tblGrid>
            <w:tr w:rsidR="00B75072" w14:paraId="608F90DA" w14:textId="77777777" w:rsidTr="003620EF">
              <w:tc>
                <w:tcPr>
                  <w:tcW w:w="9345" w:type="dxa"/>
                  <w:shd w:val="clear" w:color="auto" w:fill="F2F2F2" w:themeFill="background1" w:themeFillShade="F2"/>
                </w:tcPr>
                <w:p w14:paraId="6A1E9872" w14:textId="32CB3EC8" w:rsidR="00023F90" w:rsidRPr="003620EF" w:rsidRDefault="00023F90" w:rsidP="004F4CF3">
                  <w:pPr>
                    <w:rPr>
                      <w:rStyle w:val="Hyperlink"/>
                      <w:u w:val="none"/>
                    </w:rPr>
                  </w:pPr>
                  <w:r w:rsidRPr="003620EF">
                    <w:rPr>
                      <w:rStyle w:val="Hyperlink"/>
                      <w:u w:val="none"/>
                    </w:rPr>
                    <w:t>Hardship</w:t>
                  </w:r>
                </w:p>
                <w:p w14:paraId="23D3F4D2" w14:textId="52B98FD4" w:rsidR="004F4CF3" w:rsidRDefault="004F4CF3" w:rsidP="004F4CF3">
                  <w:r>
                    <w:t>In order to qualify for a</w:t>
                  </w:r>
                  <w:r w:rsidRPr="00023F90">
                    <w:t xml:space="preserve"> </w:t>
                  </w:r>
                  <w:r w:rsidRPr="003620EF">
                    <w:rPr>
                      <w:i/>
                    </w:rPr>
                    <w:t>hardship</w:t>
                  </w:r>
                  <w:r w:rsidRPr="00581EA0">
                    <w:rPr>
                      <w:b/>
                      <w:i/>
                    </w:rPr>
                    <w:t xml:space="preserve"> </w:t>
                  </w:r>
                  <w:r w:rsidRPr="00B75072">
                    <w:t>withdrawal</w:t>
                  </w:r>
                  <w:r w:rsidRPr="00581EA0">
                    <w:rPr>
                      <w:b/>
                      <w:i/>
                    </w:rPr>
                    <w:t>,</w:t>
                  </w:r>
                  <w:r>
                    <w:t xml:space="preserve"> the participant must have an immediate and heavy financial need (such as for medical expenses, college tuition payments, purchase of a primary residence</w:t>
                  </w:r>
                  <w:r w:rsidR="00023F90">
                    <w:t>,</w:t>
                  </w:r>
                  <w:r>
                    <w:t xml:space="preserve"> or prevention of eviction).  The participant must have also exhausted all other reasonable resources, including loans and distributions from qualified and nonqualified plans.  </w:t>
                  </w:r>
                </w:p>
                <w:p w14:paraId="48397D7A" w14:textId="33D30CB1" w:rsidR="00B75072" w:rsidRDefault="004F4CF3" w:rsidP="00B75072">
                  <w:pPr>
                    <w:rPr>
                      <w:rStyle w:val="Hyperlink"/>
                      <w:color w:val="auto"/>
                      <w:u w:val="none"/>
                    </w:rPr>
                  </w:pPr>
                  <w:r>
                    <w:t xml:space="preserve">Remember that hardship withdrawals are subject to the 10% premature distribution penalty unless they meet one of the specific penalty exceptions covered subsequently in this course.  </w:t>
                  </w:r>
                </w:p>
              </w:tc>
            </w:tr>
          </w:tbl>
          <w:p w14:paraId="22EE8CCC" w14:textId="30AF19C7" w:rsidR="004F4CF3" w:rsidRDefault="004F4CF3" w:rsidP="004F4CF3">
            <w:pPr>
              <w:rPr>
                <w:rStyle w:val="Hyperlink"/>
                <w:b w:val="0"/>
                <w:color w:val="auto"/>
                <w:u w:val="none"/>
              </w:rPr>
            </w:pPr>
            <w:r>
              <w:rPr>
                <w:rStyle w:val="Hyperlink"/>
                <w:b w:val="0"/>
                <w:color w:val="auto"/>
                <w:u w:val="none"/>
              </w:rPr>
              <w:t xml:space="preserve">In-service withdrawal of </w:t>
            </w:r>
            <w:r w:rsidRPr="003620EF">
              <w:rPr>
                <w:rStyle w:val="Hyperlink"/>
                <w:color w:val="auto"/>
                <w:u w:val="none"/>
              </w:rPr>
              <w:t>em</w:t>
            </w:r>
            <w:r w:rsidRPr="00883A9D">
              <w:rPr>
                <w:rStyle w:val="Hyperlink"/>
                <w:color w:val="auto"/>
                <w:u w:val="none"/>
              </w:rPr>
              <w:t>ployer contr</w:t>
            </w:r>
            <w:r w:rsidRPr="009152D2">
              <w:rPr>
                <w:rStyle w:val="Hyperlink"/>
                <w:color w:val="auto"/>
                <w:u w:val="none"/>
              </w:rPr>
              <w:t>ibutions</w:t>
            </w:r>
            <w:r>
              <w:rPr>
                <w:rStyle w:val="Hyperlink"/>
                <w:color w:val="auto"/>
                <w:u w:val="none"/>
              </w:rPr>
              <w:t xml:space="preserve"> </w:t>
            </w:r>
            <w:r>
              <w:rPr>
                <w:rStyle w:val="Hyperlink"/>
                <w:b w:val="0"/>
                <w:color w:val="auto"/>
                <w:u w:val="none"/>
              </w:rPr>
              <w:t>may be distributed for any of the following reasons:</w:t>
            </w:r>
          </w:p>
          <w:p w14:paraId="349C26FB" w14:textId="77777777" w:rsidR="004F4CF3" w:rsidRDefault="004F4CF3" w:rsidP="004F4CF3">
            <w:pPr>
              <w:pStyle w:val="ListParagraph"/>
              <w:numPr>
                <w:ilvl w:val="0"/>
                <w:numId w:val="99"/>
              </w:numPr>
              <w:rPr>
                <w:rStyle w:val="Hyperlink"/>
                <w:b w:val="0"/>
                <w:color w:val="auto"/>
                <w:u w:val="none"/>
              </w:rPr>
            </w:pPr>
            <w:r>
              <w:rPr>
                <w:rStyle w:val="Hyperlink"/>
                <w:b w:val="0"/>
                <w:color w:val="auto"/>
                <w:u w:val="none"/>
              </w:rPr>
              <w:t xml:space="preserve">The employer contributions have been in the account for two years </w:t>
            </w:r>
          </w:p>
          <w:p w14:paraId="65903FDA" w14:textId="3CB6FEA5" w:rsidR="004F4CF3" w:rsidRPr="007430CD" w:rsidRDefault="004F4CF3" w:rsidP="004F4CF3">
            <w:pPr>
              <w:pStyle w:val="ListParagraph"/>
              <w:numPr>
                <w:ilvl w:val="0"/>
                <w:numId w:val="99"/>
              </w:numPr>
              <w:rPr>
                <w:rStyle w:val="Hyperlink"/>
                <w:b w:val="0"/>
                <w:color w:val="auto"/>
                <w:u w:val="none"/>
              </w:rPr>
            </w:pPr>
            <w:r>
              <w:rPr>
                <w:rStyle w:val="Hyperlink"/>
                <w:b w:val="0"/>
                <w:color w:val="auto"/>
                <w:u w:val="none"/>
              </w:rPr>
              <w:t>Attainment of age 59½</w:t>
            </w:r>
          </w:p>
          <w:p w14:paraId="69EE71C6" w14:textId="77777777" w:rsidR="004F4CF3" w:rsidRDefault="004F4CF3" w:rsidP="004F4CF3">
            <w:pPr>
              <w:pStyle w:val="ListParagraph"/>
              <w:numPr>
                <w:ilvl w:val="0"/>
                <w:numId w:val="99"/>
              </w:numPr>
              <w:rPr>
                <w:rStyle w:val="Hyperlink"/>
                <w:b w:val="0"/>
                <w:color w:val="auto"/>
                <w:u w:val="none"/>
              </w:rPr>
            </w:pPr>
            <w:r>
              <w:rPr>
                <w:rStyle w:val="Hyperlink"/>
                <w:b w:val="0"/>
                <w:color w:val="auto"/>
                <w:u w:val="none"/>
              </w:rPr>
              <w:lastRenderedPageBreak/>
              <w:t>Disability</w:t>
            </w:r>
          </w:p>
          <w:p w14:paraId="6C5FD4B7" w14:textId="34DE7ED1" w:rsidR="00BF06B7" w:rsidRPr="00EC20B2" w:rsidRDefault="004F4CF3" w:rsidP="007430CD">
            <w:pPr>
              <w:pStyle w:val="ListParagraph"/>
              <w:numPr>
                <w:ilvl w:val="0"/>
                <w:numId w:val="99"/>
              </w:numPr>
            </w:pPr>
            <w:r w:rsidRPr="007430CD">
              <w:rPr>
                <w:rStyle w:val="Hyperlink"/>
                <w:b w:val="0"/>
                <w:color w:val="auto"/>
                <w:u w:val="none"/>
              </w:rPr>
              <w:t>Hardship</w:t>
            </w:r>
          </w:p>
        </w:tc>
      </w:tr>
    </w:tbl>
    <w:p w14:paraId="76BD5380" w14:textId="307B4A0D" w:rsidR="00254A7F" w:rsidRDefault="00254A7F" w:rsidP="00254A7F">
      <w:r>
        <w:lastRenderedPageBreak/>
        <w:t>The entire in-service distribution from a qualified plan will generally be taxable as ordinary income.  In-service withdrawals from qua</w:t>
      </w:r>
      <w:r w:rsidR="000B215F">
        <w:t>lified plans or Section 403(b) P</w:t>
      </w:r>
      <w:r>
        <w:t>lans may also be subject to a premature distribution penalty of 10% of the taxable amount withdrawn, although there are various exceptions to the 10% premature distribution penalty, as discussed on the next page.</w:t>
      </w:r>
    </w:p>
    <w:p w14:paraId="58394AD6" w14:textId="77777777" w:rsidR="00254A7F" w:rsidRDefault="00254A7F" w:rsidP="00254A7F">
      <w:pPr>
        <w:pStyle w:val="Heading2"/>
      </w:pPr>
      <w:r>
        <w:br w:type="page"/>
      </w:r>
      <w:r w:rsidR="00BF06B7">
        <w:lastRenderedPageBreak/>
        <w:t xml:space="preserve">Qualified Plan </w:t>
      </w:r>
      <w:r>
        <w:t xml:space="preserve">Premature Distribution Penalty </w:t>
      </w:r>
    </w:p>
    <w:p w14:paraId="28F8DEF7" w14:textId="77777777" w:rsidR="00254A7F" w:rsidRDefault="00BF06B7" w:rsidP="00254A7F">
      <w:r>
        <w:t xml:space="preserve">A </w:t>
      </w:r>
      <w:r w:rsidR="00254A7F">
        <w:t>10% penalty will generally be levied against any plan withdrawal by a participant if the distribution is made before the participant’s attainment of age 59½.  However, there is no penalty for the following premature distributions from qualified plans if made: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ook w:val="04A0" w:firstRow="1" w:lastRow="0" w:firstColumn="1" w:lastColumn="0" w:noHBand="0" w:noVBand="1"/>
      </w:tblPr>
      <w:tblGrid>
        <w:gridCol w:w="8838"/>
      </w:tblGrid>
      <w:tr w:rsidR="00254A7F" w14:paraId="651F5727" w14:textId="77777777" w:rsidTr="003803B9">
        <w:trPr>
          <w:jc w:val="center"/>
        </w:trPr>
        <w:tc>
          <w:tcPr>
            <w:tcW w:w="8838" w:type="dxa"/>
            <w:shd w:val="clear" w:color="auto" w:fill="FFFFCC"/>
          </w:tcPr>
          <w:p w14:paraId="6E8E80CB" w14:textId="77777777" w:rsidR="00254A7F" w:rsidRPr="00E81A87" w:rsidRDefault="00254A7F" w:rsidP="00822DE7">
            <w:pPr>
              <w:numPr>
                <w:ilvl w:val="0"/>
                <w:numId w:val="66"/>
              </w:numPr>
            </w:pPr>
            <w:r w:rsidRPr="00E81A87">
              <w:t>To the estate or the beneficiaries following the participant’s death</w:t>
            </w:r>
          </w:p>
          <w:p w14:paraId="6BEFEE7E" w14:textId="77777777" w:rsidR="00254A7F" w:rsidRPr="00E81A87" w:rsidRDefault="00254A7F" w:rsidP="00822DE7">
            <w:pPr>
              <w:numPr>
                <w:ilvl w:val="0"/>
                <w:numId w:val="66"/>
              </w:numPr>
            </w:pPr>
            <w:r w:rsidRPr="00E81A87">
              <w:t>As a result of the participant’s total and permanent disability</w:t>
            </w:r>
          </w:p>
          <w:p w14:paraId="6E9D56A0" w14:textId="77777777" w:rsidR="00254A7F" w:rsidRPr="00E81A87" w:rsidRDefault="00254A7F" w:rsidP="00822DE7">
            <w:pPr>
              <w:numPr>
                <w:ilvl w:val="0"/>
                <w:numId w:val="66"/>
              </w:numPr>
            </w:pPr>
            <w:bookmarkStart w:id="0" w:name="OLE_LINK3"/>
            <w:bookmarkStart w:id="1" w:name="OLE_LINK4"/>
            <w:r w:rsidRPr="00E81A87">
              <w:t xml:space="preserve">Withdrawals are substantially equal annual installments spread over the participant’s life expectancy, or the joint life expectancy of the participant and a designated beneficiary. The payments under this exception, except in the case of death or disability, must continue for at least five years or until the employee reaches age 59½, whichever is the longer period. This exception only applies after separation from service. </w:t>
            </w:r>
            <w:bookmarkEnd w:id="0"/>
            <w:bookmarkEnd w:id="1"/>
          </w:p>
          <w:p w14:paraId="251125E6" w14:textId="77777777" w:rsidR="00254A7F" w:rsidRPr="00E81A87" w:rsidRDefault="00254A7F" w:rsidP="00822DE7">
            <w:pPr>
              <w:numPr>
                <w:ilvl w:val="0"/>
                <w:numId w:val="66"/>
              </w:numPr>
            </w:pPr>
            <w:r w:rsidRPr="00E81A87">
              <w:t>After your separation from service in or after the year you reached age 55 (age 50 for public safety employees).</w:t>
            </w:r>
          </w:p>
          <w:p w14:paraId="1DE7A014" w14:textId="77777777" w:rsidR="00254A7F" w:rsidRPr="00E81A87" w:rsidRDefault="00254A7F" w:rsidP="00822DE7">
            <w:pPr>
              <w:numPr>
                <w:ilvl w:val="0"/>
                <w:numId w:val="66"/>
              </w:numPr>
            </w:pPr>
            <w:r w:rsidRPr="00E81A87">
              <w:t>For payment on an IRS levy</w:t>
            </w:r>
          </w:p>
          <w:p w14:paraId="59F4E998" w14:textId="77777777" w:rsidR="00254A7F" w:rsidRPr="00E81A87" w:rsidRDefault="00254A7F" w:rsidP="00822DE7">
            <w:pPr>
              <w:numPr>
                <w:ilvl w:val="0"/>
                <w:numId w:val="66"/>
              </w:numPr>
            </w:pPr>
            <w:r w:rsidRPr="00E81A87">
              <w:t xml:space="preserve">For the purpose of paying medical expenses in excess of </w:t>
            </w:r>
            <w:r>
              <w:t>10</w:t>
            </w:r>
            <w:r w:rsidRPr="00E81A87">
              <w:t>% of the participant’s Adjusted Gross Income</w:t>
            </w:r>
          </w:p>
          <w:p w14:paraId="0A4A72B6" w14:textId="304DD08A" w:rsidR="00254A7F" w:rsidRPr="00275B02" w:rsidRDefault="00254A7F" w:rsidP="007B0D25">
            <w:pPr>
              <w:numPr>
                <w:ilvl w:val="0"/>
                <w:numId w:val="66"/>
              </w:numPr>
            </w:pPr>
            <w:r w:rsidRPr="00E81A87">
              <w:t>Pursuant to a judicial decree under a Qualified Domestic Relations Order</w:t>
            </w:r>
          </w:p>
        </w:tc>
      </w:tr>
    </w:tbl>
    <w:p w14:paraId="7E5F655B" w14:textId="77777777" w:rsidR="00254A7F" w:rsidRDefault="00254A7F" w:rsidP="00254A7F">
      <w:r>
        <w:t>In the case of the substantially equal annual installments exception, the payments must continue for the later of the participant’s attainment of age 59½ or 5 years.  For example, if the participant commences the installments at age 57, then the participant must continue withdrawing payments until reaching age 62 (5 years later).</w:t>
      </w:r>
    </w:p>
    <w:p w14:paraId="2CC04D5E" w14:textId="77777777" w:rsidR="001B2584" w:rsidRDefault="00254A7F" w:rsidP="001F3D42">
      <w:r>
        <w:t xml:space="preserve">Please note that there are differences between the above list of exceptions and those for the IRA premature exceptions discussed </w:t>
      </w:r>
      <w:r w:rsidR="00BF06B7">
        <w:t xml:space="preserve">previously. </w:t>
      </w:r>
    </w:p>
    <w:p w14:paraId="6864EBFC" w14:textId="57D7D640" w:rsidR="00530E3C" w:rsidRDefault="00254A7F" w:rsidP="001B2584">
      <w:pPr>
        <w:pStyle w:val="Heading2"/>
        <w:rPr>
          <w:sz w:val="18"/>
        </w:rPr>
      </w:pPr>
      <w:r>
        <w:br w:type="page"/>
      </w:r>
      <w:r w:rsidR="00530E3C">
        <w:lastRenderedPageBreak/>
        <w:t>Tax</w:t>
      </w:r>
      <w:r w:rsidR="002A10C1">
        <w:t>-</w:t>
      </w:r>
      <w:r w:rsidR="00530E3C">
        <w:t xml:space="preserve">Exempt Organization Arrangements and Governmental </w:t>
      </w:r>
      <w:r w:rsidR="003731C1">
        <w:rPr>
          <w:noProof/>
          <w:lang w:eastAsia="zh-CN"/>
        </w:rPr>
        <mc:AlternateContent>
          <mc:Choice Requires="wps">
            <w:drawing>
              <wp:anchor distT="0" distB="0" distL="114300" distR="114300" simplePos="0" relativeHeight="251676672" behindDoc="0" locked="0" layoutInCell="1" allowOverlap="1" wp14:anchorId="0E434C2A" wp14:editId="4E6535A3">
                <wp:simplePos x="0" y="0"/>
                <wp:positionH relativeFrom="column">
                  <wp:posOffset>3947746</wp:posOffset>
                </wp:positionH>
                <wp:positionV relativeFrom="paragraph">
                  <wp:posOffset>385982</wp:posOffset>
                </wp:positionV>
                <wp:extent cx="2176145" cy="1600200"/>
                <wp:effectExtent l="0" t="0" r="0" b="0"/>
                <wp:wrapThrough wrapText="bothSides">
                  <wp:wrapPolygon edited="0">
                    <wp:start x="504" y="0"/>
                    <wp:lineTo x="504" y="21257"/>
                    <wp:lineTo x="20926" y="21257"/>
                    <wp:lineTo x="20926" y="0"/>
                    <wp:lineTo x="504" y="0"/>
                  </wp:wrapPolygon>
                </wp:wrapThrough>
                <wp:docPr id="71" name="Rectangle 71"/>
                <wp:cNvGraphicFramePr/>
                <a:graphic xmlns:a="http://schemas.openxmlformats.org/drawingml/2006/main">
                  <a:graphicData uri="http://schemas.microsoft.com/office/word/2010/wordprocessingShape">
                    <wps:wsp>
                      <wps:cNvSpPr/>
                      <wps:spPr>
                        <a:xfrm>
                          <a:off x="0" y="0"/>
                          <a:ext cx="2176145" cy="16002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651B91E0" w14:textId="1122F588" w:rsidR="004507AE" w:rsidRPr="00D05A9C" w:rsidRDefault="004507AE" w:rsidP="003731C1">
                            <w:pPr>
                              <w:spacing w:after="0"/>
                              <w:jc w:val="center"/>
                              <w:rPr>
                                <w:sz w:val="18"/>
                                <w:szCs w:val="18"/>
                                <w14:textOutline w14:w="9525" w14:cap="rnd" w14:cmpd="sng" w14:algn="ctr">
                                  <w14:solidFill>
                                    <w14:schemeClr w14:val="tx1"/>
                                  </w14:solidFill>
                                  <w14:prstDash w14:val="solid"/>
                                  <w14:bevel/>
                                </w14:textOutline>
                              </w:rPr>
                            </w:pPr>
                            <w:r w:rsidRPr="00D05A9C">
                              <w:rPr>
                                <w:sz w:val="18"/>
                                <w:szCs w:val="18"/>
                                <w14:textOutline w14:w="9525" w14:cap="rnd" w14:cmpd="sng" w14:algn="ctr">
                                  <w14:solidFill>
                                    <w14:schemeClr w14:val="tx1"/>
                                  </w14:solidFill>
                                  <w14:prstDash w14:val="solid"/>
                                  <w14:bevel/>
                                </w14:textOutline>
                              </w:rPr>
                              <w:t>Tax-Exempt Organizations</w:t>
                            </w:r>
                          </w:p>
                          <w:p w14:paraId="4AAE05D7" w14:textId="57BAEAD1" w:rsidR="004507AE" w:rsidRPr="003731C1" w:rsidRDefault="004507AE" w:rsidP="003731C1">
                            <w:pPr>
                              <w:spacing w:before="0"/>
                              <w:jc w:val="center"/>
                              <w:rPr>
                                <w:sz w:val="18"/>
                                <w:szCs w:val="18"/>
                              </w:rPr>
                            </w:pPr>
                            <w:r w:rsidRPr="00D05A9C">
                              <w:rPr>
                                <w:outline/>
                                <w:color w:val="000000" w:themeColor="text1"/>
                                <w:sz w:val="18"/>
                                <w:szCs w:val="18"/>
                                <w14:textOutline w14:w="9525" w14:cap="rnd" w14:cmpd="sng" w14:algn="ctr">
                                  <w14:solidFill>
                                    <w14:schemeClr w14:val="tx1"/>
                                  </w14:solidFill>
                                  <w14:prstDash w14:val="solid"/>
                                  <w14:bevel/>
                                </w14:textOutline>
                                <w14:textFill>
                                  <w14:noFill/>
                                </w14:textFill>
                              </w:rPr>
                              <w:t xml:space="preserve">and Government </w:t>
                            </w:r>
                            <w:r w:rsidRPr="003731C1">
                              <w:rPr>
                                <w:sz w:val="18"/>
                                <w:szCs w:val="18"/>
                              </w:rPr>
                              <w:t>Plans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E434C2A" id="Rectangle_x0020_71" o:spid="_x0000_s1031" style="position:absolute;margin-left:310.85pt;margin-top:30.4pt;width:171.35pt;height:12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" filled="f" stroked="f">
                <v:textbox>
                  <w:txbxContent>
                    <w:p w14:paraId="651B91E0" w14:textId="1122F588" w:rsidR="004507AE" w:rsidRPr="00D05A9C" w:rsidRDefault="004507AE" w:rsidP="003731C1">
                      <w:pPr>
                        <w:spacing w:after="0"/>
                        <w:jc w:val="center"/>
                        <w:rPr>
                          <w:sz w:val="18"/>
                          <w:szCs w:val="18"/>
                          <w14:textOutline w14:w="9525" w14:cap="rnd" w14:cmpd="sng" w14:algn="ctr">
                            <w14:solidFill>
                              <w14:schemeClr w14:val="tx1"/>
                            </w14:solidFill>
                            <w14:prstDash w14:val="solid"/>
                            <w14:bevel/>
                          </w14:textOutline>
                        </w:rPr>
                      </w:pPr>
                      <w:r w:rsidRPr="00D05A9C">
                        <w:rPr>
                          <w:sz w:val="18"/>
                          <w:szCs w:val="18"/>
                          <w14:textOutline w14:w="9525" w14:cap="rnd" w14:cmpd="sng" w14:algn="ctr">
                            <w14:solidFill>
                              <w14:schemeClr w14:val="tx1"/>
                            </w14:solidFill>
                            <w14:prstDash w14:val="solid"/>
                            <w14:bevel/>
                          </w14:textOutline>
                        </w:rPr>
                        <w:t>Tax-Exempt Organizations</w:t>
                      </w:r>
                    </w:p>
                    <w:p w14:paraId="4AAE05D7" w14:textId="57BAEAD1" w:rsidR="004507AE" w:rsidRPr="003731C1" w:rsidRDefault="004507AE" w:rsidP="003731C1">
                      <w:pPr>
                        <w:spacing w:before="0"/>
                        <w:jc w:val="center"/>
                        <w:rPr>
                          <w:sz w:val="18"/>
                          <w:szCs w:val="18"/>
                        </w:rPr>
                      </w:pPr>
                      <w:r w:rsidRPr="00D05A9C">
                        <w:rPr>
                          <w:outline/>
                          <w:color w:val="000000" w:themeColor="text1"/>
                          <w:sz w:val="18"/>
                          <w:szCs w:val="18"/>
                          <w14:textOutline w14:w="9525" w14:cap="rnd" w14:cmpd="sng" w14:algn="ctr">
                            <w14:solidFill>
                              <w14:schemeClr w14:val="tx1"/>
                            </w14:solidFill>
                            <w14:prstDash w14:val="solid"/>
                            <w14:bevel/>
                          </w14:textOutline>
                          <w14:textFill>
                            <w14:noFill/>
                          </w14:textFill>
                        </w:rPr>
                        <w:t xml:space="preserve">and Government </w:t>
                      </w:r>
                      <w:r w:rsidRPr="003731C1">
                        <w:rPr>
                          <w:sz w:val="18"/>
                          <w:szCs w:val="18"/>
                        </w:rPr>
                        <w:t>Plans</w:t>
                      </w:r>
                    </w:p>
                  </w:txbxContent>
                </v:textbox>
                <w10:wrap type="through"/>
              </v:rect>
            </w:pict>
          </mc:Fallback>
        </mc:AlternateContent>
      </w:r>
      <w:r w:rsidR="00530E3C">
        <w:t>Plans</w:t>
      </w:r>
    </w:p>
    <w:p w14:paraId="02BDFE6A" w14:textId="67A34169" w:rsidR="0012369C" w:rsidRPr="001758AF" w:rsidRDefault="003731C1" w:rsidP="00EC46A8">
      <w:r>
        <w:rPr>
          <w:noProof/>
          <w:sz w:val="16"/>
          <w:szCs w:val="16"/>
          <w:lang w:eastAsia="zh-CN"/>
        </w:rPr>
        <mc:AlternateContent>
          <mc:Choice Requires="wps">
            <w:drawing>
              <wp:anchor distT="0" distB="0" distL="114300" distR="114300" simplePos="0" relativeHeight="251677696" behindDoc="0" locked="0" layoutInCell="1" allowOverlap="1" wp14:anchorId="1F4AA8DA" wp14:editId="04D3425F">
                <wp:simplePos x="0" y="0"/>
                <wp:positionH relativeFrom="column">
                  <wp:posOffset>4398683</wp:posOffset>
                </wp:positionH>
                <wp:positionV relativeFrom="paragraph">
                  <wp:posOffset>435960</wp:posOffset>
                </wp:positionV>
                <wp:extent cx="1261745" cy="228600"/>
                <wp:effectExtent l="0" t="0" r="33655" b="25400"/>
                <wp:wrapThrough wrapText="bothSides">
                  <wp:wrapPolygon edited="0">
                    <wp:start x="0" y="0"/>
                    <wp:lineTo x="0" y="21600"/>
                    <wp:lineTo x="21741" y="21600"/>
                    <wp:lineTo x="21741" y="0"/>
                    <wp:lineTo x="0" y="0"/>
                  </wp:wrapPolygon>
                </wp:wrapThrough>
                <wp:docPr id="74" name="Rectangle 74"/>
                <wp:cNvGraphicFramePr/>
                <a:graphic xmlns:a="http://schemas.openxmlformats.org/drawingml/2006/main">
                  <a:graphicData uri="http://schemas.microsoft.com/office/word/2010/wordprocessingShape">
                    <wps:wsp>
                      <wps:cNvSpPr/>
                      <wps:spPr>
                        <a:xfrm>
                          <a:off x="0" y="0"/>
                          <a:ext cx="1261745" cy="2286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47A82C8" w14:textId="20731AEF" w:rsidR="004507AE" w:rsidRPr="003731C1" w:rsidRDefault="004507AE" w:rsidP="003731C1">
                            <w:pPr>
                              <w:spacing w:before="40" w:after="0"/>
                              <w:jc w:val="center"/>
                              <w:rPr>
                                <w:color w:val="000000" w:themeColor="text1"/>
                              </w:rPr>
                            </w:pPr>
                            <w:r>
                              <w:rPr>
                                <w:color w:val="000000" w:themeColor="text1"/>
                              </w:rPr>
                              <w:t>403(b) Plans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1F4AA8DA" id="Rectangle_x0020_74" o:spid="_x0000_s1032" style="position:absolute;margin-left:346.35pt;margin-top:34.35pt;width:99.35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" filled="f" strokecolor="black [3213]">
                <v:textbox inset="0,0,0,0">
                  <w:txbxContent>
                    <w:p w14:paraId="247A82C8" w14:textId="20731AEF" w:rsidR="004507AE" w:rsidRPr="003731C1" w:rsidRDefault="004507AE" w:rsidP="003731C1">
                      <w:pPr>
                        <w:spacing w:before="40" w:after="0"/>
                        <w:jc w:val="center"/>
                        <w:rPr>
                          <w:color w:val="000000" w:themeColor="text1"/>
                        </w:rPr>
                      </w:pPr>
                      <w:r>
                        <w:rPr>
                          <w:color w:val="000000" w:themeColor="text1"/>
                        </w:rPr>
                        <w:t>403(b) Plans</w:t>
                      </w:r>
                    </w:p>
                  </w:txbxContent>
                </v:textbox>
                <w10:wrap type="through"/>
              </v:rect>
            </w:pict>
          </mc:Fallback>
        </mc:AlternateContent>
      </w:r>
      <w:r>
        <w:rPr>
          <w:noProof/>
          <w:sz w:val="16"/>
          <w:szCs w:val="16"/>
          <w:lang w:eastAsia="zh-CN"/>
        </w:rPr>
        <mc:AlternateContent>
          <mc:Choice Requires="wps">
            <w:drawing>
              <wp:anchor distT="0" distB="0" distL="114300" distR="114300" simplePos="0" relativeHeight="251678720" behindDoc="0" locked="0" layoutInCell="1" allowOverlap="1" wp14:anchorId="2E0FF3A3" wp14:editId="37A5F680">
                <wp:simplePos x="0" y="0"/>
                <wp:positionH relativeFrom="column">
                  <wp:posOffset>4398683</wp:posOffset>
                </wp:positionH>
                <wp:positionV relativeFrom="paragraph">
                  <wp:posOffset>435960</wp:posOffset>
                </wp:positionV>
                <wp:extent cx="1261745" cy="45085"/>
                <wp:effectExtent l="0" t="0" r="33655" b="31115"/>
                <wp:wrapThrough wrapText="bothSides">
                  <wp:wrapPolygon edited="0">
                    <wp:start x="0" y="0"/>
                    <wp:lineTo x="0" y="24338"/>
                    <wp:lineTo x="21741" y="24338"/>
                    <wp:lineTo x="21741" y="0"/>
                    <wp:lineTo x="0" y="0"/>
                  </wp:wrapPolygon>
                </wp:wrapThrough>
                <wp:docPr id="75" name="Rectangle 75"/>
                <wp:cNvGraphicFramePr/>
                <a:graphic xmlns:a="http://schemas.openxmlformats.org/drawingml/2006/main">
                  <a:graphicData uri="http://schemas.microsoft.com/office/word/2010/wordprocessingShape">
                    <wps:wsp>
                      <wps:cNvSpPr/>
                      <wps:spPr>
                        <a:xfrm>
                          <a:off x="0" y="0"/>
                          <a:ext cx="1261745" cy="45085"/>
                        </a:xfrm>
                        <a:prstGeom prst="rect">
                          <a:avLst/>
                        </a:prstGeom>
                        <a:solidFill>
                          <a:srgbClr val="0225C7"/>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ED91C4" id="Rectangle_x0020_75" o:spid="_x0000_s1026" style="position:absolute;margin-left:346.35pt;margin-top:34.35pt;width:99.35pt;height:3.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" fillcolor="#0225c7" strokecolor="black [3213]">
                <w10:wrap type="through"/>
              </v:rect>
            </w:pict>
          </mc:Fallback>
        </mc:AlternateContent>
      </w:r>
      <w:r>
        <w:rPr>
          <w:noProof/>
          <w:sz w:val="16"/>
          <w:szCs w:val="16"/>
          <w:lang w:eastAsia="zh-CN"/>
        </w:rPr>
        <mc:AlternateContent>
          <mc:Choice Requires="wps">
            <w:drawing>
              <wp:anchor distT="0" distB="0" distL="114300" distR="114300" simplePos="0" relativeHeight="251679744" behindDoc="0" locked="0" layoutInCell="1" allowOverlap="1" wp14:anchorId="22B47AE5" wp14:editId="6987C767">
                <wp:simplePos x="0" y="0"/>
                <wp:positionH relativeFrom="column">
                  <wp:posOffset>4398683</wp:posOffset>
                </wp:positionH>
                <wp:positionV relativeFrom="paragraph">
                  <wp:posOffset>786689</wp:posOffset>
                </wp:positionV>
                <wp:extent cx="1261745" cy="453477"/>
                <wp:effectExtent l="0" t="0" r="33655" b="29210"/>
                <wp:wrapThrough wrapText="bothSides">
                  <wp:wrapPolygon edited="0">
                    <wp:start x="0" y="0"/>
                    <wp:lineTo x="0" y="21782"/>
                    <wp:lineTo x="21741" y="21782"/>
                    <wp:lineTo x="21741" y="0"/>
                    <wp:lineTo x="0" y="0"/>
                  </wp:wrapPolygon>
                </wp:wrapThrough>
                <wp:docPr id="76" name="Rectangle 76"/>
                <wp:cNvGraphicFramePr/>
                <a:graphic xmlns:a="http://schemas.openxmlformats.org/drawingml/2006/main">
                  <a:graphicData uri="http://schemas.microsoft.com/office/word/2010/wordprocessingShape">
                    <wps:wsp>
                      <wps:cNvSpPr/>
                      <wps:spPr>
                        <a:xfrm>
                          <a:off x="0" y="0"/>
                          <a:ext cx="1261745" cy="453477"/>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AF7FCFD" w14:textId="2FC94E21" w:rsidR="004507AE" w:rsidRDefault="004507AE" w:rsidP="003731C1">
                            <w:pPr>
                              <w:spacing w:before="40" w:after="0"/>
                              <w:jc w:val="center"/>
                              <w:rPr>
                                <w:color w:val="000000" w:themeColor="text1"/>
                              </w:rPr>
                            </w:pPr>
                            <w:r>
                              <w:rPr>
                                <w:color w:val="000000" w:themeColor="text1"/>
                              </w:rPr>
                              <w:t>Government</w:t>
                            </w:r>
                          </w:p>
                          <w:p w14:paraId="64BC8864" w14:textId="02568E67" w:rsidR="004507AE" w:rsidRPr="003731C1" w:rsidRDefault="004507AE" w:rsidP="003731C1">
                            <w:pPr>
                              <w:spacing w:before="40" w:after="0"/>
                              <w:jc w:val="center"/>
                              <w:rPr>
                                <w:color w:val="000000" w:themeColor="text1"/>
                              </w:rPr>
                            </w:pPr>
                            <w:r>
                              <w:rPr>
                                <w:color w:val="000000" w:themeColor="text1"/>
                              </w:rPr>
                              <w:t>457(b) Plans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2B47AE5" id="Rectangle_x0020_76" o:spid="_x0000_s1033" style="position:absolute;margin-left:346.35pt;margin-top:61.95pt;width:99.35pt;height:35.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" filled="f" strokecolor="black [3213]">
                <v:textbox inset="0,0,0,0">
                  <w:txbxContent>
                    <w:p w14:paraId="0AF7FCFD" w14:textId="2FC94E21" w:rsidR="004507AE" w:rsidRDefault="004507AE" w:rsidP="003731C1">
                      <w:pPr>
                        <w:spacing w:before="40" w:after="0"/>
                        <w:jc w:val="center"/>
                        <w:rPr>
                          <w:color w:val="000000" w:themeColor="text1"/>
                        </w:rPr>
                      </w:pPr>
                      <w:r>
                        <w:rPr>
                          <w:color w:val="000000" w:themeColor="text1"/>
                        </w:rPr>
                        <w:t>Government</w:t>
                      </w:r>
                    </w:p>
                    <w:p w14:paraId="64BC8864" w14:textId="02568E67" w:rsidR="004507AE" w:rsidRPr="003731C1" w:rsidRDefault="004507AE" w:rsidP="003731C1">
                      <w:pPr>
                        <w:spacing w:before="40" w:after="0"/>
                        <w:jc w:val="center"/>
                        <w:rPr>
                          <w:color w:val="000000" w:themeColor="text1"/>
                        </w:rPr>
                      </w:pPr>
                      <w:r>
                        <w:rPr>
                          <w:color w:val="000000" w:themeColor="text1"/>
                        </w:rPr>
                        <w:t>457(b) Plans</w:t>
                      </w:r>
                    </w:p>
                  </w:txbxContent>
                </v:textbox>
                <w10:wrap type="through"/>
              </v:rect>
            </w:pict>
          </mc:Fallback>
        </mc:AlternateContent>
      </w:r>
      <w:r>
        <w:rPr>
          <w:noProof/>
          <w:sz w:val="16"/>
          <w:szCs w:val="16"/>
          <w:lang w:eastAsia="zh-CN"/>
        </w:rPr>
        <mc:AlternateContent>
          <mc:Choice Requires="wps">
            <w:drawing>
              <wp:anchor distT="0" distB="0" distL="114300" distR="114300" simplePos="0" relativeHeight="251680768" behindDoc="0" locked="0" layoutInCell="1" allowOverlap="1" wp14:anchorId="7D11590B" wp14:editId="798B2142">
                <wp:simplePos x="0" y="0"/>
                <wp:positionH relativeFrom="column">
                  <wp:posOffset>4398683</wp:posOffset>
                </wp:positionH>
                <wp:positionV relativeFrom="paragraph">
                  <wp:posOffset>774163</wp:posOffset>
                </wp:positionV>
                <wp:extent cx="1261745" cy="45085"/>
                <wp:effectExtent l="0" t="0" r="33655" b="31115"/>
                <wp:wrapThrough wrapText="bothSides">
                  <wp:wrapPolygon edited="0">
                    <wp:start x="0" y="0"/>
                    <wp:lineTo x="0" y="24338"/>
                    <wp:lineTo x="21741" y="24338"/>
                    <wp:lineTo x="21741" y="0"/>
                    <wp:lineTo x="0" y="0"/>
                  </wp:wrapPolygon>
                </wp:wrapThrough>
                <wp:docPr id="77" name="Rectangle 77"/>
                <wp:cNvGraphicFramePr/>
                <a:graphic xmlns:a="http://schemas.openxmlformats.org/drawingml/2006/main">
                  <a:graphicData uri="http://schemas.microsoft.com/office/word/2010/wordprocessingShape">
                    <wps:wsp>
                      <wps:cNvSpPr/>
                      <wps:spPr>
                        <a:xfrm>
                          <a:off x="0" y="0"/>
                          <a:ext cx="1261745" cy="45085"/>
                        </a:xfrm>
                        <a:prstGeom prst="rect">
                          <a:avLst/>
                        </a:prstGeom>
                        <a:solidFill>
                          <a:schemeClr val="accent3">
                            <a:lumMod val="50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FC42E" id="Rectangle_x0020_77" o:spid="_x0000_s1026" style="position:absolute;margin-left:346.35pt;margin-top:60.95pt;width:99.35pt;height:3.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" fillcolor="#4e6128 [1606]" strokecolor="black [3213]">
                <w10:wrap type="through"/>
              </v:rect>
            </w:pict>
          </mc:Fallback>
        </mc:AlternateContent>
      </w:r>
      <w:bookmarkStart w:id="2" w:name="_GoBack"/>
      <w:bookmarkEnd w:id="2"/>
      <w:r w:rsidR="008F5BBA">
        <w:t>The</w:t>
      </w:r>
      <w:r w:rsidR="00871E9E">
        <w:t xml:space="preserve"> preceding page concluded our discussion of qualified plans. Our focus </w:t>
      </w:r>
      <w:r w:rsidR="004C789D">
        <w:t xml:space="preserve">now </w:t>
      </w:r>
      <w:r w:rsidR="00871E9E">
        <w:t xml:space="preserve">changes </w:t>
      </w:r>
      <w:r w:rsidR="004C789D">
        <w:t xml:space="preserve">to nonqualified plans sponsored by </w:t>
      </w:r>
      <w:r w:rsidR="00871E9E">
        <w:t>tax-ex</w:t>
      </w:r>
      <w:r w:rsidR="004C789D">
        <w:t>e</w:t>
      </w:r>
      <w:r w:rsidR="00871E9E">
        <w:t>mpt organization</w:t>
      </w:r>
      <w:r w:rsidR="004C789D">
        <w:t xml:space="preserve">s and the government. </w:t>
      </w:r>
      <w:r w:rsidR="00871E9E">
        <w:t xml:space="preserve">Why should you know this material? </w:t>
      </w:r>
      <w:r w:rsidR="004C789D">
        <w:t>A</w:t>
      </w:r>
      <w:r w:rsidR="00530E3C" w:rsidRPr="001758AF">
        <w:t>n affluent client may have a background with employment in a tax</w:t>
      </w:r>
      <w:r w:rsidR="00D45F3F" w:rsidRPr="001758AF">
        <w:t>-</w:t>
      </w:r>
      <w:r w:rsidR="00530E3C" w:rsidRPr="001758AF">
        <w:t>exempt organization or in the public sector</w:t>
      </w:r>
      <w:r w:rsidR="004C789D">
        <w:t>!</w:t>
      </w:r>
      <w:r w:rsidR="00530E3C" w:rsidRPr="001758AF">
        <w:t xml:space="preserve"> </w:t>
      </w:r>
    </w:p>
    <w:p w14:paraId="53B60E03" w14:textId="1ECC154B" w:rsidR="00FF03E8" w:rsidRPr="008F5BBA" w:rsidRDefault="00FF03E8" w:rsidP="008F5BBA">
      <w:pPr>
        <w:pStyle w:val="NormalWeb"/>
        <w:rPr>
          <w:rFonts w:cs="Arial"/>
          <w:sz w:val="20"/>
          <w:szCs w:val="20"/>
        </w:rPr>
      </w:pPr>
      <w:r w:rsidRPr="001758AF">
        <w:rPr>
          <w:rFonts w:cs="Arial"/>
          <w:b/>
          <w:color w:val="FF0000"/>
          <w:sz w:val="20"/>
          <w:szCs w:val="20"/>
        </w:rPr>
        <w:t>Click each type to learn more.</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9966AE" w:rsidRPr="008F6DC4" w14:paraId="7C1B5B90" w14:textId="77777777" w:rsidTr="003F1EA9">
        <w:tc>
          <w:tcPr>
            <w:tcW w:w="8748" w:type="dxa"/>
            <w:tcBorders>
              <w:bottom w:val="single" w:sz="4" w:space="0" w:color="6CA8CD"/>
            </w:tcBorders>
            <w:shd w:val="clear" w:color="auto" w:fill="6CA8CD"/>
            <w:tcMar>
              <w:top w:w="72" w:type="dxa"/>
              <w:left w:w="115" w:type="dxa"/>
              <w:bottom w:w="72" w:type="dxa"/>
              <w:right w:w="115" w:type="dxa"/>
            </w:tcMar>
          </w:tcPr>
          <w:p w14:paraId="0A445FC9" w14:textId="77777777" w:rsidR="009966AE" w:rsidRPr="009966AE" w:rsidRDefault="009966AE" w:rsidP="003F1EA9">
            <w:pPr>
              <w:rPr>
                <w:b/>
                <w:color w:val="FFFFFF"/>
              </w:rPr>
            </w:pPr>
            <w:r w:rsidRPr="009966AE">
              <w:rPr>
                <w:b/>
                <w:color w:val="FFFFFF"/>
              </w:rPr>
              <w:t>403(b) Arrangements</w:t>
            </w:r>
          </w:p>
        </w:tc>
      </w:tr>
      <w:tr w:rsidR="009966AE" w:rsidRPr="008F6DC4" w14:paraId="1C6CDB35" w14:textId="77777777" w:rsidTr="003F1EA9">
        <w:tc>
          <w:tcPr>
            <w:tcW w:w="8748" w:type="dxa"/>
            <w:shd w:val="clear" w:color="auto" w:fill="FFFFFF"/>
            <w:tcMar>
              <w:top w:w="72" w:type="dxa"/>
              <w:left w:w="115" w:type="dxa"/>
              <w:bottom w:w="72" w:type="dxa"/>
              <w:right w:w="115" w:type="dxa"/>
            </w:tcMar>
          </w:tcPr>
          <w:p w14:paraId="40949055" w14:textId="18FCEE80" w:rsidR="009966AE" w:rsidRDefault="005703DA" w:rsidP="003F1EA9">
            <w:r>
              <w:rPr>
                <w:rStyle w:val="Hyperlink"/>
              </w:rPr>
              <w:t>N</w:t>
            </w:r>
            <w:r w:rsidR="009966AE" w:rsidRPr="008E3F14">
              <w:rPr>
                <w:rStyle w:val="Hyperlink"/>
              </w:rPr>
              <w:t>onprofit organizations</w:t>
            </w:r>
            <w:r>
              <w:t xml:space="preserve"> (</w:t>
            </w:r>
            <w:r w:rsidR="00CA4D22">
              <w:t>NOs)</w:t>
            </w:r>
            <w:r w:rsidR="007F7746">
              <w:t xml:space="preserve"> </w:t>
            </w:r>
            <w:r w:rsidR="00CA4D22">
              <w:t xml:space="preserve">are </w:t>
            </w:r>
            <w:r>
              <w:t xml:space="preserve">now </w:t>
            </w:r>
            <w:r w:rsidR="008F5BBA">
              <w:t>allowed to sponsor 401(k) P</w:t>
            </w:r>
            <w:r w:rsidR="00CA4D22">
              <w:t xml:space="preserve">lans but </w:t>
            </w:r>
            <w:r w:rsidR="00FF7067">
              <w:t xml:space="preserve">were not allowed </w:t>
            </w:r>
            <w:r w:rsidR="00CA4D22">
              <w:t>t</w:t>
            </w:r>
            <w:r w:rsidR="009966AE" w:rsidRPr="009966AE">
              <w:t xml:space="preserve">o </w:t>
            </w:r>
            <w:r w:rsidR="00CA4D22">
              <w:t>do so i</w:t>
            </w:r>
            <w:r w:rsidR="008F5BBA">
              <w:t>n the not-so-</w:t>
            </w:r>
            <w:r w:rsidR="00CA4D22">
              <w:t xml:space="preserve">distant past. However, CNOs </w:t>
            </w:r>
            <w:r>
              <w:t xml:space="preserve">in the past </w:t>
            </w:r>
            <w:r w:rsidR="00CA4D22">
              <w:t xml:space="preserve">were allowed to </w:t>
            </w:r>
            <w:r w:rsidR="009966AE" w:rsidRPr="009966AE">
              <w:t xml:space="preserve">sponsor </w:t>
            </w:r>
            <w:r w:rsidR="00FF7067">
              <w:t>a 401(k) look-alike plan called the 4</w:t>
            </w:r>
            <w:r w:rsidR="008F5BBA">
              <w:t>03(b) A</w:t>
            </w:r>
            <w:r w:rsidR="009966AE" w:rsidRPr="009966AE">
              <w:t>rrangement</w:t>
            </w:r>
            <w:r w:rsidR="00FF7067">
              <w:t>.</w:t>
            </w:r>
            <w:r w:rsidR="009966AE" w:rsidRPr="009966AE">
              <w:t xml:space="preserve"> </w:t>
            </w:r>
            <w:r>
              <w:t>Public school systems and c</w:t>
            </w:r>
            <w:r w:rsidR="007F7746">
              <w:t xml:space="preserve">hurches may </w:t>
            </w:r>
            <w:r>
              <w:t xml:space="preserve">also </w:t>
            </w:r>
            <w:r w:rsidR="008F5BBA">
              <w:t>generally sponsor 403(b) A</w:t>
            </w:r>
            <w:r w:rsidR="007F7746">
              <w:t>rrangements</w:t>
            </w:r>
            <w:r>
              <w:t>.</w:t>
            </w:r>
            <w:r w:rsidR="007F7746">
              <w:t xml:space="preserve"> </w:t>
            </w:r>
          </w:p>
          <w:tbl>
            <w:tblPr>
              <w:tblStyle w:val="TableGrid"/>
              <w:tblW w:w="0" w:type="auto"/>
              <w:tblBorders>
                <w:insideH w:val="none" w:sz="0" w:space="0" w:color="auto"/>
                <w:insideV w:val="none" w:sz="0" w:space="0" w:color="auto"/>
              </w:tblBorders>
              <w:shd w:val="clear" w:color="auto" w:fill="E0E0E0"/>
              <w:tblLook w:val="04A0" w:firstRow="1" w:lastRow="0" w:firstColumn="1" w:lastColumn="0" w:noHBand="0" w:noVBand="1"/>
            </w:tblPr>
            <w:tblGrid>
              <w:gridCol w:w="9345"/>
            </w:tblGrid>
            <w:tr w:rsidR="00FF7067" w14:paraId="5433C2FF" w14:textId="77777777" w:rsidTr="008E3F14">
              <w:tc>
                <w:tcPr>
                  <w:tcW w:w="9345" w:type="dxa"/>
                  <w:shd w:val="clear" w:color="auto" w:fill="E0E0E0"/>
                </w:tcPr>
                <w:p w14:paraId="5FDBEEDD" w14:textId="169CFF41" w:rsidR="00FF7067" w:rsidRPr="008F5BBA" w:rsidRDefault="00FF7067" w:rsidP="003F1EA9">
                  <w:pPr>
                    <w:rPr>
                      <w:rStyle w:val="Hyperlink"/>
                      <w:u w:val="none"/>
                    </w:rPr>
                  </w:pPr>
                  <w:r w:rsidRPr="008F5BBA">
                    <w:rPr>
                      <w:rStyle w:val="Hyperlink"/>
                      <w:u w:val="none"/>
                    </w:rPr>
                    <w:t>Nonprofit Organizations</w:t>
                  </w:r>
                </w:p>
                <w:p w14:paraId="73BA7BFE" w14:textId="36B8DD41" w:rsidR="00FF7067" w:rsidRDefault="00BB3F26" w:rsidP="007B0D25">
                  <w:r>
                    <w:t>In this course, “</w:t>
                  </w:r>
                  <w:r w:rsidR="00FF7067">
                    <w:t xml:space="preserve">nonprofit </w:t>
                  </w:r>
                  <w:r w:rsidR="00222D5F">
                    <w:t>organizations</w:t>
                  </w:r>
                  <w:r w:rsidR="00FF7067">
                    <w:t xml:space="preserve">” </w:t>
                  </w:r>
                  <w:r>
                    <w:t xml:space="preserve">include </w:t>
                  </w:r>
                  <w:r w:rsidR="00FF7067" w:rsidRPr="009966AE">
                    <w:t>tax-exempt religious, charitable, or educational organizations</w:t>
                  </w:r>
                  <w:r w:rsidR="00FF7067">
                    <w:t xml:space="preserve"> compliant with Internal Revenue Code Section </w:t>
                  </w:r>
                  <w:r w:rsidR="00FF7067" w:rsidRPr="009966AE">
                    <w:t>501(c)(3)</w:t>
                  </w:r>
                  <w:r w:rsidR="00FF7067">
                    <w:t>.</w:t>
                  </w:r>
                </w:p>
              </w:tc>
            </w:tr>
          </w:tbl>
          <w:p w14:paraId="5943F139" w14:textId="0FB8C11C" w:rsidR="00CA4D22" w:rsidRDefault="008F5BBA" w:rsidP="00CA4D22">
            <w:r>
              <w:t>403(b) Arrangements resemble 401(k) P</w:t>
            </w:r>
            <w:r w:rsidR="00CA4D22">
              <w:t>lans in these ways:</w:t>
            </w:r>
          </w:p>
          <w:p w14:paraId="2BAE9EF6" w14:textId="77777777" w:rsidR="00CA4D22" w:rsidRDefault="00CA4D22" w:rsidP="008E3F14">
            <w:pPr>
              <w:pStyle w:val="ListParagraph"/>
              <w:numPr>
                <w:ilvl w:val="0"/>
                <w:numId w:val="80"/>
              </w:numPr>
            </w:pPr>
            <w:r>
              <w:t>The deferral and contribution limits are the same,</w:t>
            </w:r>
          </w:p>
          <w:p w14:paraId="72A4733D" w14:textId="2FB3CD67" w:rsidR="00CA4D22" w:rsidRDefault="00CA4D22" w:rsidP="008E3F14">
            <w:pPr>
              <w:pStyle w:val="ListParagraph"/>
              <w:numPr>
                <w:ilvl w:val="0"/>
                <w:numId w:val="80"/>
              </w:numPr>
            </w:pPr>
            <w:r>
              <w:t xml:space="preserve">Designated Roth Accounts may </w:t>
            </w:r>
            <w:r w:rsidR="00BB3F26">
              <w:t xml:space="preserve">also </w:t>
            </w:r>
            <w:r w:rsidR="008F5BBA">
              <w:t>be offered in 403(b) A</w:t>
            </w:r>
            <w:r>
              <w:t>rrangements, and</w:t>
            </w:r>
          </w:p>
          <w:p w14:paraId="1928B24A" w14:textId="31C0DF37" w:rsidR="005A04C2" w:rsidRDefault="005A04C2" w:rsidP="008E3F14">
            <w:pPr>
              <w:pStyle w:val="ListParagraph"/>
              <w:numPr>
                <w:ilvl w:val="0"/>
                <w:numId w:val="80"/>
              </w:numPr>
            </w:pPr>
            <w:r>
              <w:t xml:space="preserve">Qualified Plan required </w:t>
            </w:r>
            <w:r w:rsidR="00222D5F">
              <w:t>minimum</w:t>
            </w:r>
            <w:r>
              <w:t xml:space="preserve"> distribution rules apply.</w:t>
            </w:r>
          </w:p>
          <w:p w14:paraId="43FC9778" w14:textId="5DC118D6" w:rsidR="009966AE" w:rsidRDefault="009966AE" w:rsidP="008E3F14">
            <w:pPr>
              <w:pStyle w:val="ListParagraph"/>
            </w:pPr>
            <w:r w:rsidRPr="009966AE">
              <w:t xml:space="preserve"> </w:t>
            </w:r>
          </w:p>
          <w:p w14:paraId="62FE1C67" w14:textId="5FF070B6" w:rsidR="00CA4D22" w:rsidRDefault="008F5BBA" w:rsidP="00CA4D22">
            <w:r>
              <w:t>403(b) Arrangements differ from 401(k) P</w:t>
            </w:r>
            <w:r w:rsidR="00CA4D22">
              <w:t>lans in these ways:</w:t>
            </w:r>
          </w:p>
          <w:p w14:paraId="1AD39372" w14:textId="2620E8C2" w:rsidR="00CA4D22" w:rsidRDefault="005A04C2" w:rsidP="008E3F14">
            <w:pPr>
              <w:pStyle w:val="ListParagraph"/>
              <w:numPr>
                <w:ilvl w:val="0"/>
                <w:numId w:val="81"/>
              </w:numPr>
            </w:pPr>
            <w:r>
              <w:t>The 403(b) is not a qualified plan</w:t>
            </w:r>
            <w:r w:rsidR="008F5BBA">
              <w:t>,</w:t>
            </w:r>
            <w:r>
              <w:t xml:space="preserve"> and</w:t>
            </w:r>
          </w:p>
          <w:p w14:paraId="519E9804" w14:textId="04F59F0D" w:rsidR="005A04C2" w:rsidRDefault="005A04C2" w:rsidP="008E3F14">
            <w:pPr>
              <w:pStyle w:val="ListParagraph"/>
              <w:numPr>
                <w:ilvl w:val="0"/>
                <w:numId w:val="81"/>
              </w:numPr>
            </w:pPr>
            <w:r>
              <w:t xml:space="preserve">Investments are </w:t>
            </w:r>
            <w:r w:rsidRPr="008E3F14">
              <w:rPr>
                <w:rStyle w:val="Hyperlink"/>
              </w:rPr>
              <w:t>restricted</w:t>
            </w:r>
            <w:r w:rsidR="008F5BBA">
              <w:t xml:space="preserve"> vs. the 401(k) P</w:t>
            </w:r>
            <w:r>
              <w:t>lan.</w:t>
            </w:r>
          </w:p>
          <w:tbl>
            <w:tblPr>
              <w:tblStyle w:val="TableGrid"/>
              <w:tblW w:w="0" w:type="auto"/>
              <w:tblBorders>
                <w:insideH w:val="none" w:sz="0" w:space="0" w:color="auto"/>
                <w:insideV w:val="none" w:sz="0" w:space="0" w:color="auto"/>
              </w:tblBorders>
              <w:shd w:val="clear" w:color="auto" w:fill="E0E0E0"/>
              <w:tblLook w:val="04A0" w:firstRow="1" w:lastRow="0" w:firstColumn="1" w:lastColumn="0" w:noHBand="0" w:noVBand="1"/>
            </w:tblPr>
            <w:tblGrid>
              <w:gridCol w:w="9345"/>
            </w:tblGrid>
            <w:tr w:rsidR="005A04C2" w14:paraId="1C0527DC" w14:textId="77777777" w:rsidTr="005A04C2">
              <w:tc>
                <w:tcPr>
                  <w:tcW w:w="9345" w:type="dxa"/>
                  <w:shd w:val="clear" w:color="auto" w:fill="E0E0E0"/>
                </w:tcPr>
                <w:p w14:paraId="348048FB" w14:textId="77777777" w:rsidR="005A04C2" w:rsidRPr="008F5BBA" w:rsidRDefault="005A04C2" w:rsidP="005A04C2">
                  <w:pPr>
                    <w:rPr>
                      <w:rStyle w:val="Hyperlink"/>
                      <w:u w:val="none"/>
                    </w:rPr>
                  </w:pPr>
                  <w:r w:rsidRPr="008F5BBA">
                    <w:rPr>
                      <w:rStyle w:val="Hyperlink"/>
                      <w:u w:val="none"/>
                    </w:rPr>
                    <w:t xml:space="preserve">Restricted </w:t>
                  </w:r>
                </w:p>
                <w:p w14:paraId="387C84F3" w14:textId="6417EAC6" w:rsidR="005A04C2" w:rsidRDefault="007F7746">
                  <w:r>
                    <w:t xml:space="preserve">Funds may generally be invested only in annuity contracts or mutual funds. </w:t>
                  </w:r>
                  <w:r w:rsidR="005A04C2" w:rsidRPr="009966AE">
                    <w:t xml:space="preserve"> </w:t>
                  </w:r>
                </w:p>
              </w:tc>
            </w:tr>
          </w:tbl>
          <w:p w14:paraId="5095C329" w14:textId="3109D5C1" w:rsidR="00CA4D22" w:rsidRPr="009966AE" w:rsidRDefault="00CA4D22" w:rsidP="008E3F14">
            <w:pPr>
              <w:pStyle w:val="ListParagraph"/>
              <w:ind w:left="0"/>
              <w:rPr>
                <w:b/>
                <w:sz w:val="17"/>
              </w:rPr>
            </w:pPr>
          </w:p>
        </w:tc>
      </w:tr>
      <w:tr w:rsidR="009966AE" w:rsidRPr="008F6DC4" w14:paraId="166C5B81" w14:textId="77777777" w:rsidTr="003F1EA9">
        <w:tc>
          <w:tcPr>
            <w:tcW w:w="8748" w:type="dxa"/>
            <w:tcBorders>
              <w:bottom w:val="single" w:sz="4" w:space="0" w:color="6CA8CD"/>
            </w:tcBorders>
            <w:shd w:val="clear" w:color="auto" w:fill="6CA8CD"/>
            <w:tcMar>
              <w:top w:w="72" w:type="dxa"/>
              <w:left w:w="115" w:type="dxa"/>
              <w:bottom w:w="72" w:type="dxa"/>
              <w:right w:w="115" w:type="dxa"/>
            </w:tcMar>
          </w:tcPr>
          <w:p w14:paraId="17223588" w14:textId="29E5DDBA" w:rsidR="009966AE" w:rsidRPr="009966AE" w:rsidRDefault="009966AE" w:rsidP="003F1EA9">
            <w:pPr>
              <w:rPr>
                <w:b/>
                <w:color w:val="FFFFFF"/>
              </w:rPr>
            </w:pPr>
            <w:r w:rsidRPr="009966AE">
              <w:rPr>
                <w:b/>
                <w:color w:val="FFFFFF"/>
              </w:rPr>
              <w:t xml:space="preserve">Governmental </w:t>
            </w:r>
            <w:r w:rsidR="00964E65">
              <w:rPr>
                <w:b/>
                <w:color w:val="FFFFFF"/>
              </w:rPr>
              <w:t xml:space="preserve">or “Public” </w:t>
            </w:r>
            <w:r w:rsidRPr="009966AE">
              <w:rPr>
                <w:b/>
                <w:color w:val="FFFFFF"/>
              </w:rPr>
              <w:t>457</w:t>
            </w:r>
            <w:r w:rsidR="00964E65">
              <w:rPr>
                <w:b/>
                <w:color w:val="FFFFFF"/>
              </w:rPr>
              <w:t>(b)</w:t>
            </w:r>
            <w:r w:rsidRPr="009966AE">
              <w:rPr>
                <w:b/>
                <w:color w:val="FFFFFF"/>
              </w:rPr>
              <w:t xml:space="preserve"> Plans</w:t>
            </w:r>
          </w:p>
        </w:tc>
      </w:tr>
      <w:tr w:rsidR="009966AE" w:rsidRPr="008F6DC4" w14:paraId="7BFA1BA6" w14:textId="77777777" w:rsidTr="003F1EA9">
        <w:tc>
          <w:tcPr>
            <w:tcW w:w="8748" w:type="dxa"/>
            <w:shd w:val="clear" w:color="auto" w:fill="FFFFFF"/>
            <w:tcMar>
              <w:top w:w="72" w:type="dxa"/>
              <w:left w:w="115" w:type="dxa"/>
              <w:bottom w:w="72" w:type="dxa"/>
              <w:right w:w="115" w:type="dxa"/>
            </w:tcMar>
          </w:tcPr>
          <w:p w14:paraId="55FF2713" w14:textId="09EC7DB2" w:rsidR="00C54024" w:rsidRDefault="009966AE" w:rsidP="00C54024">
            <w:pPr>
              <w:pStyle w:val="CommentText"/>
            </w:pPr>
            <w:r w:rsidRPr="009966AE">
              <w:t>A Governmental 457</w:t>
            </w:r>
            <w:r w:rsidR="00964E65">
              <w:t>(b)</w:t>
            </w:r>
            <w:r w:rsidRPr="009966AE">
              <w:t xml:space="preserve"> Plan</w:t>
            </w:r>
            <w:r w:rsidR="00E562FC">
              <w:t xml:space="preserve"> (also referred to as </w:t>
            </w:r>
            <w:r w:rsidR="003C786F">
              <w:t xml:space="preserve">a </w:t>
            </w:r>
            <w:r w:rsidR="00E562FC">
              <w:t xml:space="preserve">Public 457(b) </w:t>
            </w:r>
            <w:r w:rsidR="00FF03E8">
              <w:t>P</w:t>
            </w:r>
            <w:r w:rsidR="00E562FC">
              <w:t>lan)</w:t>
            </w:r>
            <w:r w:rsidRPr="009966AE">
              <w:t xml:space="preserve"> is a deferred compensation plan that is limited to public sector employees (state or local governments that meet the statutory requirements listed in Section 457). </w:t>
            </w:r>
            <w:r w:rsidR="00D32523" w:rsidRPr="009966AE">
              <w:t xml:space="preserve">While 457 </w:t>
            </w:r>
            <w:r w:rsidR="00D32523">
              <w:t>P</w:t>
            </w:r>
            <w:r w:rsidR="00D32523" w:rsidRPr="009966AE">
              <w:t xml:space="preserve">lans are not Qualified Plans, they allow employees to make salary deferral contributions similar to 401(k) </w:t>
            </w:r>
            <w:r w:rsidR="00D32523">
              <w:t>P</w:t>
            </w:r>
            <w:r w:rsidR="00D32523" w:rsidRPr="009966AE">
              <w:t>lans</w:t>
            </w:r>
            <w:r w:rsidR="00D32523">
              <w:t>. The deferral may</w:t>
            </w:r>
            <w:r w:rsidR="00D32523" w:rsidRPr="009966AE">
              <w:t xml:space="preserve"> not to exceed the lesser of</w:t>
            </w:r>
            <w:r w:rsidR="00D32523">
              <w:t xml:space="preserve"> </w:t>
            </w:r>
            <w:r w:rsidR="00D32523" w:rsidRPr="009966AE">
              <w:t>(a) $</w:t>
            </w:r>
            <w:r w:rsidR="00975A2D">
              <w:t>18,000</w:t>
            </w:r>
            <w:r w:rsidR="00D32523" w:rsidRPr="009966AE">
              <w:t>, with an additional $</w:t>
            </w:r>
            <w:r w:rsidR="00975A2D">
              <w:t>6,000</w:t>
            </w:r>
            <w:r w:rsidR="00D32523" w:rsidRPr="009966AE">
              <w:t xml:space="preserve"> if age 50 or over</w:t>
            </w:r>
            <w:r w:rsidR="008F5BBA">
              <w:t>,</w:t>
            </w:r>
            <w:r w:rsidR="00D32523" w:rsidRPr="009966AE">
              <w:t xml:space="preserve"> or (b) 100% of the participant’s compensation (in </w:t>
            </w:r>
            <w:r w:rsidR="002D2503">
              <w:t>2016</w:t>
            </w:r>
            <w:r w:rsidR="00D32523" w:rsidRPr="009966AE">
              <w:t>)</w:t>
            </w:r>
            <w:r w:rsidR="00D32523" w:rsidRPr="009966AE" w:rsidDel="001B1733">
              <w:t xml:space="preserve">. </w:t>
            </w:r>
          </w:p>
          <w:p w14:paraId="388ADB1F" w14:textId="77777777" w:rsidR="006675D4" w:rsidRDefault="00E053FC" w:rsidP="003F1EA9">
            <w:r w:rsidRPr="001F3D42">
              <w:t xml:space="preserve">These plans offer a </w:t>
            </w:r>
            <w:r w:rsidR="00FF03E8">
              <w:t>“</w:t>
            </w:r>
            <w:r w:rsidRPr="001F3D42">
              <w:t>double dipping</w:t>
            </w:r>
            <w:r w:rsidR="00FF03E8">
              <w:t>”</w:t>
            </w:r>
            <w:r w:rsidRPr="001F3D42">
              <w:t xml:space="preserve"> and potentially a unique </w:t>
            </w:r>
            <w:r w:rsidR="00FF03E8">
              <w:t>“</w:t>
            </w:r>
            <w:r w:rsidRPr="001F3D42">
              <w:t>triple dipping</w:t>
            </w:r>
            <w:r w:rsidR="00FF03E8">
              <w:t>”</w:t>
            </w:r>
            <w:r w:rsidRPr="001F3D42">
              <w:t xml:space="preserve"> opportunity for employee deferrals. Let’s start with understanding </w:t>
            </w:r>
            <w:r>
              <w:t>the</w:t>
            </w:r>
            <w:r w:rsidRPr="001F3D42">
              <w:t xml:space="preserve"> </w:t>
            </w:r>
            <w:r w:rsidR="00FF03E8">
              <w:t>“</w:t>
            </w:r>
            <w:r w:rsidRPr="001F3D42">
              <w:t>double dip.</w:t>
            </w:r>
            <w:r w:rsidR="00FF03E8">
              <w:t>”</w:t>
            </w:r>
            <w:r>
              <w:t xml:space="preserve"> </w:t>
            </w:r>
            <w:r w:rsidR="004233C7">
              <w:t>C</w:t>
            </w:r>
            <w:r w:rsidR="009966AE" w:rsidRPr="009966AE">
              <w:t xml:space="preserve">ontributions to a </w:t>
            </w:r>
            <w:r w:rsidR="00964E65">
              <w:lastRenderedPageBreak/>
              <w:t xml:space="preserve">Governmental </w:t>
            </w:r>
            <w:r w:rsidR="00964E65" w:rsidRPr="009966AE">
              <w:t>457</w:t>
            </w:r>
            <w:r w:rsidR="00964E65">
              <w:t>(b)</w:t>
            </w:r>
            <w:r w:rsidR="00964E65" w:rsidRPr="009966AE">
              <w:t xml:space="preserve"> </w:t>
            </w:r>
            <w:r w:rsidR="009966AE" w:rsidRPr="009966AE">
              <w:t xml:space="preserve">Plan have no impact upon </w:t>
            </w:r>
            <w:r w:rsidR="006675D4">
              <w:t xml:space="preserve">deferral </w:t>
            </w:r>
            <w:r w:rsidR="009966AE" w:rsidRPr="009966AE">
              <w:t xml:space="preserve">limits in other salary reduction plans such as 401(k) </w:t>
            </w:r>
            <w:r w:rsidR="005B7E2B">
              <w:t>and</w:t>
            </w:r>
            <w:r w:rsidR="009966AE" w:rsidRPr="009966AE">
              <w:t xml:space="preserve"> 403(b) </w:t>
            </w:r>
            <w:r w:rsidR="00FF03E8">
              <w:t>P</w:t>
            </w:r>
            <w:r w:rsidR="009966AE" w:rsidRPr="009966AE">
              <w:t>lan</w:t>
            </w:r>
            <w:r w:rsidR="005B7E2B">
              <w:t>s</w:t>
            </w:r>
            <w:r w:rsidR="009966AE" w:rsidRPr="009966AE">
              <w:t xml:space="preserve">. </w:t>
            </w:r>
            <w:r w:rsidR="006675D4">
              <w:t>I</w:t>
            </w:r>
            <w:r w:rsidR="009966AE" w:rsidRPr="009966AE">
              <w:t xml:space="preserve">f an employee has the ability to contribute to both a 401(k) Plan and a </w:t>
            </w:r>
            <w:r w:rsidR="00964E65">
              <w:t xml:space="preserve">Governmental </w:t>
            </w:r>
            <w:r w:rsidR="00964E65" w:rsidRPr="009966AE">
              <w:t>457</w:t>
            </w:r>
            <w:r w:rsidR="00964E65">
              <w:t>(b)</w:t>
            </w:r>
            <w:r w:rsidR="00964E65" w:rsidRPr="009966AE">
              <w:t xml:space="preserve"> </w:t>
            </w:r>
            <w:r w:rsidR="009966AE" w:rsidRPr="009966AE">
              <w:t xml:space="preserve">Plan, then neither plan takes into account the </w:t>
            </w:r>
            <w:r w:rsidR="007455E7">
              <w:t>deferrals</w:t>
            </w:r>
            <w:r w:rsidR="007455E7" w:rsidRPr="009966AE">
              <w:t xml:space="preserve"> </w:t>
            </w:r>
            <w:r w:rsidR="009966AE" w:rsidRPr="009966AE">
              <w:t xml:space="preserve">of the other for purposes of staying within the maximum </w:t>
            </w:r>
            <w:r w:rsidR="007455E7">
              <w:t>deferral</w:t>
            </w:r>
            <w:r w:rsidR="007455E7" w:rsidRPr="009966AE">
              <w:t xml:space="preserve"> </w:t>
            </w:r>
            <w:r w:rsidR="009966AE" w:rsidRPr="009966AE">
              <w:t>limits.</w:t>
            </w:r>
            <w:r w:rsidR="006675D4">
              <w:t xml:space="preserve"> This effectively doubles the annual deferral limit for such an employee.</w:t>
            </w:r>
          </w:p>
          <w:p w14:paraId="4204F839" w14:textId="509EDBCC" w:rsidR="00F0280D" w:rsidRDefault="00F0280D" w:rsidP="003F1EA9">
            <w:r>
              <w:t xml:space="preserve">If your client likes the </w:t>
            </w:r>
            <w:r w:rsidR="00FF03E8">
              <w:t>“</w:t>
            </w:r>
            <w:r>
              <w:t>double dip</w:t>
            </w:r>
            <w:r w:rsidR="007D1F67">
              <w:t>,”</w:t>
            </w:r>
            <w:r>
              <w:t xml:space="preserve"> </w:t>
            </w:r>
            <w:r w:rsidR="005B7E2B">
              <w:t xml:space="preserve">he or she </w:t>
            </w:r>
            <w:r>
              <w:t xml:space="preserve">may love the </w:t>
            </w:r>
            <w:r w:rsidR="00FF03E8">
              <w:t>“</w:t>
            </w:r>
            <w:r>
              <w:t>triple dip.</w:t>
            </w:r>
            <w:r w:rsidR="00FF03E8">
              <w:t>”</w:t>
            </w:r>
            <w:r>
              <w:t xml:space="preserve"> During the last three years of employment, a 457(b) participant </w:t>
            </w:r>
            <w:r w:rsidR="00575363">
              <w:t xml:space="preserve">age 50 or older </w:t>
            </w:r>
            <w:r>
              <w:t xml:space="preserve">may defer an additional </w:t>
            </w:r>
            <w:r w:rsidR="0066543C">
              <w:t xml:space="preserve">special catch-up amount </w:t>
            </w:r>
            <w:r>
              <w:t>of up to another $</w:t>
            </w:r>
            <w:r w:rsidR="00975A2D">
              <w:t>18,000</w:t>
            </w:r>
            <w:r>
              <w:t xml:space="preserve"> (</w:t>
            </w:r>
            <w:r w:rsidR="002D2503">
              <w:t>2016</w:t>
            </w:r>
            <w:r w:rsidR="00FF03E8">
              <w:t>,</w:t>
            </w:r>
            <w:r>
              <w:t xml:space="preserve"> as indexed). The age</w:t>
            </w:r>
            <w:r w:rsidR="00FF03E8">
              <w:t>-</w:t>
            </w:r>
            <w:r>
              <w:t>related $</w:t>
            </w:r>
            <w:r w:rsidR="00975A2D">
              <w:t>6,000</w:t>
            </w:r>
            <w:r>
              <w:t xml:space="preserve"> deferral may not be taken in the same year as the </w:t>
            </w:r>
            <w:r w:rsidR="0066543C">
              <w:t>special catch-up deferral</w:t>
            </w:r>
            <w:r>
              <w:t>.</w:t>
            </w:r>
            <w:r w:rsidR="006675D4">
              <w:t xml:space="preserve"> </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345"/>
            </w:tblGrid>
            <w:tr w:rsidR="00F0280D" w14:paraId="7A3275CF" w14:textId="77777777" w:rsidTr="00C870C4">
              <w:tc>
                <w:tcPr>
                  <w:tcW w:w="9345" w:type="dxa"/>
                  <w:shd w:val="clear" w:color="auto" w:fill="FFFF99"/>
                </w:tcPr>
                <w:p w14:paraId="53B372E1" w14:textId="77777777" w:rsidR="00F0280D" w:rsidRPr="001F3D42" w:rsidRDefault="00A64B49" w:rsidP="003F1EA9">
                  <w:pPr>
                    <w:rPr>
                      <w:b/>
                    </w:rPr>
                  </w:pPr>
                  <w:r w:rsidRPr="001F3D42">
                    <w:rPr>
                      <w:b/>
                    </w:rPr>
                    <w:t>Example</w:t>
                  </w:r>
                </w:p>
                <w:p w14:paraId="264B0937" w14:textId="77777777" w:rsidR="00A64B49" w:rsidRDefault="00A64B49" w:rsidP="003F1EA9">
                  <w:r>
                    <w:t xml:space="preserve">Henrietta </w:t>
                  </w:r>
                  <w:r w:rsidR="00575363">
                    <w:t>(age 60</w:t>
                  </w:r>
                  <w:r w:rsidR="0066543C">
                    <w:t xml:space="preserve">) </w:t>
                  </w:r>
                  <w:r w:rsidR="00575363">
                    <w:t xml:space="preserve">earns $100,000 annually as an employee of </w:t>
                  </w:r>
                  <w:r w:rsidR="0066543C">
                    <w:t xml:space="preserve">a government agency that sponsors a 457(b) </w:t>
                  </w:r>
                  <w:r w:rsidR="00FF03E8">
                    <w:t>P</w:t>
                  </w:r>
                  <w:r w:rsidR="0066543C">
                    <w:t>lan. She is in her last three years of service before retirement.</w:t>
                  </w:r>
                  <w:r w:rsidR="00575363">
                    <w:t xml:space="preserve"> She also earns $30,000 annually as an employee of</w:t>
                  </w:r>
                  <w:r w:rsidR="0066543C">
                    <w:t xml:space="preserve"> a private corporation that sponsors a 401(k) </w:t>
                  </w:r>
                  <w:r w:rsidR="00FF03E8">
                    <w:t>P</w:t>
                  </w:r>
                  <w:r w:rsidR="0066543C">
                    <w:t>lan.</w:t>
                  </w:r>
                </w:p>
                <w:p w14:paraId="27AD56E7" w14:textId="7962FB8B" w:rsidR="00F0280D" w:rsidRDefault="0066543C" w:rsidP="003F1EA9">
                  <w:r>
                    <w:t>She may defer</w:t>
                  </w:r>
                  <w:r w:rsidR="00575363">
                    <w:t xml:space="preserve"> a maximum of $</w:t>
                  </w:r>
                  <w:r w:rsidR="002F31A5">
                    <w:t>60</w:t>
                  </w:r>
                  <w:r w:rsidR="00575363">
                    <w:t>,000</w:t>
                  </w:r>
                  <w:r>
                    <w:t xml:space="preserve"> </w:t>
                  </w:r>
                  <w:r w:rsidR="00DD270E">
                    <w:t xml:space="preserve">of her salary </w:t>
                  </w:r>
                  <w:r>
                    <w:t xml:space="preserve">in </w:t>
                  </w:r>
                  <w:r w:rsidR="002D2503">
                    <w:t>2016</w:t>
                  </w:r>
                  <w:r>
                    <w:t xml:space="preserve"> as follows.</w:t>
                  </w:r>
                </w:p>
                <w:p w14:paraId="3FEBA02E" w14:textId="41DBBCA6" w:rsidR="0066543C" w:rsidRDefault="00575363" w:rsidP="00822DE7">
                  <w:pPr>
                    <w:numPr>
                      <w:ilvl w:val="0"/>
                      <w:numId w:val="35"/>
                    </w:numPr>
                  </w:pPr>
                  <w:r>
                    <w:t>$2</w:t>
                  </w:r>
                  <w:r w:rsidR="002F31A5">
                    <w:t>4</w:t>
                  </w:r>
                  <w:r>
                    <w:t>,000</w:t>
                  </w:r>
                  <w:r w:rsidR="0066543C">
                    <w:t xml:space="preserve"> Private Corporation 401(k) Plan</w:t>
                  </w:r>
                  <w:r w:rsidR="008F5BBA">
                    <w:t xml:space="preserve"> (includes age-</w:t>
                  </w:r>
                  <w:r>
                    <w:t>related $</w:t>
                  </w:r>
                  <w:r w:rsidR="00975A2D">
                    <w:t>6,000</w:t>
                  </w:r>
                  <w:r>
                    <w:t>)</w:t>
                  </w:r>
                </w:p>
                <w:p w14:paraId="4D6CCA65" w14:textId="25E0FA28" w:rsidR="0066543C" w:rsidRDefault="0066543C" w:rsidP="00822DE7">
                  <w:pPr>
                    <w:numPr>
                      <w:ilvl w:val="0"/>
                      <w:numId w:val="35"/>
                    </w:numPr>
                  </w:pPr>
                  <w:r>
                    <w:t>$</w:t>
                  </w:r>
                  <w:r w:rsidR="00975A2D">
                    <w:t>18,000</w:t>
                  </w:r>
                  <w:r>
                    <w:t xml:space="preserve"> Government 457(b) Plan standard deferral</w:t>
                  </w:r>
                </w:p>
                <w:p w14:paraId="619D5BAE" w14:textId="42E99FCE" w:rsidR="00F0280D" w:rsidRDefault="0066543C" w:rsidP="00822DE7">
                  <w:pPr>
                    <w:numPr>
                      <w:ilvl w:val="0"/>
                      <w:numId w:val="35"/>
                    </w:numPr>
                  </w:pPr>
                  <w:r>
                    <w:t>$</w:t>
                  </w:r>
                  <w:r w:rsidR="00975A2D">
                    <w:t>18,000</w:t>
                  </w:r>
                  <w:r>
                    <w:t xml:space="preserve"> Government 457(b) Plan special catch-up contribution</w:t>
                  </w:r>
                </w:p>
                <w:p w14:paraId="6CD31DFD" w14:textId="1D2C21E2" w:rsidR="00FF03E8" w:rsidRDefault="00FF03E8" w:rsidP="001F3D42">
                  <w:r>
                    <w:t>During any year she uses the $</w:t>
                  </w:r>
                  <w:r w:rsidR="00975A2D">
                    <w:t>18,000</w:t>
                  </w:r>
                  <w:r>
                    <w:t xml:space="preserve"> 457(b) special catch-up contri</w:t>
                  </w:r>
                  <w:r w:rsidR="008F5BBA">
                    <w:t>bution, she may not use the age-</w:t>
                  </w:r>
                  <w:r>
                    <w:t>related $</w:t>
                  </w:r>
                  <w:r w:rsidR="00975A2D">
                    <w:t>6,000</w:t>
                  </w:r>
                  <w:r w:rsidR="005734BC">
                    <w:t xml:space="preserve"> 457(b) catch</w:t>
                  </w:r>
                  <w:r w:rsidR="004D1AC0">
                    <w:t>-</w:t>
                  </w:r>
                  <w:r w:rsidR="005734BC">
                    <w:t>up</w:t>
                  </w:r>
                  <w:r>
                    <w:t>.</w:t>
                  </w:r>
                </w:p>
              </w:tc>
            </w:tr>
          </w:tbl>
          <w:p w14:paraId="7CDE6C9F" w14:textId="698DCBD1" w:rsidR="00D43829" w:rsidRPr="009966AE" w:rsidRDefault="00744B7B">
            <w:r>
              <w:t>E</w:t>
            </w:r>
            <w:r w:rsidRPr="009966AE">
              <w:t xml:space="preserve">mployers can add a Roth </w:t>
            </w:r>
            <w:r w:rsidR="006675D4">
              <w:t xml:space="preserve">feature </w:t>
            </w:r>
            <w:r w:rsidRPr="009966AE">
              <w:t xml:space="preserve">to a </w:t>
            </w:r>
            <w:r w:rsidR="008F5BBA">
              <w:t>G</w:t>
            </w:r>
            <w:r>
              <w:t xml:space="preserve">overnmental 457(b) </w:t>
            </w:r>
            <w:r w:rsidR="00FF03E8">
              <w:t>P</w:t>
            </w:r>
            <w:r>
              <w:t>lan as of 2011. In a Roth 457(b)</w:t>
            </w:r>
            <w:r w:rsidR="00864104">
              <w:t>,</w:t>
            </w:r>
            <w:r>
              <w:t xml:space="preserve"> employees </w:t>
            </w:r>
            <w:r w:rsidRPr="009966AE">
              <w:t xml:space="preserve">elect to </w:t>
            </w:r>
            <w:r w:rsidR="006675D4">
              <w:t>designate</w:t>
            </w:r>
            <w:r w:rsidRPr="009966AE">
              <w:t xml:space="preserve"> their salary deferrals as Roth contributions. Such </w:t>
            </w:r>
            <w:r w:rsidR="006675D4">
              <w:t xml:space="preserve">deferrals </w:t>
            </w:r>
            <w:r>
              <w:t xml:space="preserve">are </w:t>
            </w:r>
            <w:r w:rsidR="006675D4">
              <w:t xml:space="preserve">made on </w:t>
            </w:r>
            <w:r w:rsidRPr="009966AE">
              <w:t xml:space="preserve">an after-tax basis, but retirement distributions of such funds and the earnings on them will not be taxed. Unlike a Roth IRA, there are no modified AGI limits that phase out eligibility for participation. </w:t>
            </w:r>
            <w:r w:rsidR="00173AB3">
              <w:t>A</w:t>
            </w:r>
            <w:r w:rsidR="00EF66FF">
              <w:t>lso unlike a Roth IRA, distributions are required during the owner’s lifetime</w:t>
            </w:r>
            <w:r w:rsidR="006675D4">
              <w:t xml:space="preserve"> </w:t>
            </w:r>
            <w:r w:rsidR="00EF66FF">
              <w:t xml:space="preserve">based upon </w:t>
            </w:r>
            <w:r w:rsidR="006675D4">
              <w:t>required minimum distribution rules.</w:t>
            </w:r>
          </w:p>
        </w:tc>
      </w:tr>
    </w:tbl>
    <w:p w14:paraId="4503B44D" w14:textId="77777777" w:rsidR="00530E3C" w:rsidRPr="007F30F6" w:rsidRDefault="00530E3C" w:rsidP="003F1EA9">
      <w:pPr>
        <w:spacing w:before="0" w:after="0"/>
      </w:pPr>
    </w:p>
    <w:p w14:paraId="3A28D7B2" w14:textId="60617A3E" w:rsidR="005D14FC" w:rsidRPr="008D3C19" w:rsidRDefault="00530E3C" w:rsidP="004344CA">
      <w:pPr>
        <w:pStyle w:val="Heading2"/>
      </w:pPr>
      <w:r w:rsidRPr="007F30F6">
        <w:rPr>
          <w:sz w:val="24"/>
          <w:szCs w:val="24"/>
        </w:rPr>
        <w:br w:type="page"/>
      </w:r>
      <w:r w:rsidR="005D14FC" w:rsidRPr="008D3C19">
        <w:lastRenderedPageBreak/>
        <w:t xml:space="preserve">Nonqualified Deferred Compensation </w:t>
      </w:r>
      <w:r w:rsidR="00EC6D3A">
        <w:t>Arrangement</w:t>
      </w:r>
    </w:p>
    <w:p w14:paraId="3906C1FE" w14:textId="36791F4D" w:rsidR="00226462" w:rsidRDefault="008D3C19" w:rsidP="004B7360">
      <w:r w:rsidRPr="004D1AC0">
        <w:rPr>
          <w:rStyle w:val="Strong"/>
          <w:i/>
        </w:rPr>
        <w:t xml:space="preserve">Nonqualified </w:t>
      </w:r>
      <w:r w:rsidR="008F5BBA" w:rsidRPr="004D1AC0">
        <w:rPr>
          <w:rStyle w:val="Strong"/>
          <w:i/>
        </w:rPr>
        <w:t>Deferred Compensation Arrangements</w:t>
      </w:r>
      <w:r w:rsidRPr="004D1AC0">
        <w:rPr>
          <w:rStyle w:val="Strong"/>
          <w:i/>
        </w:rPr>
        <w:t xml:space="preserve"> (NQDC</w:t>
      </w:r>
      <w:r w:rsidR="00EC6D3A" w:rsidRPr="004D1AC0">
        <w:rPr>
          <w:rStyle w:val="Strong"/>
          <w:i/>
        </w:rPr>
        <w:t>A</w:t>
      </w:r>
      <w:r w:rsidR="00964BF9" w:rsidRPr="004D1AC0">
        <w:rPr>
          <w:rStyle w:val="Strong"/>
          <w:i/>
        </w:rPr>
        <w:t>s</w:t>
      </w:r>
      <w:r w:rsidRPr="004D1AC0">
        <w:rPr>
          <w:rStyle w:val="Strong"/>
          <w:i/>
        </w:rPr>
        <w:t>)</w:t>
      </w:r>
      <w:r w:rsidRPr="004B7360">
        <w:t xml:space="preserve"> are typically implemented by employers to provide tax-advantaged deferred benefits to supplement </w:t>
      </w:r>
      <w:r w:rsidR="00226462">
        <w:t xml:space="preserve">existing </w:t>
      </w:r>
      <w:r w:rsidRPr="004B7360">
        <w:t xml:space="preserve">retirement benefits for a select group of employees/executives. </w:t>
      </w:r>
    </w:p>
    <w:p w14:paraId="5F0D7125" w14:textId="7CE096BB" w:rsidR="00EC6D3A" w:rsidRDefault="00226462" w:rsidP="004B7360">
      <w:r>
        <w:t>NQDCAs may be characterized by the following:</w:t>
      </w:r>
    </w:p>
    <w:p w14:paraId="3666474D" w14:textId="08A76198" w:rsidR="00DF1C88" w:rsidRDefault="008D3C19" w:rsidP="008F5BBA">
      <w:pPr>
        <w:pStyle w:val="TextBullet1"/>
      </w:pPr>
      <w:r w:rsidRPr="004B7360">
        <w:t>NQDC</w:t>
      </w:r>
      <w:r w:rsidR="00EC6D3A">
        <w:t>As</w:t>
      </w:r>
      <w:r w:rsidRPr="004B7360">
        <w:t xml:space="preserve"> are not restricted by ERISA requirements applicable to qualified retirement plans; thus, they can offer more flexibility to employers in terms of plan design</w:t>
      </w:r>
      <w:r w:rsidR="00EC6D3A">
        <w:t>.</w:t>
      </w:r>
    </w:p>
    <w:p w14:paraId="5CEDF168" w14:textId="77C365EF" w:rsidR="00226462" w:rsidRDefault="008D3C19" w:rsidP="008F5BBA">
      <w:pPr>
        <w:pStyle w:val="TextBullet1"/>
      </w:pPr>
      <w:r w:rsidRPr="004B7360">
        <w:t>A</w:t>
      </w:r>
      <w:r w:rsidR="00964BF9" w:rsidRPr="004B7360">
        <w:t>n</w:t>
      </w:r>
      <w:r w:rsidRPr="004B7360">
        <w:t xml:space="preserve"> NQDC</w:t>
      </w:r>
      <w:r w:rsidR="00EC6D3A">
        <w:t>A</w:t>
      </w:r>
      <w:r w:rsidRPr="004B7360">
        <w:t xml:space="preserve"> allows the employee to defer a certain portion of his/her compensation to a later date, thereby also deferring the income tax liability on the compensation. </w:t>
      </w:r>
    </w:p>
    <w:p w14:paraId="75812823" w14:textId="7B1050B3" w:rsidR="00226462" w:rsidRDefault="00226462" w:rsidP="008F5BBA">
      <w:pPr>
        <w:pStyle w:val="TextBullet1"/>
      </w:pPr>
      <w:r>
        <w:t>Employer contributions may also be made to NQDCAs without restriction by qualified plan limits.</w:t>
      </w:r>
    </w:p>
    <w:p w14:paraId="40241EFD" w14:textId="2555AD38" w:rsidR="00DF1C88" w:rsidRDefault="008D3C19" w:rsidP="008F5BBA">
      <w:pPr>
        <w:pStyle w:val="TextBullet1"/>
      </w:pPr>
      <w:r w:rsidRPr="004B7360">
        <w:t>Any earnings/growth in the value of the deferred amount</w:t>
      </w:r>
      <w:r w:rsidR="00226462">
        <w:t xml:space="preserve"> </w:t>
      </w:r>
      <w:r w:rsidRPr="004B7360">
        <w:t>is also not taxed to the employee until he or she receives the funds. Thus, the NQDC</w:t>
      </w:r>
      <w:r w:rsidR="00226462">
        <w:t>A</w:t>
      </w:r>
      <w:r w:rsidRPr="004B7360">
        <w:t xml:space="preserve"> allows the employee to leverage the investment return on their compensation and time receipt of compensation when it is more advantageous or specifically needed, i.e., to supplement retirement income</w:t>
      </w:r>
      <w:r w:rsidR="00226462">
        <w:t>.</w:t>
      </w:r>
    </w:p>
    <w:p w14:paraId="2DFA3C15" w14:textId="3B87888F" w:rsidR="00776ACA" w:rsidRDefault="008D3C19" w:rsidP="008F5BBA">
      <w:pPr>
        <w:pStyle w:val="TextBullet1"/>
      </w:pPr>
      <w:r w:rsidRPr="004B7360">
        <w:t xml:space="preserve">The employer can deduct the amount of compensation deferred only when it is ultimately paid to the employee. </w:t>
      </w:r>
    </w:p>
    <w:p w14:paraId="02F9AC3E" w14:textId="77777777" w:rsidR="00776ACA" w:rsidRDefault="00776ACA" w:rsidP="008E3F14"/>
    <w:p w14:paraId="0C21EC70" w14:textId="6466A97D" w:rsidR="00776ACA" w:rsidRPr="008E3F14" w:rsidRDefault="00776ACA" w:rsidP="008E3F14">
      <w:pPr>
        <w:ind w:left="360"/>
      </w:pPr>
      <w:r>
        <w:rPr>
          <w:noProof/>
          <w:lang w:eastAsia="zh-CN"/>
        </w:rPr>
        <w:drawing>
          <wp:inline distT="0" distB="0" distL="0" distR="0" wp14:anchorId="75CAB4AC" wp14:editId="7C82207E">
            <wp:extent cx="283210" cy="196215"/>
            <wp:effectExtent l="0" t="0" r="0" b="6985"/>
            <wp:docPr id="15" name="Picture 15"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_tip_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10" cy="196215"/>
                    </a:xfrm>
                    <a:prstGeom prst="rect">
                      <a:avLst/>
                    </a:prstGeom>
                    <a:noFill/>
                    <a:ln>
                      <a:noFill/>
                    </a:ln>
                  </pic:spPr>
                </pic:pic>
              </a:graphicData>
            </a:graphic>
          </wp:inline>
        </w:drawing>
      </w:r>
      <w:r>
        <w:t xml:space="preserve">  </w:t>
      </w:r>
      <w:r w:rsidRPr="0089531D">
        <w:rPr>
          <w:b/>
        </w:rPr>
        <w:t>Planning Tip</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8"/>
      </w:tblGrid>
      <w:tr w:rsidR="00776ACA" w:rsidRPr="00120E33" w14:paraId="79F2E1BB" w14:textId="77777777" w:rsidTr="008F5BBA">
        <w:trPr>
          <w:trHeight w:val="692"/>
        </w:trPr>
        <w:tc>
          <w:tcPr>
            <w:tcW w:w="8478" w:type="dxa"/>
            <w:shd w:val="clear" w:color="auto" w:fill="E7D9CF"/>
          </w:tcPr>
          <w:p w14:paraId="0C7830C0" w14:textId="27A976FA" w:rsidR="00776ACA" w:rsidRPr="00120E33" w:rsidRDefault="0089531D">
            <w:pPr>
              <w:rPr>
                <w:rStyle w:val="Strong"/>
                <w:b w:val="0"/>
              </w:rPr>
            </w:pPr>
            <w:r>
              <w:t>T</w:t>
            </w:r>
            <w:r w:rsidR="00776ACA" w:rsidRPr="004B7360">
              <w:t xml:space="preserve">he employee’s </w:t>
            </w:r>
            <w:r>
              <w:t xml:space="preserve">NQDCA </w:t>
            </w:r>
            <w:r w:rsidR="00776ACA" w:rsidRPr="004B7360">
              <w:t xml:space="preserve">account does not have the security of the protection offered by </w:t>
            </w:r>
            <w:r>
              <w:t xml:space="preserve">a </w:t>
            </w:r>
            <w:r w:rsidR="00776ACA" w:rsidRPr="004B7360">
              <w:t>qualified plan</w:t>
            </w:r>
            <w:r>
              <w:t xml:space="preserve">. </w:t>
            </w:r>
            <w:r w:rsidR="00DF1C88">
              <w:t>P</w:t>
            </w:r>
            <w:r w:rsidR="004052B0">
              <w:t xml:space="preserve">ayment to the employee generally </w:t>
            </w:r>
            <w:r w:rsidR="00776ACA" w:rsidRPr="004B7360">
              <w:t>depend</w:t>
            </w:r>
            <w:r w:rsidR="009032A3">
              <w:t>s</w:t>
            </w:r>
            <w:r w:rsidR="00776ACA" w:rsidRPr="004B7360">
              <w:t xml:space="preserve"> on the sustainability of the employer’s business</w:t>
            </w:r>
            <w:r w:rsidR="004052B0">
              <w:t xml:space="preserve">. </w:t>
            </w:r>
            <w:r w:rsidR="00DF1C88">
              <w:t>In the event of employer bankruptcy, an employee’s NQDCA balance is generally treated as that of an unsecured creditor.</w:t>
            </w:r>
          </w:p>
        </w:tc>
      </w:tr>
    </w:tbl>
    <w:p w14:paraId="3BE918BC" w14:textId="55B7E7C1" w:rsidR="00B46FD4" w:rsidRPr="002A433D" w:rsidRDefault="008A655D" w:rsidP="004344CA">
      <w:pPr>
        <w:pStyle w:val="Heading2"/>
      </w:pPr>
      <w:r>
        <w:br w:type="page"/>
      </w:r>
      <w:r w:rsidR="00B46FD4" w:rsidRPr="002A433D">
        <w:lastRenderedPageBreak/>
        <w:t>Stock Option</w:t>
      </w:r>
      <w:r w:rsidR="00CA3F20">
        <w:t>s</w:t>
      </w:r>
      <w:r w:rsidR="00B46FD4" w:rsidRPr="002A433D">
        <w:t xml:space="preserve"> </w:t>
      </w:r>
    </w:p>
    <w:p w14:paraId="7866B7C4" w14:textId="5466712B" w:rsidR="0053742A" w:rsidRPr="002A433D" w:rsidRDefault="0053742A" w:rsidP="0053742A">
      <w:r w:rsidRPr="002A433D">
        <w:t xml:space="preserve">The National Center for Employee Ownership reports that 36% of employees in public companies own stock through </w:t>
      </w:r>
      <w:r w:rsidR="00624DA4" w:rsidRPr="002A433D">
        <w:t>an employer</w:t>
      </w:r>
      <w:r w:rsidRPr="002A433D">
        <w:t xml:space="preserve"> stock ownership plan. While an exhaustive review of stock options is beyond </w:t>
      </w:r>
      <w:r w:rsidR="005B2C2C">
        <w:t xml:space="preserve">the </w:t>
      </w:r>
      <w:r w:rsidRPr="002A433D">
        <w:t>scope for this training, you</w:t>
      </w:r>
      <w:r w:rsidR="00624DA4" w:rsidRPr="002A433D">
        <w:t>r understanding of stock option</w:t>
      </w:r>
      <w:r w:rsidRPr="002A433D">
        <w:t xml:space="preserve"> basics will leverage your credibility in this popular accumulation strategy.</w:t>
      </w:r>
    </w:p>
    <w:p w14:paraId="17A4C162" w14:textId="77777777" w:rsidR="00B46FD4" w:rsidRPr="002A433D" w:rsidRDefault="00AC20F7" w:rsidP="00B46FD4">
      <w:r w:rsidRPr="002A433D">
        <w:t>The potential for income deferral from options appeals to those clients expecting a lower income tax rate in retirement. A</w:t>
      </w:r>
      <w:r w:rsidR="00F42690" w:rsidRPr="002A433D">
        <w:t>n employer</w:t>
      </w:r>
      <w:r w:rsidR="006B5582" w:rsidRPr="002A433D">
        <w:t xml:space="preserve"> </w:t>
      </w:r>
      <w:r w:rsidR="006B5582" w:rsidRPr="001F3D42">
        <w:rPr>
          <w:rStyle w:val="Strong"/>
          <w:b w:val="0"/>
        </w:rPr>
        <w:t>stock option</w:t>
      </w:r>
      <w:r w:rsidR="00E977F9" w:rsidRPr="002A433D">
        <w:t xml:space="preserve"> can be described as a contract</w:t>
      </w:r>
      <w:r w:rsidR="006B5582" w:rsidRPr="002A433D">
        <w:t xml:space="preserve"> </w:t>
      </w:r>
      <w:r w:rsidR="00B93024" w:rsidRPr="002A433D">
        <w:t xml:space="preserve">(the grant) </w:t>
      </w:r>
      <w:r w:rsidR="006B5582" w:rsidRPr="002A433D">
        <w:t xml:space="preserve">to sell </w:t>
      </w:r>
      <w:r w:rsidR="00010CF4" w:rsidRPr="002A433D">
        <w:t xml:space="preserve">employer </w:t>
      </w:r>
      <w:r w:rsidR="006B5582" w:rsidRPr="002A433D">
        <w:t xml:space="preserve">stock </w:t>
      </w:r>
      <w:r w:rsidR="002233E1" w:rsidRPr="002A433D">
        <w:t xml:space="preserve">to an employee </w:t>
      </w:r>
      <w:r w:rsidR="006B5582" w:rsidRPr="002A433D">
        <w:t xml:space="preserve">at a specified price </w:t>
      </w:r>
      <w:r w:rsidR="00CF290F" w:rsidRPr="002A433D">
        <w:t xml:space="preserve">(the grant price) </w:t>
      </w:r>
      <w:r w:rsidR="00B8445F" w:rsidRPr="002A433D">
        <w:t>after a certain period of time (the vesting period)</w:t>
      </w:r>
      <w:r w:rsidR="006B5582" w:rsidRPr="002A433D">
        <w:t xml:space="preserve">. </w:t>
      </w:r>
      <w:r w:rsidR="00B46FD4" w:rsidRPr="002A433D">
        <w:t>T</w:t>
      </w:r>
      <w:r w:rsidR="007D6CDE" w:rsidRPr="002A433D">
        <w:t>he employee</w:t>
      </w:r>
      <w:r w:rsidR="00B46FD4" w:rsidRPr="002A433D">
        <w:t xml:space="preserve"> benefits if the </w:t>
      </w:r>
      <w:r w:rsidR="00624DA4" w:rsidRPr="002A433D">
        <w:t xml:space="preserve">fair market </w:t>
      </w:r>
      <w:r w:rsidR="00B46FD4" w:rsidRPr="002A433D">
        <w:t xml:space="preserve">value of the stock rises above </w:t>
      </w:r>
      <w:r w:rsidR="00577EB0" w:rsidRPr="002A433D">
        <w:t>the grant price</w:t>
      </w:r>
      <w:r w:rsidR="00B46FD4" w:rsidRPr="002A433D">
        <w:t>. On the other hand, if the price of th</w:t>
      </w:r>
      <w:r w:rsidR="007D6CDE" w:rsidRPr="002A433D">
        <w:t>e stock goes down, the employee</w:t>
      </w:r>
      <w:r w:rsidR="00B46FD4" w:rsidRPr="002A433D">
        <w:t xml:space="preserve"> </w:t>
      </w:r>
      <w:r w:rsidR="00F42690" w:rsidRPr="002A433D">
        <w:t>loses nothing.</w:t>
      </w:r>
    </w:p>
    <w:p w14:paraId="269B84BA" w14:textId="77777777" w:rsidR="00B46FD4" w:rsidRPr="002A433D" w:rsidRDefault="007D6CDE" w:rsidP="00B46FD4">
      <w:r w:rsidRPr="002A433D">
        <w:t>Employer</w:t>
      </w:r>
      <w:r w:rsidR="00B46FD4" w:rsidRPr="002A433D">
        <w:t xml:space="preserve"> stock option</w:t>
      </w:r>
      <w:r w:rsidRPr="002A433D">
        <w:t>s</w:t>
      </w:r>
      <w:r w:rsidR="00577EB0" w:rsidRPr="002A433D">
        <w:t xml:space="preserve"> </w:t>
      </w:r>
      <w:r w:rsidR="00B46FD4" w:rsidRPr="002A433D">
        <w:t xml:space="preserve">are offered in </w:t>
      </w:r>
      <w:r w:rsidR="00577EB0" w:rsidRPr="002A433D">
        <w:t>a number of versions</w:t>
      </w:r>
      <w:r w:rsidRPr="002A433D">
        <w:t xml:space="preserve">. Two of the </w:t>
      </w:r>
      <w:r w:rsidR="00577EB0" w:rsidRPr="002A433D">
        <w:t>mos</w:t>
      </w:r>
      <w:r w:rsidR="00AC20F7" w:rsidRPr="002A433D">
        <w:t xml:space="preserve">t common </w:t>
      </w:r>
      <w:r w:rsidR="00577EB0" w:rsidRPr="002A433D">
        <w:t xml:space="preserve">versions are </w:t>
      </w:r>
      <w:r w:rsidRPr="002A433D">
        <w:t>Nonqualified Stock Options (NSO</w:t>
      </w:r>
      <w:r w:rsidR="00651D17" w:rsidRPr="002A433D">
        <w:t>s) and Incentive Stock Options (ISOs</w:t>
      </w:r>
      <w:r w:rsidRPr="002A433D">
        <w:t>).</w:t>
      </w:r>
    </w:p>
    <w:p w14:paraId="373F88EC" w14:textId="77777777" w:rsidR="00AC20F7" w:rsidRPr="002A433D" w:rsidRDefault="00B46FD4" w:rsidP="001F3D42">
      <w:r w:rsidRPr="002A433D">
        <w:t>Nonqualified Stock Options (NSOs)</w:t>
      </w:r>
      <w:r w:rsidR="00AC20F7" w:rsidRPr="002A433D">
        <w:t xml:space="preserve"> </w:t>
      </w:r>
      <w:r w:rsidR="00455798" w:rsidRPr="002A433D">
        <w:t xml:space="preserve">are </w:t>
      </w:r>
      <w:r w:rsidRPr="002A433D">
        <w:t xml:space="preserve">“nonqualified” because they </w:t>
      </w:r>
      <w:r w:rsidR="00624DA4" w:rsidRPr="002A433D">
        <w:t>do not qualif</w:t>
      </w:r>
      <w:r w:rsidR="00455798" w:rsidRPr="002A433D">
        <w:t xml:space="preserve">y for the special tax incentives available through ISOs. They can be viewed simply </w:t>
      </w:r>
      <w:r w:rsidR="00624DA4" w:rsidRPr="002A433D">
        <w:t>as deferred compensation.</w:t>
      </w:r>
    </w:p>
    <w:p w14:paraId="1B7485CD" w14:textId="77777777" w:rsidR="00AC20F7" w:rsidRPr="002A433D" w:rsidRDefault="00C44CBE" w:rsidP="00822DE7">
      <w:pPr>
        <w:numPr>
          <w:ilvl w:val="0"/>
          <w:numId w:val="46"/>
        </w:numPr>
        <w:spacing w:before="0"/>
      </w:pPr>
      <w:r w:rsidRPr="002A433D">
        <w:t xml:space="preserve">As a result of law changes, </w:t>
      </w:r>
      <w:r w:rsidR="00F83D83" w:rsidRPr="002A433D">
        <w:t>NSOs now tend to be issued with a grant price equal to fair market value on the grant date. Previously, NSOs were frequently issued with a grant price below fair market value on the grant date.</w:t>
      </w:r>
    </w:p>
    <w:p w14:paraId="603DC890" w14:textId="77777777" w:rsidR="00AC20F7" w:rsidRPr="002A433D" w:rsidRDefault="00F83D83" w:rsidP="00822DE7">
      <w:pPr>
        <w:numPr>
          <w:ilvl w:val="0"/>
          <w:numId w:val="46"/>
        </w:numPr>
        <w:spacing w:before="0"/>
      </w:pPr>
      <w:r w:rsidRPr="002A433D">
        <w:t>When the options vest, the employee may exercise the option by paying the grant price and receiving the stock.</w:t>
      </w:r>
    </w:p>
    <w:p w14:paraId="3D4413E7" w14:textId="77777777" w:rsidR="00AC20F7" w:rsidRPr="002A433D" w:rsidRDefault="00F83D83" w:rsidP="00822DE7">
      <w:pPr>
        <w:numPr>
          <w:ilvl w:val="0"/>
          <w:numId w:val="46"/>
        </w:numPr>
        <w:spacing w:before="0"/>
      </w:pPr>
      <w:r w:rsidRPr="002A433D">
        <w:t>T</w:t>
      </w:r>
      <w:r w:rsidR="007D6CDE" w:rsidRPr="002A433D">
        <w:t xml:space="preserve">he employer </w:t>
      </w:r>
      <w:r w:rsidR="00624DA4" w:rsidRPr="002A433D">
        <w:t xml:space="preserve">generally </w:t>
      </w:r>
      <w:r w:rsidR="007D6CDE" w:rsidRPr="002A433D">
        <w:t xml:space="preserve">receives an income tax deduction to the extent the employee recognizes income. </w:t>
      </w:r>
    </w:p>
    <w:p w14:paraId="77BC6BB7" w14:textId="77777777" w:rsidR="00F83D83" w:rsidRPr="002A433D" w:rsidRDefault="00F83D83" w:rsidP="00822DE7">
      <w:pPr>
        <w:numPr>
          <w:ilvl w:val="0"/>
          <w:numId w:val="46"/>
        </w:numPr>
      </w:pPr>
      <w:r w:rsidRPr="002A433D">
        <w:t>Compensation income will be recognized at the exercise date to the extent that the market price exceeds the grant price. The employee is subject to income tax, Social Security tax (potentially), and Medicare tax on the income recognized.</w:t>
      </w:r>
    </w:p>
    <w:tbl>
      <w:tblPr>
        <w:tblW w:w="8760" w:type="dxa"/>
        <w:tblInd w:w="828" w:type="dxa"/>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760"/>
      </w:tblGrid>
      <w:tr w:rsidR="00AC20F7" w:rsidRPr="002A433D" w14:paraId="4D336F36" w14:textId="77777777" w:rsidTr="001F3D42">
        <w:tc>
          <w:tcPr>
            <w:tcW w:w="8760" w:type="dxa"/>
            <w:shd w:val="clear" w:color="auto" w:fill="FFFF99"/>
          </w:tcPr>
          <w:p w14:paraId="127D53C7" w14:textId="77777777" w:rsidR="003704BB" w:rsidRPr="001F3D42" w:rsidRDefault="003704BB" w:rsidP="003704BB">
            <w:pPr>
              <w:rPr>
                <w:b/>
              </w:rPr>
            </w:pPr>
            <w:r w:rsidRPr="001F3D42">
              <w:rPr>
                <w:b/>
              </w:rPr>
              <w:t>Example</w:t>
            </w:r>
          </w:p>
          <w:p w14:paraId="6D03BC5A" w14:textId="77777777" w:rsidR="00B84B43" w:rsidRPr="002A433D" w:rsidRDefault="003704BB" w:rsidP="00830D26">
            <w:r w:rsidRPr="002A433D">
              <w:t>Gertrude was awarded 1,000 NSOs on Acme. The fair market value of Acme stock was $50 per share on the grant date</w:t>
            </w:r>
            <w:r w:rsidR="00B84B43" w:rsidRPr="002A433D">
              <w:t xml:space="preserve"> and the grant price was $50 per share. The NSOs vest in 10</w:t>
            </w:r>
            <w:r w:rsidRPr="002A433D">
              <w:t xml:space="preserve"> years. </w:t>
            </w:r>
          </w:p>
          <w:p w14:paraId="435DB857" w14:textId="77777777" w:rsidR="00B84B43" w:rsidRPr="002A433D" w:rsidRDefault="003704BB" w:rsidP="00822DE7">
            <w:pPr>
              <w:numPr>
                <w:ilvl w:val="0"/>
                <w:numId w:val="45"/>
              </w:numPr>
            </w:pPr>
            <w:r w:rsidRPr="002A433D">
              <w:t xml:space="preserve">Gertrude exercised her options </w:t>
            </w:r>
            <w:r w:rsidR="00290D30" w:rsidRPr="002A433D">
              <w:t xml:space="preserve">3 years after </w:t>
            </w:r>
            <w:r w:rsidR="00624DA4" w:rsidRPr="002A433D">
              <w:t xml:space="preserve">the </w:t>
            </w:r>
            <w:r w:rsidRPr="002A433D">
              <w:t>vesting date when the fair market value of Acme</w:t>
            </w:r>
            <w:r w:rsidR="0088458A" w:rsidRPr="002A433D">
              <w:t xml:space="preserve"> </w:t>
            </w:r>
            <w:r w:rsidR="005B6B2E" w:rsidRPr="002A433D">
              <w:t>was $75</w:t>
            </w:r>
            <w:r w:rsidRPr="002A433D">
              <w:t xml:space="preserve"> per share.  </w:t>
            </w:r>
          </w:p>
          <w:p w14:paraId="7D75ADF4" w14:textId="77777777" w:rsidR="00B84B43" w:rsidRPr="002A433D" w:rsidRDefault="003704BB" w:rsidP="00822DE7">
            <w:pPr>
              <w:numPr>
                <w:ilvl w:val="0"/>
                <w:numId w:val="45"/>
              </w:numPr>
            </w:pPr>
            <w:r w:rsidRPr="002A433D">
              <w:t>She paid $50 for each share an</w:t>
            </w:r>
            <w:r w:rsidR="005B6B2E" w:rsidRPr="002A433D">
              <w:t xml:space="preserve">d received Acme stock worth $75 per share. </w:t>
            </w:r>
            <w:r w:rsidR="00644A2C" w:rsidRPr="002A433D">
              <w:t xml:space="preserve">Her gain was $25 per </w:t>
            </w:r>
            <w:r w:rsidR="00644A2C">
              <w:t>share multiplied by</w:t>
            </w:r>
            <w:r w:rsidR="00644A2C" w:rsidRPr="002A433D">
              <w:t xml:space="preserve"> 1,000 shares for a total gain of $25,000. </w:t>
            </w:r>
            <w:r w:rsidR="00290D30" w:rsidRPr="002A433D">
              <w:t xml:space="preserve">As of the exercise date, </w:t>
            </w:r>
            <w:r w:rsidR="005B6B2E" w:rsidRPr="002A433D">
              <w:t>$25</w:t>
            </w:r>
            <w:r w:rsidRPr="002A433D">
              <w:t xml:space="preserve">,000 is treated as compensation income, not capital gain.  </w:t>
            </w:r>
          </w:p>
          <w:p w14:paraId="269F6D5E" w14:textId="65590CEA" w:rsidR="003704BB" w:rsidRPr="002A433D" w:rsidRDefault="003704BB" w:rsidP="00822DE7">
            <w:pPr>
              <w:numPr>
                <w:ilvl w:val="0"/>
                <w:numId w:val="45"/>
              </w:numPr>
            </w:pPr>
            <w:r w:rsidRPr="002A433D">
              <w:t xml:space="preserve">She will pay </w:t>
            </w:r>
            <w:r w:rsidR="00651D17" w:rsidRPr="002A433D">
              <w:t xml:space="preserve">federal </w:t>
            </w:r>
            <w:r w:rsidR="00F44260" w:rsidRPr="002A433D">
              <w:t xml:space="preserve">ordinary </w:t>
            </w:r>
            <w:r w:rsidR="0088458A" w:rsidRPr="002A433D">
              <w:t xml:space="preserve">income </w:t>
            </w:r>
            <w:r w:rsidR="00651D17" w:rsidRPr="002A433D">
              <w:t xml:space="preserve">as high as 39.6% in </w:t>
            </w:r>
            <w:r w:rsidR="002D2503">
              <w:t>2016</w:t>
            </w:r>
            <w:r w:rsidR="00651D17" w:rsidRPr="002A433D">
              <w:t xml:space="preserve"> plus state income tax, plus (potentially) Social Security plus basic Medicare</w:t>
            </w:r>
            <w:r w:rsidR="00830D26" w:rsidRPr="002A433D">
              <w:t>.</w:t>
            </w:r>
            <w:r w:rsidR="00651D17" w:rsidRPr="002A433D">
              <w:t xml:space="preserve"> The combined tax rate could easily exceed 50%!</w:t>
            </w:r>
          </w:p>
        </w:tc>
      </w:tr>
    </w:tbl>
    <w:p w14:paraId="493E5012" w14:textId="77777777" w:rsidR="00AC20F7" w:rsidRPr="002A433D" w:rsidRDefault="00B46FD4" w:rsidP="001F3D42">
      <w:r w:rsidRPr="002A433D">
        <w:t>Incentive Stock Options</w:t>
      </w:r>
      <w:r w:rsidR="006B5582" w:rsidRPr="002A433D">
        <w:t xml:space="preserve"> (ISOs)</w:t>
      </w:r>
      <w:r w:rsidR="00AC20F7" w:rsidRPr="002A433D">
        <w:t xml:space="preserve"> offer the </w:t>
      </w:r>
      <w:r w:rsidR="00615C7F" w:rsidRPr="002A433D">
        <w:t xml:space="preserve">potential for </w:t>
      </w:r>
      <w:r w:rsidR="00D063CC" w:rsidRPr="002A433D">
        <w:t>long-term</w:t>
      </w:r>
      <w:r w:rsidR="00A96C62" w:rsidRPr="002A433D">
        <w:t xml:space="preserve"> capi</w:t>
      </w:r>
      <w:r w:rsidR="00E33A7C" w:rsidRPr="002A433D">
        <w:t xml:space="preserve">tal gains </w:t>
      </w:r>
      <w:r w:rsidR="00AC20F7" w:rsidRPr="002A433D">
        <w:t xml:space="preserve">treatment </w:t>
      </w:r>
      <w:r w:rsidR="00E33A7C" w:rsidRPr="002A433D">
        <w:t xml:space="preserve">as opposed to </w:t>
      </w:r>
      <w:r w:rsidR="00A96C62" w:rsidRPr="002A433D">
        <w:t>compensation income</w:t>
      </w:r>
      <w:r w:rsidR="00B8445F" w:rsidRPr="002A433D">
        <w:t>.</w:t>
      </w:r>
      <w:r w:rsidR="00D34478" w:rsidRPr="002A433D">
        <w:t xml:space="preserve"> ISOs tend to be awarded to executives rather than rank-and-file employees.</w:t>
      </w:r>
    </w:p>
    <w:p w14:paraId="76929A21" w14:textId="4B3A0C0C" w:rsidR="0097115D" w:rsidRPr="002A433D" w:rsidRDefault="00615C7F" w:rsidP="00822DE7">
      <w:pPr>
        <w:numPr>
          <w:ilvl w:val="0"/>
          <w:numId w:val="47"/>
        </w:numPr>
      </w:pPr>
      <w:r w:rsidRPr="002A433D">
        <w:lastRenderedPageBreak/>
        <w:t>ISOs provide the optimum income tax result when your</w:t>
      </w:r>
      <w:r w:rsidR="00B84B43" w:rsidRPr="002A433D">
        <w:t xml:space="preserve"> client is not subject to the </w:t>
      </w:r>
      <w:r w:rsidR="000F074E" w:rsidRPr="001F3D42">
        <w:rPr>
          <w:rStyle w:val="Hyperlink"/>
        </w:rPr>
        <w:t>Alternative Minimum Tax</w:t>
      </w:r>
      <w:r w:rsidR="000F074E" w:rsidRPr="002A433D">
        <w:t>.</w:t>
      </w:r>
      <w:r w:rsidR="00B84B43" w:rsidRPr="002A433D">
        <w:t xml:space="preserve"> While a detailed review of the AMT is beyond </w:t>
      </w:r>
      <w:r w:rsidR="000F074E">
        <w:t xml:space="preserve">the </w:t>
      </w:r>
      <w:r w:rsidR="00B84B43" w:rsidRPr="002A433D">
        <w:t xml:space="preserve">scope </w:t>
      </w:r>
      <w:r w:rsidR="000F074E">
        <w:t>of</w:t>
      </w:r>
      <w:r w:rsidR="00B84B43" w:rsidRPr="002A433D">
        <w:t xml:space="preserve"> this training, please be aware of this issue. The client’s </w:t>
      </w:r>
      <w:r w:rsidR="000F49F8" w:rsidRPr="002A433D">
        <w:t xml:space="preserve">CPA or other tax professional </w:t>
      </w:r>
      <w:r w:rsidR="00B84B43" w:rsidRPr="002A433D">
        <w:t>should be consulted before the exercise of ISOs!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748"/>
      </w:tblGrid>
      <w:tr w:rsidR="0097115D" w:rsidRPr="002A433D" w14:paraId="3E37AB7D" w14:textId="77777777" w:rsidTr="001F3D42">
        <w:tc>
          <w:tcPr>
            <w:tcW w:w="8748" w:type="dxa"/>
            <w:shd w:val="clear" w:color="auto" w:fill="D9D9D9"/>
          </w:tcPr>
          <w:p w14:paraId="712FCACA" w14:textId="77777777" w:rsidR="0097115D" w:rsidRPr="000F074E" w:rsidRDefault="0097115D" w:rsidP="00DC730A">
            <w:pPr>
              <w:rPr>
                <w:rStyle w:val="Hyperlink"/>
                <w:u w:val="none"/>
              </w:rPr>
            </w:pPr>
            <w:r w:rsidRPr="000F074E">
              <w:rPr>
                <w:rStyle w:val="Hyperlink"/>
                <w:u w:val="none"/>
              </w:rPr>
              <w:t>Alternative Minimum Tax (AMT)</w:t>
            </w:r>
          </w:p>
          <w:p w14:paraId="51838950" w14:textId="0CED1682" w:rsidR="0097115D" w:rsidRPr="002A433D" w:rsidRDefault="0097115D" w:rsidP="00AC20F7">
            <w:pPr>
              <w:rPr>
                <w:color w:val="000000"/>
              </w:rPr>
            </w:pPr>
            <w:r w:rsidRPr="002A433D">
              <w:rPr>
                <w:color w:val="000000"/>
              </w:rPr>
              <w:t>The AMT system is designed to ensure all taxpayers pay at least a minimum percentage of income tax. One of the ways the AMT accomplishes this goal is by disallowing certain income exclusions for AMT purposes</w:t>
            </w:r>
            <w:r w:rsidR="000F074E">
              <w:rPr>
                <w:color w:val="000000"/>
              </w:rPr>
              <w:t>,</w:t>
            </w:r>
            <w:r w:rsidRPr="002A433D">
              <w:rPr>
                <w:color w:val="000000"/>
              </w:rPr>
              <w:t xml:space="preserve"> such as the exclusion of gain on exercise of ISOs. The AMT, when it ap</w:t>
            </w:r>
            <w:r w:rsidR="00AC20F7" w:rsidRPr="002A433D">
              <w:rPr>
                <w:color w:val="000000"/>
              </w:rPr>
              <w:t xml:space="preserve">plies, is paid in addition to the </w:t>
            </w:r>
            <w:r w:rsidRPr="002A433D">
              <w:rPr>
                <w:color w:val="000000"/>
              </w:rPr>
              <w:t>taxpayer’s regular income tax amount.</w:t>
            </w:r>
          </w:p>
        </w:tc>
      </w:tr>
    </w:tbl>
    <w:p w14:paraId="78BAA3B0" w14:textId="77777777" w:rsidR="007338E0" w:rsidRPr="002A433D" w:rsidRDefault="003704BB" w:rsidP="00822DE7">
      <w:pPr>
        <w:numPr>
          <w:ilvl w:val="0"/>
          <w:numId w:val="47"/>
        </w:numPr>
      </w:pPr>
      <w:r w:rsidRPr="002A433D">
        <w:t xml:space="preserve">An ISO must be issued at or above fair market value on the date of the grant. </w:t>
      </w:r>
      <w:r w:rsidR="007338E0" w:rsidRPr="002A433D">
        <w:t xml:space="preserve">No more than $100,000 of ISOs can vest per person per year; any amount beyond $100,000 becomes NSOs. The term of the option may not exceed 10 years and the employer’s Board of Directors must authorize the ISO. </w:t>
      </w:r>
    </w:p>
    <w:p w14:paraId="2B268981" w14:textId="77777777" w:rsidR="007338E0" w:rsidRPr="002A433D" w:rsidRDefault="00D34478" w:rsidP="00822DE7">
      <w:pPr>
        <w:numPr>
          <w:ilvl w:val="0"/>
          <w:numId w:val="47"/>
        </w:numPr>
      </w:pPr>
      <w:r w:rsidRPr="002A433D">
        <w:t xml:space="preserve">Here’s a costly yet all too common mistake to avoid. </w:t>
      </w:r>
      <w:r w:rsidR="007338E0" w:rsidRPr="002A433D">
        <w:t xml:space="preserve">The executive must remain an employee from the date of grant to within 90 days of the exercise date. </w:t>
      </w:r>
      <w:r w:rsidR="001C1D8A" w:rsidRPr="002A433D">
        <w:t xml:space="preserve">Violation of this rule causes the options to be treated as NSOs. </w:t>
      </w:r>
    </w:p>
    <w:p w14:paraId="0075E95E" w14:textId="77777777" w:rsidR="00830D26" w:rsidRPr="002A433D" w:rsidRDefault="007D6CDE" w:rsidP="00822DE7">
      <w:pPr>
        <w:numPr>
          <w:ilvl w:val="0"/>
          <w:numId w:val="47"/>
        </w:numPr>
      </w:pPr>
      <w:r w:rsidRPr="002A433D">
        <w:t>The employer receives no income tax deduction at any time in connection with ISOs.</w:t>
      </w:r>
    </w:p>
    <w:p w14:paraId="468663E9" w14:textId="77777777" w:rsidR="00E33A7C" w:rsidRPr="002A433D" w:rsidRDefault="00E33A7C" w:rsidP="00822DE7">
      <w:pPr>
        <w:numPr>
          <w:ilvl w:val="0"/>
          <w:numId w:val="47"/>
        </w:numPr>
      </w:pPr>
      <w:r w:rsidRPr="002A433D">
        <w:t xml:space="preserve">No income </w:t>
      </w:r>
      <w:r w:rsidR="00AC20F7" w:rsidRPr="002A433D">
        <w:t xml:space="preserve">to the employee </w:t>
      </w:r>
      <w:r w:rsidRPr="002A433D">
        <w:t>is recognized for regular income tax purposes at the grant date or the exercise date. Only when the shares are sold will gains be subject to tax</w:t>
      </w:r>
      <w:r w:rsidR="00AC20F7" w:rsidRPr="002A433D">
        <w:t>ation</w:t>
      </w:r>
      <w:r w:rsidRPr="002A433D">
        <w:t xml:space="preserve">. The gains are taxed as long-term capital gains if certain </w:t>
      </w:r>
      <w:r w:rsidRPr="002A433D">
        <w:rPr>
          <w:rStyle w:val="Hyperlink"/>
          <w:b w:val="0"/>
          <w:color w:val="auto"/>
          <w:u w:val="none"/>
        </w:rPr>
        <w:t>holding period requirements</w:t>
      </w:r>
      <w:r w:rsidRPr="002A433D">
        <w:t xml:space="preserve"> are met. </w:t>
      </w:r>
    </w:p>
    <w:tbl>
      <w:tblPr>
        <w:tblW w:w="0" w:type="auto"/>
        <w:tblInd w:w="828" w:type="dxa"/>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748"/>
      </w:tblGrid>
      <w:tr w:rsidR="00830D26" w14:paraId="777F373D" w14:textId="77777777" w:rsidTr="001F3D42">
        <w:trPr>
          <w:trHeight w:val="3509"/>
        </w:trPr>
        <w:tc>
          <w:tcPr>
            <w:tcW w:w="8748" w:type="dxa"/>
            <w:shd w:val="clear" w:color="auto" w:fill="FFFF99"/>
          </w:tcPr>
          <w:p w14:paraId="2CB3B44B" w14:textId="77777777" w:rsidR="00830D26" w:rsidRPr="001F3D42" w:rsidRDefault="00830D26" w:rsidP="00830D26">
            <w:pPr>
              <w:rPr>
                <w:b/>
              </w:rPr>
            </w:pPr>
            <w:r w:rsidRPr="001F3D42">
              <w:rPr>
                <w:b/>
              </w:rPr>
              <w:t>Example</w:t>
            </w:r>
          </w:p>
          <w:p w14:paraId="05186D9A" w14:textId="77777777" w:rsidR="00830D26" w:rsidRPr="002A433D" w:rsidRDefault="00E842D2" w:rsidP="00830D26">
            <w:r w:rsidRPr="002A433D">
              <w:t>Hamlet was awarded 1,000 ISOs of</w:t>
            </w:r>
            <w:r w:rsidR="00830D26" w:rsidRPr="002A433D">
              <w:t xml:space="preserve"> Acme</w:t>
            </w:r>
            <w:r w:rsidRPr="002A433D">
              <w:t xml:space="preserve"> stock</w:t>
            </w:r>
            <w:r w:rsidR="00830D26" w:rsidRPr="002A433D">
              <w:t>. The fair market value of Acme stock was $50 per share on the grant date and the gran</w:t>
            </w:r>
            <w:r w:rsidRPr="002A433D">
              <w:t>t price was $50 per share. The I</w:t>
            </w:r>
            <w:r w:rsidR="00830D26" w:rsidRPr="002A433D">
              <w:t xml:space="preserve">SOs vest in 10 years. </w:t>
            </w:r>
          </w:p>
          <w:p w14:paraId="153163F2" w14:textId="143DD8D4" w:rsidR="00830D26" w:rsidRPr="002A433D" w:rsidRDefault="00830D26" w:rsidP="00822DE7">
            <w:pPr>
              <w:numPr>
                <w:ilvl w:val="0"/>
                <w:numId w:val="45"/>
              </w:numPr>
            </w:pPr>
            <w:r w:rsidRPr="002A433D">
              <w:t xml:space="preserve">Hamlet exercised his options on the vesting date when </w:t>
            </w:r>
            <w:r w:rsidR="00E33A7C" w:rsidRPr="002A433D">
              <w:t xml:space="preserve">the fair market value of Acme </w:t>
            </w:r>
            <w:r w:rsidRPr="002A433D">
              <w:t xml:space="preserve">was $75 per share. He was not subject to the </w:t>
            </w:r>
            <w:r w:rsidR="000F074E" w:rsidRPr="002A433D">
              <w:t>Alternative Minimum Tax.</w:t>
            </w:r>
          </w:p>
          <w:p w14:paraId="22D3FAD4" w14:textId="77777777" w:rsidR="00830D26" w:rsidRPr="002A433D" w:rsidRDefault="00830D26" w:rsidP="00822DE7">
            <w:pPr>
              <w:numPr>
                <w:ilvl w:val="0"/>
                <w:numId w:val="45"/>
              </w:numPr>
            </w:pPr>
            <w:r w:rsidRPr="002A433D">
              <w:t xml:space="preserve">He paid $50 for each share and received Acme stock worth $75 per share. </w:t>
            </w:r>
            <w:r w:rsidR="00644A2C">
              <w:t>His gain was $25 per share multiplied by</w:t>
            </w:r>
            <w:r w:rsidR="00644A2C" w:rsidRPr="002A433D">
              <w:t xml:space="preserve"> 1,000 shares for a total gain of $25,000. </w:t>
            </w:r>
            <w:r w:rsidR="00E33A7C" w:rsidRPr="002A433D">
              <w:t>The gain is not taxed at the exercise date.</w:t>
            </w:r>
          </w:p>
          <w:p w14:paraId="394A6E88" w14:textId="77777777" w:rsidR="00830D26" w:rsidRPr="002A433D" w:rsidRDefault="00E33A7C" w:rsidP="00822DE7">
            <w:pPr>
              <w:numPr>
                <w:ilvl w:val="0"/>
                <w:numId w:val="45"/>
              </w:numPr>
            </w:pPr>
            <w:r w:rsidRPr="002A433D">
              <w:t>He may defer recognition of the gain until he sells the shares. He</w:t>
            </w:r>
            <w:r w:rsidR="00830D26" w:rsidRPr="002A433D">
              <w:t xml:space="preserve"> will pay </w:t>
            </w:r>
            <w:r w:rsidR="00D063CC" w:rsidRPr="002A433D">
              <w:t>long-term</w:t>
            </w:r>
            <w:r w:rsidR="00830D26" w:rsidRPr="002A433D">
              <w:t xml:space="preserve"> capital gains </w:t>
            </w:r>
            <w:r w:rsidR="00E01A64" w:rsidRPr="002A433D">
              <w:t xml:space="preserve">tax </w:t>
            </w:r>
            <w:r w:rsidRPr="002A433D">
              <w:t>on the gain in the year of sale</w:t>
            </w:r>
            <w:r w:rsidR="00830D26" w:rsidRPr="002A433D">
              <w:t xml:space="preserve">. </w:t>
            </w:r>
          </w:p>
        </w:tc>
      </w:tr>
    </w:tbl>
    <w:p w14:paraId="66770536" w14:textId="77777777" w:rsidR="00AC20F7" w:rsidRDefault="00AC20F7" w:rsidP="004344CA">
      <w:pPr>
        <w:pStyle w:val="Heading2"/>
      </w:pPr>
    </w:p>
    <w:p w14:paraId="7F0FD1BD" w14:textId="77777777" w:rsidR="001E3811" w:rsidRDefault="008D388D" w:rsidP="00FF03E8">
      <w:pPr>
        <w:pStyle w:val="Heading2"/>
      </w:pPr>
      <w:r>
        <w:br w:type="page"/>
      </w:r>
      <w:bookmarkStart w:id="3" w:name="_Toc137203689"/>
      <w:bookmarkStart w:id="4" w:name="_Toc137203778"/>
      <w:bookmarkStart w:id="5" w:name="_Toc137203854"/>
      <w:bookmarkStart w:id="6" w:name="_Toc137203932"/>
      <w:bookmarkStart w:id="7" w:name="_Toc137204012"/>
      <w:r w:rsidR="001E3811" w:rsidRPr="00096AB1">
        <w:lastRenderedPageBreak/>
        <w:t>Review Exercise</w:t>
      </w:r>
    </w:p>
    <w:p w14:paraId="1CEE39CC" w14:textId="77777777" w:rsidR="00BE6B04" w:rsidRPr="00BE6B04" w:rsidRDefault="00BE6B04" w:rsidP="00BE6B04">
      <w:r w:rsidRPr="001758AF">
        <w:rPr>
          <w:b/>
          <w:color w:val="FF0000"/>
        </w:rPr>
        <w:t>Select the correct answ</w:t>
      </w:r>
      <w:r>
        <w:rPr>
          <w:b/>
          <w:color w:val="FF0000"/>
        </w:rPr>
        <w:t>er for the following questions.</w:t>
      </w:r>
    </w:p>
    <w:p w14:paraId="7A2BFD94" w14:textId="77777777" w:rsidR="001E3811" w:rsidRPr="00BE6B04" w:rsidRDefault="00C3183A" w:rsidP="00822DE7">
      <w:pPr>
        <w:numPr>
          <w:ilvl w:val="0"/>
          <w:numId w:val="37"/>
        </w:numPr>
        <w:ind w:left="360"/>
        <w:rPr>
          <w:b/>
        </w:rPr>
      </w:pPr>
      <w:r w:rsidRPr="00BE6B04">
        <w:rPr>
          <w:b/>
        </w:rPr>
        <w:t>For-profit corporations may implement 403(b) Arrangements</w:t>
      </w:r>
      <w:r w:rsidR="001E3811" w:rsidRPr="00BE6B04">
        <w:rPr>
          <w:b/>
        </w:rPr>
        <w:t xml:space="preserve">. </w:t>
      </w:r>
    </w:p>
    <w:p w14:paraId="04AC18FF" w14:textId="77777777" w:rsidR="001E3811" w:rsidRPr="00F35B1C" w:rsidRDefault="001E3811" w:rsidP="00822DE7">
      <w:pPr>
        <w:numPr>
          <w:ilvl w:val="0"/>
          <w:numId w:val="38"/>
        </w:numPr>
      </w:pPr>
      <w:r w:rsidRPr="00F35B1C">
        <w:t>True</w:t>
      </w:r>
    </w:p>
    <w:p w14:paraId="5947966C" w14:textId="77777777" w:rsidR="001E3811" w:rsidRPr="00F35B1C" w:rsidRDefault="001E3811" w:rsidP="001E3811">
      <w:pPr>
        <w:pStyle w:val="ReviewAnswer"/>
      </w:pPr>
      <w:r w:rsidRPr="00F35B1C">
        <w:rPr>
          <w:rStyle w:val="Strong"/>
        </w:rPr>
        <w:t>Incorrect</w:t>
      </w:r>
      <w:r w:rsidRPr="00F35B1C">
        <w:t>. Similar to 401(k) Plans in features, 403(b) Arrangements are only permitted for tax-exempt religious, charitable, or educational organizations.</w:t>
      </w:r>
    </w:p>
    <w:p w14:paraId="2A629862" w14:textId="77777777" w:rsidR="001E3811" w:rsidRPr="001E3811" w:rsidRDefault="001E3811" w:rsidP="00822DE7">
      <w:pPr>
        <w:numPr>
          <w:ilvl w:val="0"/>
          <w:numId w:val="38"/>
        </w:numPr>
        <w:rPr>
          <w:rStyle w:val="Strong"/>
        </w:rPr>
      </w:pPr>
      <w:r w:rsidRPr="001E3811">
        <w:rPr>
          <w:rStyle w:val="Strong"/>
        </w:rPr>
        <w:t>False</w:t>
      </w:r>
    </w:p>
    <w:p w14:paraId="237CB7B4" w14:textId="0DF5B19B" w:rsidR="001E3811" w:rsidRPr="00F35B1C" w:rsidRDefault="001E3811" w:rsidP="001E3811">
      <w:pPr>
        <w:pStyle w:val="ReviewAnswer"/>
      </w:pPr>
      <w:r w:rsidRPr="00F35B1C">
        <w:rPr>
          <w:rStyle w:val="Strong"/>
        </w:rPr>
        <w:t>Correct</w:t>
      </w:r>
      <w:r w:rsidRPr="00F35B1C">
        <w:t>. Similar to 401(k) Plans in fe</w:t>
      </w:r>
      <w:r w:rsidR="009925A1">
        <w:t>atures, 403(b) A</w:t>
      </w:r>
      <w:r w:rsidRPr="00F35B1C">
        <w:t>rrangements are only permitted for tax-exempt religious, charitable, or educational organizations.</w:t>
      </w:r>
    </w:p>
    <w:p w14:paraId="02A02E8A" w14:textId="24514BF2" w:rsidR="001E3811" w:rsidRPr="00BE6B04" w:rsidRDefault="001E3811" w:rsidP="00822DE7">
      <w:pPr>
        <w:numPr>
          <w:ilvl w:val="0"/>
          <w:numId w:val="37"/>
        </w:numPr>
        <w:ind w:left="360"/>
        <w:rPr>
          <w:b/>
          <w:bCs/>
        </w:rPr>
      </w:pPr>
      <w:r w:rsidRPr="00BE6B04">
        <w:rPr>
          <w:b/>
          <w:bCs/>
        </w:rPr>
        <w:t>Sarah, age 35, has come to you with a question. She works for the water authority, which is a government agency.  Her municipality has set up</w:t>
      </w:r>
      <w:r w:rsidR="009925A1">
        <w:rPr>
          <w:b/>
          <w:bCs/>
        </w:rPr>
        <w:t xml:space="preserve"> a Public 457(b) P</w:t>
      </w:r>
      <w:r w:rsidRPr="00BE6B04">
        <w:rPr>
          <w:b/>
          <w:bCs/>
        </w:rPr>
        <w:t>lan for all its employees and Sarah is eager to participate.  Her only problem is that sh</w:t>
      </w:r>
      <w:r w:rsidR="009925A1">
        <w:rPr>
          <w:b/>
          <w:bCs/>
        </w:rPr>
        <w:t>e also contributes to a 401(k) P</w:t>
      </w:r>
      <w:r w:rsidRPr="00BE6B04">
        <w:rPr>
          <w:b/>
          <w:bCs/>
        </w:rPr>
        <w:t>lan and plans on contributing the maximum amount to it this year ($</w:t>
      </w:r>
      <w:r w:rsidR="00975A2D">
        <w:rPr>
          <w:b/>
          <w:bCs/>
        </w:rPr>
        <w:t>18,000</w:t>
      </w:r>
      <w:r w:rsidR="00A04430">
        <w:rPr>
          <w:b/>
          <w:bCs/>
        </w:rPr>
        <w:t xml:space="preserve"> in </w:t>
      </w:r>
      <w:r w:rsidR="002D2503">
        <w:rPr>
          <w:b/>
          <w:bCs/>
        </w:rPr>
        <w:t>2016</w:t>
      </w:r>
      <w:r w:rsidRPr="00BE6B04">
        <w:rPr>
          <w:b/>
          <w:bCs/>
        </w:rPr>
        <w:t>). She’d like to make contributions to the Public 457(b) this year as well, but doesn’t want to incur penalties on her 401(k).  What can she do?</w:t>
      </w:r>
    </w:p>
    <w:p w14:paraId="562615CF" w14:textId="77777777" w:rsidR="001E3811" w:rsidRPr="00496140" w:rsidRDefault="001E3811" w:rsidP="00822DE7">
      <w:pPr>
        <w:numPr>
          <w:ilvl w:val="0"/>
          <w:numId w:val="38"/>
        </w:numPr>
      </w:pPr>
      <w:r w:rsidRPr="00496140">
        <w:t>To avoid going over the maximum contribution limit, Sarah needs to either reduce her contributions to her 401(k) or not participate in the 457(b) this year.</w:t>
      </w:r>
    </w:p>
    <w:p w14:paraId="0E1F9074" w14:textId="7B8C30A4" w:rsidR="001E3811" w:rsidRPr="00496140" w:rsidRDefault="001E3811" w:rsidP="001E3811">
      <w:pPr>
        <w:pStyle w:val="ReviewAnswer"/>
      </w:pPr>
      <w:r w:rsidRPr="007B7C72">
        <w:rPr>
          <w:rStyle w:val="Strong"/>
        </w:rPr>
        <w:t>Incorrect</w:t>
      </w:r>
      <w:r w:rsidR="009925A1">
        <w:t xml:space="preserve">. </w:t>
      </w:r>
      <w:r w:rsidRPr="00496140">
        <w:t>Try again.</w:t>
      </w:r>
    </w:p>
    <w:p w14:paraId="6BF56BFC" w14:textId="46A583D2" w:rsidR="001E3811" w:rsidRPr="00496140" w:rsidRDefault="001E3811" w:rsidP="00822DE7">
      <w:pPr>
        <w:numPr>
          <w:ilvl w:val="0"/>
          <w:numId w:val="38"/>
        </w:numPr>
      </w:pPr>
      <w:r w:rsidRPr="00496140">
        <w:t>Sarah</w:t>
      </w:r>
      <w:r w:rsidR="009925A1">
        <w:t xml:space="preserve"> can participate in the 457(b) P</w:t>
      </w:r>
      <w:r w:rsidRPr="00496140">
        <w:t>lan as long as she pays taxes on her contributions.</w:t>
      </w:r>
    </w:p>
    <w:p w14:paraId="413C8514" w14:textId="10AABD70" w:rsidR="001E3811" w:rsidRPr="00496140" w:rsidRDefault="001E3811" w:rsidP="001E3811">
      <w:pPr>
        <w:pStyle w:val="ReviewAnswer"/>
      </w:pPr>
      <w:r w:rsidRPr="007B7C72">
        <w:rPr>
          <w:rStyle w:val="Strong"/>
        </w:rPr>
        <w:t>Incorrect</w:t>
      </w:r>
      <w:r w:rsidR="009925A1">
        <w:t xml:space="preserve">. </w:t>
      </w:r>
      <w:r w:rsidRPr="00496140">
        <w:t>Try again.</w:t>
      </w:r>
    </w:p>
    <w:p w14:paraId="49CA24B6" w14:textId="77777777" w:rsidR="001E3811" w:rsidRPr="001E3811" w:rsidRDefault="001E3811" w:rsidP="00822DE7">
      <w:pPr>
        <w:numPr>
          <w:ilvl w:val="0"/>
          <w:numId w:val="38"/>
        </w:numPr>
        <w:rPr>
          <w:rStyle w:val="Strong"/>
        </w:rPr>
      </w:pPr>
      <w:r w:rsidRPr="001E3811">
        <w:rPr>
          <w:rStyle w:val="Strong"/>
        </w:rPr>
        <w:t>Sarah can contribute the maximum to both without penalty.</w:t>
      </w:r>
    </w:p>
    <w:p w14:paraId="6AEF28CA" w14:textId="5DDB3BB5" w:rsidR="001E3811" w:rsidRPr="00496140" w:rsidRDefault="001E3811" w:rsidP="001E3811">
      <w:pPr>
        <w:pStyle w:val="ReviewAnswer"/>
      </w:pPr>
      <w:r w:rsidRPr="007B7C72">
        <w:rPr>
          <w:rStyle w:val="Strong"/>
        </w:rPr>
        <w:t>Correct</w:t>
      </w:r>
      <w:r w:rsidRPr="00496140">
        <w:t>.  Sarah can contribute the maximum to both plans</w:t>
      </w:r>
      <w:r w:rsidR="0073472F">
        <w:t xml:space="preserve"> ($</w:t>
      </w:r>
      <w:r w:rsidR="00975A2D">
        <w:t>18,000</w:t>
      </w:r>
      <w:r w:rsidR="0073472F">
        <w:t xml:space="preserve"> each in </w:t>
      </w:r>
      <w:r w:rsidR="002D2503">
        <w:t>2016</w:t>
      </w:r>
      <w:r w:rsidR="00182D9A">
        <w:t>,</w:t>
      </w:r>
      <w:r w:rsidR="0073472F">
        <w:t xml:space="preserve"> as indexed)</w:t>
      </w:r>
      <w:r w:rsidRPr="00496140">
        <w:t xml:space="preserve"> because cont</w:t>
      </w:r>
      <w:r w:rsidR="009925A1">
        <w:t>ributions to the Public 457(b) P</w:t>
      </w:r>
      <w:r w:rsidRPr="00496140">
        <w:t>lan will NOT affect her co</w:t>
      </w:r>
      <w:r w:rsidR="009925A1">
        <w:t>ntribution limit to her 401(k) P</w:t>
      </w:r>
      <w:r w:rsidRPr="00496140">
        <w:t>lan.</w:t>
      </w:r>
    </w:p>
    <w:p w14:paraId="73FCC2F1" w14:textId="77777777" w:rsidR="001E3811" w:rsidRPr="00496140" w:rsidRDefault="001E3811" w:rsidP="00822DE7">
      <w:pPr>
        <w:numPr>
          <w:ilvl w:val="0"/>
          <w:numId w:val="38"/>
        </w:numPr>
      </w:pPr>
      <w:r w:rsidRPr="00496140">
        <w:t>Sarah is not allowed to participate in a 457(b) if she already makes contributions to a 401(k).</w:t>
      </w:r>
    </w:p>
    <w:p w14:paraId="42CF979A" w14:textId="1FA2D37B" w:rsidR="001E3811" w:rsidRDefault="001E3811" w:rsidP="001E3811">
      <w:pPr>
        <w:pStyle w:val="ReviewAnswer"/>
      </w:pPr>
      <w:r w:rsidRPr="007B7C72">
        <w:rPr>
          <w:rStyle w:val="Strong"/>
        </w:rPr>
        <w:t>Incorrect</w:t>
      </w:r>
      <w:r w:rsidR="009925A1">
        <w:t xml:space="preserve">. </w:t>
      </w:r>
      <w:r w:rsidRPr="00496140">
        <w:t>Try again.</w:t>
      </w:r>
    </w:p>
    <w:p w14:paraId="30F7D91F" w14:textId="77777777" w:rsidR="00104506" w:rsidRPr="00326EC3" w:rsidRDefault="00104506" w:rsidP="00822DE7">
      <w:pPr>
        <w:numPr>
          <w:ilvl w:val="0"/>
          <w:numId w:val="37"/>
        </w:numPr>
        <w:rPr>
          <w:b/>
        </w:rPr>
      </w:pPr>
      <w:r w:rsidRPr="00326EC3">
        <w:rPr>
          <w:b/>
        </w:rPr>
        <w:t xml:space="preserve">Your client Mary was granted ISOs by her employer exactly 9 years ago. </w:t>
      </w:r>
      <w:r w:rsidR="005E58C3" w:rsidRPr="00326EC3">
        <w:rPr>
          <w:b/>
        </w:rPr>
        <w:t xml:space="preserve">On the grant date, the fair market value of the stock was $100 per share and the grant price was $100 per share. She plans to retire in exactly one year. </w:t>
      </w:r>
      <w:r w:rsidRPr="00326EC3">
        <w:rPr>
          <w:b/>
        </w:rPr>
        <w:t xml:space="preserve">The ISOs vest </w:t>
      </w:r>
      <w:r w:rsidR="005E58C3" w:rsidRPr="00326EC3">
        <w:rPr>
          <w:b/>
        </w:rPr>
        <w:t>in exactly one year. Her employer</w:t>
      </w:r>
      <w:r w:rsidRPr="00326EC3">
        <w:rPr>
          <w:b/>
        </w:rPr>
        <w:t>’s stock has a current fair market value of $250 per share</w:t>
      </w:r>
      <w:r w:rsidR="005E58C3" w:rsidRPr="00326EC3">
        <w:rPr>
          <w:b/>
        </w:rPr>
        <w:t>.</w:t>
      </w:r>
      <w:r w:rsidRPr="00326EC3">
        <w:rPr>
          <w:b/>
        </w:rPr>
        <w:t xml:space="preserve"> Which of the following </w:t>
      </w:r>
      <w:r w:rsidR="005606C5" w:rsidRPr="00326EC3">
        <w:rPr>
          <w:b/>
        </w:rPr>
        <w:t>should</w:t>
      </w:r>
      <w:r w:rsidR="00F965B4" w:rsidRPr="00326EC3">
        <w:rPr>
          <w:b/>
        </w:rPr>
        <w:t xml:space="preserve"> not be a factor in Mary’s decision to exercise the ISOs?</w:t>
      </w:r>
    </w:p>
    <w:p w14:paraId="2F513C80" w14:textId="77777777" w:rsidR="00104506" w:rsidRPr="00326EC3" w:rsidRDefault="00104506" w:rsidP="00822DE7">
      <w:pPr>
        <w:numPr>
          <w:ilvl w:val="0"/>
          <w:numId w:val="35"/>
        </w:numPr>
      </w:pPr>
      <w:r w:rsidRPr="00326EC3">
        <w:t>Consult her CPA to determine any alternative minimum tax liability before exercising the ISOs</w:t>
      </w:r>
    </w:p>
    <w:p w14:paraId="5A8AC3DA" w14:textId="641BBDFD" w:rsidR="00F965B4" w:rsidRPr="00326EC3" w:rsidRDefault="00F965B4" w:rsidP="001F3D42">
      <w:pPr>
        <w:pStyle w:val="ReviewAnswer"/>
        <w:ind w:left="720" w:firstLine="720"/>
      </w:pPr>
      <w:r w:rsidRPr="00326EC3">
        <w:rPr>
          <w:rStyle w:val="Strong"/>
        </w:rPr>
        <w:t>Incorrect</w:t>
      </w:r>
      <w:r w:rsidR="009925A1">
        <w:t xml:space="preserve">. </w:t>
      </w:r>
      <w:r w:rsidRPr="00326EC3">
        <w:t>Try again.</w:t>
      </w:r>
    </w:p>
    <w:p w14:paraId="18887BBB" w14:textId="77777777" w:rsidR="00F965B4" w:rsidRPr="00326EC3" w:rsidRDefault="00104506" w:rsidP="00822DE7">
      <w:pPr>
        <w:numPr>
          <w:ilvl w:val="0"/>
          <w:numId w:val="35"/>
        </w:numPr>
      </w:pPr>
      <w:r w:rsidRPr="00326EC3">
        <w:t>Remember that she must exercise the ISOs at least 90 days before she retires to obtain ISO income tax treatment</w:t>
      </w:r>
    </w:p>
    <w:p w14:paraId="46FF803D" w14:textId="6EDF3481" w:rsidR="00F965B4" w:rsidRPr="00326EC3" w:rsidRDefault="00F965B4" w:rsidP="001F3D42">
      <w:pPr>
        <w:ind w:left="720" w:firstLine="720"/>
      </w:pPr>
      <w:r w:rsidRPr="00326EC3">
        <w:rPr>
          <w:rStyle w:val="Strong"/>
        </w:rPr>
        <w:t>Incorrect</w:t>
      </w:r>
      <w:r w:rsidR="009925A1">
        <w:t xml:space="preserve">. </w:t>
      </w:r>
      <w:r w:rsidRPr="00326EC3">
        <w:t>Try again.</w:t>
      </w:r>
    </w:p>
    <w:p w14:paraId="52E76CB1" w14:textId="77777777" w:rsidR="00104506" w:rsidRPr="00326EC3" w:rsidRDefault="00104506" w:rsidP="00822DE7">
      <w:pPr>
        <w:numPr>
          <w:ilvl w:val="0"/>
          <w:numId w:val="35"/>
        </w:numPr>
      </w:pPr>
      <w:r w:rsidRPr="00326EC3">
        <w:lastRenderedPageBreak/>
        <w:t>Assuming she exercises the ISOs, decide whether to sell the shares immediately after exercise or continue to hold the shares to defer long term capital gains taxes</w:t>
      </w:r>
    </w:p>
    <w:p w14:paraId="1341958D" w14:textId="483F41E6" w:rsidR="00F965B4" w:rsidRPr="00326EC3" w:rsidRDefault="00F965B4" w:rsidP="001F3D42">
      <w:pPr>
        <w:pStyle w:val="ReviewAnswer"/>
        <w:ind w:left="720" w:firstLine="720"/>
      </w:pPr>
      <w:r w:rsidRPr="00326EC3">
        <w:rPr>
          <w:rStyle w:val="Strong"/>
        </w:rPr>
        <w:t>Incorrect</w:t>
      </w:r>
      <w:r w:rsidR="009925A1">
        <w:t xml:space="preserve">. </w:t>
      </w:r>
      <w:r w:rsidRPr="00326EC3">
        <w:t>Try again.</w:t>
      </w:r>
    </w:p>
    <w:p w14:paraId="5612EE21" w14:textId="77777777" w:rsidR="0052580F" w:rsidRPr="009925A1" w:rsidRDefault="0052580F" w:rsidP="00822DE7">
      <w:pPr>
        <w:numPr>
          <w:ilvl w:val="0"/>
          <w:numId w:val="35"/>
        </w:numPr>
        <w:rPr>
          <w:b/>
        </w:rPr>
      </w:pPr>
      <w:r w:rsidRPr="009925A1">
        <w:rPr>
          <w:b/>
        </w:rPr>
        <w:t>Plan the exerc</w:t>
      </w:r>
      <w:r w:rsidR="00F965B4" w:rsidRPr="009925A1">
        <w:rPr>
          <w:b/>
        </w:rPr>
        <w:t>ise of the ISOs with her employer</w:t>
      </w:r>
      <w:r w:rsidRPr="009925A1">
        <w:rPr>
          <w:b/>
        </w:rPr>
        <w:t>’s Chief Financial Officer to maximize the company’s income tax deduction from the exercise</w:t>
      </w:r>
    </w:p>
    <w:p w14:paraId="2F4652C3" w14:textId="5DEC217A" w:rsidR="00F965B4" w:rsidRDefault="00F965B4" w:rsidP="001F3D42">
      <w:pPr>
        <w:pStyle w:val="ReviewAnswer"/>
        <w:ind w:left="1440"/>
      </w:pPr>
      <w:r w:rsidRPr="00326EC3">
        <w:rPr>
          <w:rStyle w:val="Strong"/>
        </w:rPr>
        <w:t>Correct</w:t>
      </w:r>
      <w:r w:rsidR="009925A1">
        <w:t xml:space="preserve">. </w:t>
      </w:r>
      <w:r w:rsidRPr="00326EC3">
        <w:t>The employer receives no income tax deduction associated with ISOs.</w:t>
      </w:r>
    </w:p>
    <w:p w14:paraId="37E1D676" w14:textId="77777777" w:rsidR="00F965B4" w:rsidRDefault="00F965B4" w:rsidP="001F3D42"/>
    <w:bookmarkEnd w:id="3"/>
    <w:bookmarkEnd w:id="4"/>
    <w:bookmarkEnd w:id="5"/>
    <w:bookmarkEnd w:id="6"/>
    <w:bookmarkEnd w:id="7"/>
    <w:p w14:paraId="6DED3B9D" w14:textId="77777777" w:rsidR="00FF03E8" w:rsidRDefault="00FF03E8" w:rsidP="00FF03E8">
      <w:pPr>
        <w:pStyle w:val="Heading2"/>
      </w:pPr>
    </w:p>
    <w:p w14:paraId="4114F291" w14:textId="77777777" w:rsidR="00FF03E8" w:rsidRDefault="00FF03E8" w:rsidP="001F3D42">
      <w:pPr>
        <w:pStyle w:val="Heading2"/>
      </w:pPr>
      <w:r>
        <w:br w:type="page"/>
      </w:r>
      <w:r>
        <w:lastRenderedPageBreak/>
        <w:t>Conclusion</w:t>
      </w:r>
    </w:p>
    <w:p w14:paraId="0D6F8292" w14:textId="7F63E507" w:rsidR="00A25C0C" w:rsidRDefault="00414A63" w:rsidP="001F3D42">
      <w:pPr>
        <w:pStyle w:val="default"/>
        <w:spacing w:before="120" w:beforeAutospacing="0" w:after="120" w:afterAutospacing="0"/>
      </w:pPr>
      <w:r>
        <w:t>The North S</w:t>
      </w:r>
      <w:r w:rsidR="00E60A47">
        <w:t>tar</w:t>
      </w:r>
      <w:r>
        <w:rPr>
          <w:rStyle w:val="FootnoteReference"/>
        </w:rPr>
        <w:footnoteReference w:id="9"/>
      </w:r>
      <w:r w:rsidR="00E60A47">
        <w:t xml:space="preserve"> guiding our </w:t>
      </w:r>
      <w:r w:rsidR="009925A1">
        <w:t>discussion o</w:t>
      </w:r>
      <w:r w:rsidR="00B07B4A">
        <w:t>n the preceding page</w:t>
      </w:r>
      <w:r w:rsidR="009925A1">
        <w:t>s</w:t>
      </w:r>
      <w:r w:rsidR="00B07B4A">
        <w:t xml:space="preserve"> </w:t>
      </w:r>
      <w:r w:rsidR="00E60A47">
        <w:t>was based upon three goals:</w:t>
      </w:r>
    </w:p>
    <w:p w14:paraId="7F1F5C59" w14:textId="090EEE89" w:rsidR="00E60A47" w:rsidRDefault="00E60A47" w:rsidP="008E3F14">
      <w:pPr>
        <w:numPr>
          <w:ilvl w:val="0"/>
          <w:numId w:val="84"/>
        </w:numPr>
        <w:spacing w:before="0" w:after="0"/>
      </w:pPr>
      <w:r w:rsidRPr="00C34887">
        <w:t>Broaden</w:t>
      </w:r>
      <w:r w:rsidR="003241D6">
        <w:t>ing</w:t>
      </w:r>
      <w:r w:rsidRPr="00C34887">
        <w:t xml:space="preserve"> your retirement </w:t>
      </w:r>
      <w:r>
        <w:t>accumulation planning expertise,</w:t>
      </w:r>
    </w:p>
    <w:p w14:paraId="525DC754" w14:textId="5718C892" w:rsidR="00E60A47" w:rsidRDefault="003241D6" w:rsidP="008E3F14">
      <w:pPr>
        <w:numPr>
          <w:ilvl w:val="0"/>
          <w:numId w:val="84"/>
        </w:numPr>
        <w:spacing w:before="0" w:after="0"/>
      </w:pPr>
      <w:r>
        <w:t>Elevating your u</w:t>
      </w:r>
      <w:r w:rsidR="00E60A47" w:rsidRPr="00C34887">
        <w:t>nderstand</w:t>
      </w:r>
      <w:r>
        <w:t>ing of</w:t>
      </w:r>
      <w:r w:rsidR="00E60A47" w:rsidRPr="00C34887">
        <w:t xml:space="preserve"> the key issues associated with this phase of retirement planni</w:t>
      </w:r>
      <w:r w:rsidR="00E60A47">
        <w:t>ng and how they can be resolved, and</w:t>
      </w:r>
    </w:p>
    <w:p w14:paraId="2024119B" w14:textId="54EA5F52" w:rsidR="00E60A47" w:rsidRDefault="003241D6" w:rsidP="008E3F14">
      <w:pPr>
        <w:numPr>
          <w:ilvl w:val="0"/>
          <w:numId w:val="84"/>
        </w:numPr>
        <w:spacing w:before="0" w:after="0"/>
      </w:pPr>
      <w:r>
        <w:t>Enhancing</w:t>
      </w:r>
      <w:r w:rsidR="00E60A47" w:rsidRPr="00C34887">
        <w:t xml:space="preserve"> your ability to guide clients </w:t>
      </w:r>
      <w:r>
        <w:t xml:space="preserve">through </w:t>
      </w:r>
      <w:r w:rsidR="00E60A47" w:rsidRPr="00C34887">
        <w:t xml:space="preserve">the retirement accumulation </w:t>
      </w:r>
      <w:r>
        <w:t>planning process</w:t>
      </w:r>
      <w:r w:rsidR="00E60A47" w:rsidRPr="00C34887">
        <w:t>.</w:t>
      </w:r>
    </w:p>
    <w:p w14:paraId="78897121" w14:textId="77777777" w:rsidR="00B07B4A" w:rsidRDefault="00B07B4A" w:rsidP="00B07B4A">
      <w:pPr>
        <w:pStyle w:val="default"/>
        <w:spacing w:before="120" w:beforeAutospacing="0" w:after="120" w:afterAutospacing="0"/>
      </w:pPr>
      <w:r>
        <w:t xml:space="preserve">We hope you have taken advantage of this course to better plan your own retirement accumulation. We further hope that you will use that personal process as a springboard to better advise your clients. </w:t>
      </w:r>
    </w:p>
    <w:p w14:paraId="02A13A0B" w14:textId="140D1189" w:rsidR="00A25C0C" w:rsidRDefault="00A25C0C" w:rsidP="001F3D42">
      <w:pPr>
        <w:pStyle w:val="default"/>
        <w:spacing w:before="120" w:beforeAutospacing="0" w:after="120" w:afterAutospacing="0"/>
      </w:pPr>
      <w:r>
        <w:t>Entire books have been written on many of the individual topics presented to you</w:t>
      </w:r>
      <w:r w:rsidR="003241D6">
        <w:t xml:space="preserve"> in this course</w:t>
      </w:r>
      <w:r>
        <w:t xml:space="preserve">. We have worked with focus and diligence in </w:t>
      </w:r>
      <w:r w:rsidR="003241D6">
        <w:t>bringing you the</w:t>
      </w:r>
      <w:r>
        <w:t xml:space="preserve"> vital concepts you simply must know while avoiding </w:t>
      </w:r>
      <w:r w:rsidR="00E60A47">
        <w:t>a love-fest with details of lesser importance. Because many of these concepts are deep, wide, and subject to statutory chang</w:t>
      </w:r>
      <w:r w:rsidR="009925A1">
        <w:t>e, we strongly encourage follow-</w:t>
      </w:r>
      <w:r w:rsidR="00E60A47">
        <w:t>up with your firm’s internal technical and compliance resources as you develop alternatives and make recommendations to clients. Consultation with your client’s CPA, CFP</w:t>
      </w:r>
      <w:r w:rsidR="00E60A47" w:rsidRPr="008E3F14">
        <w:rPr>
          <w:vertAlign w:val="superscript"/>
        </w:rPr>
        <w:t>®</w:t>
      </w:r>
      <w:r w:rsidR="009127EE">
        <w:t xml:space="preserve"> </w:t>
      </w:r>
      <w:r w:rsidR="00516360">
        <w:t>Certificant</w:t>
      </w:r>
      <w:r w:rsidR="00E60A47">
        <w:t xml:space="preserve"> or other financial professional is recommended </w:t>
      </w:r>
      <w:r w:rsidR="003241D6">
        <w:t xml:space="preserve">where appropriate </w:t>
      </w:r>
      <w:r w:rsidR="00E60A47">
        <w:t>as well.</w:t>
      </w:r>
    </w:p>
    <w:p w14:paraId="3CDCD82E" w14:textId="0D2143B2" w:rsidR="00A25C0C" w:rsidRDefault="00DF2C73" w:rsidP="008E3F14">
      <w:pPr>
        <w:pStyle w:val="default"/>
        <w:spacing w:before="120" w:beforeAutospacing="0" w:after="120" w:afterAutospacing="0"/>
      </w:pPr>
      <w:r w:rsidRPr="00DF2C73">
        <w:t xml:space="preserve">This concludes </w:t>
      </w:r>
      <w:r w:rsidR="00B07B4A">
        <w:t>your</w:t>
      </w:r>
      <w:r w:rsidR="00B07B4A" w:rsidRPr="00DF2C73">
        <w:t xml:space="preserve"> </w:t>
      </w:r>
      <w:r w:rsidRPr="00DF2C73">
        <w:t xml:space="preserve">course on retirement </w:t>
      </w:r>
      <w:r w:rsidR="00C6737B">
        <w:t xml:space="preserve">accumulation </w:t>
      </w:r>
      <w:r w:rsidRPr="00DF2C73">
        <w:t xml:space="preserve">planning. While we have provided you with an </w:t>
      </w:r>
      <w:r w:rsidR="005D071C" w:rsidRPr="00DF2C73">
        <w:t>in-depth</w:t>
      </w:r>
      <w:r w:rsidRPr="00DF2C73">
        <w:t xml:space="preserve"> overview of different retirement plans and the rules associated with them, it is up to you to begin </w:t>
      </w:r>
      <w:r w:rsidR="00B07B4A">
        <w:t xml:space="preserve">leveraging </w:t>
      </w:r>
      <w:r w:rsidRPr="00DF2C73">
        <w:t>this knowledge to assist your clients</w:t>
      </w:r>
      <w:r w:rsidR="003241D6">
        <w:t>!</w:t>
      </w:r>
      <w:r w:rsidRPr="00DF2C73">
        <w:t xml:space="preserve"> </w:t>
      </w:r>
    </w:p>
    <w:sectPr w:rsidR="00A25C0C" w:rsidSect="00CA0CE2">
      <w:headerReference w:type="default" r:id="rId19"/>
      <w:footerReference w:type="default" r:id="rId20"/>
      <w:footnotePr>
        <w:numRestart w:val="eachPage"/>
      </w:footnotePr>
      <w:type w:val="continuous"/>
      <w:pgSz w:w="12240" w:h="15840"/>
      <w:pgMar w:top="1440" w:right="1440" w:bottom="1440" w:left="1440" w:header="720" w:footer="720" w:gutter="0"/>
      <w:pgBorders w:offsetFrom="page">
        <w:top w:val="single" w:sz="4" w:space="24" w:color="FFFFFF"/>
        <w:left w:val="single" w:sz="4" w:space="24" w:color="FFFFFF"/>
        <w:bottom w:val="single" w:sz="4" w:space="24" w:color="FFFFFF"/>
        <w:right w:val="single" w:sz="4" w:space="24" w:color="FFFFFF"/>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BC2ED" w14:textId="77777777" w:rsidR="00BF406C" w:rsidRDefault="00BF406C">
      <w:r>
        <w:separator/>
      </w:r>
    </w:p>
  </w:endnote>
  <w:endnote w:type="continuationSeparator" w:id="0">
    <w:p w14:paraId="46C23097" w14:textId="77777777" w:rsidR="00BF406C" w:rsidRDefault="00BF4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D9ED1" w14:textId="3E8E82D1" w:rsidR="004507AE" w:rsidRDefault="004507AE" w:rsidP="005765D4">
    <w:pPr>
      <w:pStyle w:val="Footer"/>
      <w:tabs>
        <w:tab w:val="clear" w:pos="8640"/>
        <w:tab w:val="left" w:pos="6480"/>
        <w:tab w:val="right" w:pos="7920"/>
      </w:tabs>
    </w:pPr>
    <w:r>
      <w:rPr>
        <w:noProof/>
        <w:lang w:eastAsia="zh-CN"/>
      </w:rPr>
      <w:drawing>
        <wp:anchor distT="0" distB="0" distL="114300" distR="114300" simplePos="0" relativeHeight="251661312" behindDoc="0" locked="0" layoutInCell="1" allowOverlap="1" wp14:anchorId="473B5749" wp14:editId="4A9060F0">
          <wp:simplePos x="0" y="0"/>
          <wp:positionH relativeFrom="column">
            <wp:posOffset>5236210</wp:posOffset>
          </wp:positionH>
          <wp:positionV relativeFrom="paragraph">
            <wp:posOffset>69850</wp:posOffset>
          </wp:positionV>
          <wp:extent cx="914400" cy="269240"/>
          <wp:effectExtent l="0" t="0" r="0" b="10160"/>
          <wp:wrapSquare wrapText="bothSides"/>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692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2016 Greene Consulting Associates, LLC. All Rights Reserved.  </w:t>
    </w:r>
    <w:r>
      <w:tab/>
    </w:r>
    <w:r w:rsidRPr="00297893">
      <w:rPr>
        <w:rStyle w:val="PageNumber"/>
        <w:szCs w:val="16"/>
      </w:rPr>
      <w:fldChar w:fldCharType="begin"/>
    </w:r>
    <w:r w:rsidRPr="00297893">
      <w:rPr>
        <w:rStyle w:val="PageNumber"/>
        <w:szCs w:val="16"/>
      </w:rPr>
      <w:instrText xml:space="preserve"> PAGE </w:instrText>
    </w:r>
    <w:r w:rsidRPr="00297893">
      <w:rPr>
        <w:rStyle w:val="PageNumber"/>
        <w:szCs w:val="16"/>
      </w:rPr>
      <w:fldChar w:fldCharType="separate"/>
    </w:r>
    <w:r w:rsidR="00D05A9C">
      <w:rPr>
        <w:rStyle w:val="PageNumber"/>
        <w:noProof/>
        <w:szCs w:val="16"/>
      </w:rPr>
      <w:t>1</w:t>
    </w:r>
    <w:r w:rsidRPr="00297893">
      <w:rPr>
        <w:rStyle w:val="PageNumber"/>
        <w:szCs w:val="16"/>
      </w:rPr>
      <w:fldChar w:fldCharType="end"/>
    </w:r>
  </w:p>
  <w:p w14:paraId="5C127BE2" w14:textId="77777777" w:rsidR="004507AE" w:rsidRDefault="004507AE" w:rsidP="00A36D91">
    <w:pPr>
      <w:pStyle w:val="Footer"/>
    </w:pPr>
    <w:r>
      <w:t xml:space="preserve">Intended solely for use by licensed users. </w:t>
    </w:r>
    <w:r>
      <w:rPr>
        <w:noProof/>
        <w:lang w:eastAsia="zh-CN"/>
      </w:rPr>
      <w:drawing>
        <wp:anchor distT="0" distB="0" distL="114300" distR="114300" simplePos="0" relativeHeight="251659264" behindDoc="0" locked="0" layoutInCell="1" allowOverlap="1" wp14:anchorId="1FE3C21D" wp14:editId="7F9A8DBA">
          <wp:simplePos x="0" y="0"/>
          <wp:positionH relativeFrom="column">
            <wp:posOffset>3081655</wp:posOffset>
          </wp:positionH>
          <wp:positionV relativeFrom="paragraph">
            <wp:posOffset>9070975</wp:posOffset>
          </wp:positionV>
          <wp:extent cx="914400" cy="269240"/>
          <wp:effectExtent l="0" t="0" r="0" b="1016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69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Pr>
        <w:noProof/>
        <w:lang w:eastAsia="zh-CN"/>
      </w:rPr>
      <w:drawing>
        <wp:anchor distT="0" distB="0" distL="114300" distR="114300" simplePos="0" relativeHeight="251660288" behindDoc="0" locked="0" layoutInCell="1" allowOverlap="1" wp14:anchorId="673C0570" wp14:editId="04A9970C">
          <wp:simplePos x="0" y="0"/>
          <wp:positionH relativeFrom="column">
            <wp:posOffset>5486400</wp:posOffset>
          </wp:positionH>
          <wp:positionV relativeFrom="paragraph">
            <wp:posOffset>8942705</wp:posOffset>
          </wp:positionV>
          <wp:extent cx="914400" cy="269240"/>
          <wp:effectExtent l="0" t="0" r="0" b="10160"/>
          <wp:wrapNone/>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69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2783A3" w14:textId="77777777" w:rsidR="004507AE" w:rsidRDefault="004507AE" w:rsidP="00297893">
    <w:pPr>
      <w:pStyle w:val="Footer"/>
      <w:tabs>
        <w:tab w:val="clear" w:pos="8640"/>
        <w:tab w:val="right" w:pos="7920"/>
      </w:tabs>
    </w:pPr>
    <w:r>
      <w:t xml:space="preserve">Not to be reproduced or circulated without prior approval.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F45E2" w14:textId="77777777" w:rsidR="00BF406C" w:rsidRDefault="00BF406C">
      <w:r>
        <w:separator/>
      </w:r>
    </w:p>
  </w:footnote>
  <w:footnote w:type="continuationSeparator" w:id="0">
    <w:p w14:paraId="0223DFC3" w14:textId="77777777" w:rsidR="00BF406C" w:rsidRDefault="00BF406C">
      <w:r>
        <w:continuationSeparator/>
      </w:r>
    </w:p>
  </w:footnote>
  <w:footnote w:id="1">
    <w:p w14:paraId="79145669" w14:textId="77777777" w:rsidR="004507AE" w:rsidRDefault="004507AE">
      <w:pPr>
        <w:pStyle w:val="FootnoteText"/>
      </w:pPr>
      <w:r>
        <w:rPr>
          <w:rStyle w:val="FootnoteReference"/>
        </w:rPr>
        <w:footnoteRef/>
      </w:r>
      <w:r>
        <w:t xml:space="preserve"> </w:t>
      </w:r>
      <w:r w:rsidRPr="001F3D42">
        <w:rPr>
          <w:i/>
          <w:sz w:val="16"/>
          <w:szCs w:val="16"/>
        </w:rPr>
        <w:t>Financial Advisors’ Role in Influencing Social Security Claiming, November 2011.</w:t>
      </w:r>
    </w:p>
  </w:footnote>
  <w:footnote w:id="2">
    <w:p w14:paraId="0832BAAF" w14:textId="0B3DF3AA" w:rsidR="004507AE" w:rsidRPr="006F657F" w:rsidRDefault="004507AE">
      <w:pPr>
        <w:pStyle w:val="FootnoteText"/>
        <w:rPr>
          <w:i/>
          <w:sz w:val="16"/>
          <w:szCs w:val="16"/>
        </w:rPr>
      </w:pPr>
      <w:r>
        <w:rPr>
          <w:rStyle w:val="FootnoteReference"/>
        </w:rPr>
        <w:footnoteRef/>
      </w:r>
      <w:r>
        <w:t xml:space="preserve"> </w:t>
      </w:r>
      <w:r w:rsidRPr="006F657F">
        <w:rPr>
          <w:i/>
          <w:sz w:val="16"/>
          <w:szCs w:val="16"/>
        </w:rPr>
        <w:t>The Net Investment Income Tax (NIIT) may reduce this difference to about 16% instead of approximately 20%. Not all clients are subject to the NIIT. The NIIT is discussed subsequently in this course.</w:t>
      </w:r>
    </w:p>
  </w:footnote>
  <w:footnote w:id="3">
    <w:p w14:paraId="774F756C" w14:textId="77777777" w:rsidR="004507AE" w:rsidRPr="001F3D42" w:rsidRDefault="004507AE">
      <w:pPr>
        <w:pStyle w:val="FootnoteText"/>
        <w:rPr>
          <w:i/>
          <w:sz w:val="16"/>
          <w:szCs w:val="16"/>
        </w:rPr>
      </w:pPr>
      <w:r>
        <w:rPr>
          <w:rStyle w:val="FootnoteReference"/>
        </w:rPr>
        <w:footnoteRef/>
      </w:r>
      <w:r>
        <w:t xml:space="preserve"> </w:t>
      </w:r>
      <w:r w:rsidRPr="001F3D42">
        <w:rPr>
          <w:rFonts w:cs="Trebuchet MS"/>
          <w:i/>
          <w:sz w:val="16"/>
          <w:szCs w:val="16"/>
        </w:rPr>
        <w:t>May 2014, Issue Brief No. 399</w:t>
      </w:r>
    </w:p>
  </w:footnote>
  <w:footnote w:id="4">
    <w:p w14:paraId="34093E61" w14:textId="77777777" w:rsidR="004507AE" w:rsidRDefault="004507AE" w:rsidP="001B3E94">
      <w:r>
        <w:rPr>
          <w:rStyle w:val="FootnoteReference"/>
        </w:rPr>
        <w:footnoteRef/>
      </w:r>
      <w:r>
        <w:t xml:space="preserve"> </w:t>
      </w:r>
      <w:r w:rsidRPr="001B3E94">
        <w:t>http://www.bankrate.com/calculators/retirement/convert-ira-roth-calculator.aspx</w:t>
      </w:r>
    </w:p>
    <w:p w14:paraId="07B33477" w14:textId="1FDB0C35" w:rsidR="004507AE" w:rsidRDefault="004507AE">
      <w:pPr>
        <w:pStyle w:val="FootnoteText"/>
      </w:pPr>
    </w:p>
  </w:footnote>
  <w:footnote w:id="5">
    <w:p w14:paraId="189EC5DA" w14:textId="67131302" w:rsidR="004507AE" w:rsidRPr="008E3F14" w:rsidRDefault="004507AE">
      <w:pPr>
        <w:pStyle w:val="FootnoteText"/>
        <w:rPr>
          <w:i/>
        </w:rPr>
      </w:pPr>
      <w:r>
        <w:rPr>
          <w:rStyle w:val="FootnoteReference"/>
        </w:rPr>
        <w:footnoteRef/>
      </w:r>
      <w:r>
        <w:t xml:space="preserve"> </w:t>
      </w:r>
      <w:r w:rsidRPr="008E3F14">
        <w:rPr>
          <w:i/>
          <w:sz w:val="16"/>
          <w:szCs w:val="16"/>
        </w:rPr>
        <w:t>Health Savings Accounts and Health Reimbursement Arrangements: Assets, Account Balances, and Rollovers, 2006–2013, EBRI Issue Brief #395, January 2014</w:t>
      </w:r>
      <w:r>
        <w:rPr>
          <w:i/>
          <w:sz w:val="16"/>
          <w:szCs w:val="16"/>
        </w:rPr>
        <w:t>.</w:t>
      </w:r>
    </w:p>
  </w:footnote>
  <w:footnote w:id="6">
    <w:p w14:paraId="5427DEAC" w14:textId="0E89EB1D" w:rsidR="004507AE" w:rsidRPr="006F1912" w:rsidRDefault="004507AE">
      <w:pPr>
        <w:pStyle w:val="FootnoteText"/>
        <w:rPr>
          <w:i/>
          <w:sz w:val="16"/>
          <w:szCs w:val="16"/>
        </w:rPr>
      </w:pPr>
      <w:r>
        <w:rPr>
          <w:rStyle w:val="FootnoteReference"/>
        </w:rPr>
        <w:footnoteRef/>
      </w:r>
      <w:r>
        <w:t xml:space="preserve"> </w:t>
      </w:r>
      <w:r w:rsidRPr="006F1912">
        <w:rPr>
          <w:i/>
          <w:sz w:val="16"/>
          <w:szCs w:val="16"/>
        </w:rPr>
        <w:t>Internal Revenue Code Section 410(a)</w:t>
      </w:r>
    </w:p>
  </w:footnote>
  <w:footnote w:id="7">
    <w:p w14:paraId="3E5895B0" w14:textId="77777777" w:rsidR="004507AE" w:rsidRDefault="004507AE">
      <w:pPr>
        <w:pStyle w:val="FootnoteText"/>
      </w:pPr>
      <w:r>
        <w:rPr>
          <w:rStyle w:val="FootnoteReference"/>
        </w:rPr>
        <w:footnoteRef/>
      </w:r>
      <w:r>
        <w:t xml:space="preserve"> </w:t>
      </w:r>
      <w:r w:rsidRPr="001F3D42">
        <w:rPr>
          <w:i/>
          <w:sz w:val="16"/>
          <w:szCs w:val="16"/>
        </w:rPr>
        <w:t>*Bureau of Labor Statistics, Monthly Labor Review, December 2012.</w:t>
      </w:r>
    </w:p>
  </w:footnote>
  <w:footnote w:id="8">
    <w:p w14:paraId="37549E20" w14:textId="638E572C" w:rsidR="004507AE" w:rsidRPr="00550F8E" w:rsidRDefault="004507AE">
      <w:pPr>
        <w:pStyle w:val="FootnoteText"/>
        <w:rPr>
          <w:sz w:val="16"/>
          <w:szCs w:val="16"/>
        </w:rPr>
      </w:pPr>
      <w:r>
        <w:rPr>
          <w:rStyle w:val="FootnoteReference"/>
        </w:rPr>
        <w:footnoteRef/>
      </w:r>
      <w:r>
        <w:t xml:space="preserve"> </w:t>
      </w:r>
      <w:r w:rsidRPr="008E3F14">
        <w:rPr>
          <w:i/>
          <w:sz w:val="16"/>
          <w:szCs w:val="16"/>
        </w:rPr>
        <w:t xml:space="preserve">401(k) </w:t>
      </w:r>
      <w:r>
        <w:rPr>
          <w:i/>
          <w:sz w:val="16"/>
          <w:szCs w:val="16"/>
        </w:rPr>
        <w:t>F</w:t>
      </w:r>
      <w:r w:rsidRPr="008E3F14">
        <w:rPr>
          <w:i/>
          <w:sz w:val="16"/>
          <w:szCs w:val="16"/>
        </w:rPr>
        <w:t>ast facts, Updated April 2014</w:t>
      </w:r>
    </w:p>
  </w:footnote>
  <w:footnote w:id="9">
    <w:p w14:paraId="36563966" w14:textId="31D01582" w:rsidR="004507AE" w:rsidRPr="00984C22" w:rsidRDefault="004507AE">
      <w:pPr>
        <w:pStyle w:val="FootnoteText"/>
        <w:rPr>
          <w:i/>
          <w:sz w:val="16"/>
          <w:szCs w:val="16"/>
        </w:rPr>
      </w:pPr>
      <w:r>
        <w:rPr>
          <w:rStyle w:val="FootnoteReference"/>
        </w:rPr>
        <w:footnoteRef/>
      </w:r>
      <w:r>
        <w:t xml:space="preserve"> </w:t>
      </w:r>
      <w:r w:rsidRPr="00984C22">
        <w:rPr>
          <w:i/>
          <w:sz w:val="16"/>
          <w:szCs w:val="16"/>
        </w:rPr>
        <w:t>The North Star was used by ancient mariners to navigate reliably to port and avoid becoming hopelessly lost at sea.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54222" w14:textId="77777777" w:rsidR="004507AE" w:rsidRPr="00EC48CF" w:rsidRDefault="004507AE" w:rsidP="00297893">
    <w:pPr>
      <w:pStyle w:val="Header"/>
      <w:ind w:right="-270"/>
      <w:jc w:val="right"/>
      <w:rPr>
        <w:b/>
        <w:bCs/>
      </w:rPr>
    </w:pPr>
    <w:r>
      <w:rPr>
        <w:b/>
        <w:noProof/>
        <w:lang w:eastAsia="zh-CN"/>
      </w:rPr>
      <mc:AlternateContent>
        <mc:Choice Requires="wps">
          <w:drawing>
            <wp:anchor distT="0" distB="0" distL="114300" distR="114300" simplePos="0" relativeHeight="251658240" behindDoc="0" locked="0" layoutInCell="1" allowOverlap="1" wp14:anchorId="2F2D83F8" wp14:editId="002C86C8">
              <wp:simplePos x="0" y="0"/>
              <wp:positionH relativeFrom="column">
                <wp:posOffset>-34925</wp:posOffset>
              </wp:positionH>
              <wp:positionV relativeFrom="paragraph">
                <wp:posOffset>225425</wp:posOffset>
              </wp:positionV>
              <wp:extent cx="6181725" cy="10033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2.7pt;margin-top:17.75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" fillcolor="black" stroked="f">
              <v:fill color2="#339" rotate="t" angle="-90" focus="100%" type="gradient"/>
            </v:rect>
          </w:pict>
        </mc:Fallback>
      </mc:AlternateContent>
    </w:r>
    <w:r>
      <w:rPr>
        <w:b/>
        <w:noProof/>
      </w:rPr>
      <w:t>Advising the Affluent Client: Retirement Accumulation Planning</w:t>
    </w:r>
  </w:p>
  <w:p w14:paraId="5236F2A2" w14:textId="77777777" w:rsidR="004507AE" w:rsidRDefault="004507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3B268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058EC58"/>
    <w:lvl w:ilvl="0">
      <w:start w:val="1"/>
      <w:numFmt w:val="decimal"/>
      <w:lvlText w:val="%1."/>
      <w:lvlJc w:val="left"/>
      <w:pPr>
        <w:tabs>
          <w:tab w:val="num" w:pos="1800"/>
        </w:tabs>
        <w:ind w:left="1800" w:hanging="360"/>
      </w:pPr>
    </w:lvl>
  </w:abstractNum>
  <w:abstractNum w:abstractNumId="2">
    <w:nsid w:val="FFFFFF7D"/>
    <w:multiLevelType w:val="singleLevel"/>
    <w:tmpl w:val="7C6C9D7E"/>
    <w:lvl w:ilvl="0">
      <w:start w:val="1"/>
      <w:numFmt w:val="decimal"/>
      <w:lvlText w:val="%1."/>
      <w:lvlJc w:val="left"/>
      <w:pPr>
        <w:tabs>
          <w:tab w:val="num" w:pos="1440"/>
        </w:tabs>
        <w:ind w:left="1440" w:hanging="360"/>
      </w:pPr>
    </w:lvl>
  </w:abstractNum>
  <w:abstractNum w:abstractNumId="3">
    <w:nsid w:val="FFFFFF7E"/>
    <w:multiLevelType w:val="singleLevel"/>
    <w:tmpl w:val="064CE1BE"/>
    <w:lvl w:ilvl="0">
      <w:start w:val="1"/>
      <w:numFmt w:val="decimal"/>
      <w:lvlText w:val="%1."/>
      <w:lvlJc w:val="left"/>
      <w:pPr>
        <w:tabs>
          <w:tab w:val="num" w:pos="1080"/>
        </w:tabs>
        <w:ind w:left="1080" w:hanging="360"/>
      </w:pPr>
    </w:lvl>
  </w:abstractNum>
  <w:abstractNum w:abstractNumId="4">
    <w:nsid w:val="FFFFFF7F"/>
    <w:multiLevelType w:val="singleLevel"/>
    <w:tmpl w:val="172AEDD8"/>
    <w:lvl w:ilvl="0">
      <w:start w:val="1"/>
      <w:numFmt w:val="decimal"/>
      <w:lvlText w:val="%1."/>
      <w:lvlJc w:val="left"/>
      <w:pPr>
        <w:tabs>
          <w:tab w:val="num" w:pos="720"/>
        </w:tabs>
        <w:ind w:left="720" w:hanging="360"/>
      </w:pPr>
    </w:lvl>
  </w:abstractNum>
  <w:abstractNum w:abstractNumId="5">
    <w:nsid w:val="FFFFFF80"/>
    <w:multiLevelType w:val="singleLevel"/>
    <w:tmpl w:val="6FBAC50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F7CA91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CC6566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8AEE15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42932A"/>
    <w:lvl w:ilvl="0">
      <w:start w:val="1"/>
      <w:numFmt w:val="decimal"/>
      <w:lvlText w:val="%1."/>
      <w:lvlJc w:val="left"/>
      <w:pPr>
        <w:tabs>
          <w:tab w:val="num" w:pos="360"/>
        </w:tabs>
        <w:ind w:left="360" w:hanging="360"/>
      </w:pPr>
    </w:lvl>
  </w:abstractNum>
  <w:abstractNum w:abstractNumId="10">
    <w:nsid w:val="FFFFFF89"/>
    <w:multiLevelType w:val="singleLevel"/>
    <w:tmpl w:val="21BCB392"/>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E8521314"/>
    <w:lvl w:ilvl="0" w:tplc="3988845C">
      <w:start w:val="1"/>
      <w:numFmt w:val="bullet"/>
      <w:lvlText w:val="•"/>
      <w:lvlJc w:val="left"/>
      <w:pPr>
        <w:ind w:left="720" w:hanging="360"/>
      </w:pPr>
      <w:rPr>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3951FCB"/>
    <w:multiLevelType w:val="hybridMultilevel"/>
    <w:tmpl w:val="D056F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3BE3A20"/>
    <w:multiLevelType w:val="hybridMultilevel"/>
    <w:tmpl w:val="3DE03308"/>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72319B"/>
    <w:multiLevelType w:val="hybridMultilevel"/>
    <w:tmpl w:val="88DE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BD6C0D"/>
    <w:multiLevelType w:val="hybridMultilevel"/>
    <w:tmpl w:val="FB0ED0A2"/>
    <w:lvl w:ilvl="0" w:tplc="CFE65D42">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5426AD8"/>
    <w:multiLevelType w:val="hybridMultilevel"/>
    <w:tmpl w:val="5824E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6DC49D0"/>
    <w:multiLevelType w:val="hybridMultilevel"/>
    <w:tmpl w:val="0C78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742183E"/>
    <w:multiLevelType w:val="hybridMultilevel"/>
    <w:tmpl w:val="48C66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74E667E"/>
    <w:multiLevelType w:val="hybridMultilevel"/>
    <w:tmpl w:val="D4A2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5E5247"/>
    <w:multiLevelType w:val="hybridMultilevel"/>
    <w:tmpl w:val="D360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BC35C94"/>
    <w:multiLevelType w:val="hybridMultilevel"/>
    <w:tmpl w:val="D1BC994A"/>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706738"/>
    <w:multiLevelType w:val="hybridMultilevel"/>
    <w:tmpl w:val="158C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0C33988"/>
    <w:multiLevelType w:val="hybridMultilevel"/>
    <w:tmpl w:val="51546190"/>
    <w:lvl w:ilvl="0" w:tplc="5FC6CD7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26D1D05"/>
    <w:multiLevelType w:val="hybridMultilevel"/>
    <w:tmpl w:val="81005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33053FD"/>
    <w:multiLevelType w:val="hybridMultilevel"/>
    <w:tmpl w:val="210C3F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121019"/>
    <w:multiLevelType w:val="hybridMultilevel"/>
    <w:tmpl w:val="D1BC994A"/>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D40A41"/>
    <w:multiLevelType w:val="hybridMultilevel"/>
    <w:tmpl w:val="08FC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6F56D47"/>
    <w:multiLevelType w:val="hybridMultilevel"/>
    <w:tmpl w:val="766A3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191B4E"/>
    <w:multiLevelType w:val="hybridMultilevel"/>
    <w:tmpl w:val="C580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AD761F8"/>
    <w:multiLevelType w:val="hybridMultilevel"/>
    <w:tmpl w:val="5F16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C8A0E10"/>
    <w:multiLevelType w:val="hybridMultilevel"/>
    <w:tmpl w:val="5498C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16A182F"/>
    <w:multiLevelType w:val="hybridMultilevel"/>
    <w:tmpl w:val="FD66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1E20564"/>
    <w:multiLevelType w:val="hybridMultilevel"/>
    <w:tmpl w:val="D5F47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2C35838"/>
    <w:multiLevelType w:val="hybridMultilevel"/>
    <w:tmpl w:val="32E2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3121471"/>
    <w:multiLevelType w:val="hybridMultilevel"/>
    <w:tmpl w:val="DA0ED2E6"/>
    <w:lvl w:ilvl="0" w:tplc="6A6C0B7A">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52F38DD"/>
    <w:multiLevelType w:val="hybridMultilevel"/>
    <w:tmpl w:val="29FAC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7800318"/>
    <w:multiLevelType w:val="hybridMultilevel"/>
    <w:tmpl w:val="AE7C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9485E5C"/>
    <w:multiLevelType w:val="hybridMultilevel"/>
    <w:tmpl w:val="5F16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9AD11F0"/>
    <w:multiLevelType w:val="hybridMultilevel"/>
    <w:tmpl w:val="C854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9F26DF9"/>
    <w:multiLevelType w:val="hybridMultilevel"/>
    <w:tmpl w:val="84D426EA"/>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A163CE6"/>
    <w:multiLevelType w:val="hybridMultilevel"/>
    <w:tmpl w:val="156C1AFE"/>
    <w:lvl w:ilvl="0" w:tplc="CFE65D42">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A5C401B"/>
    <w:multiLevelType w:val="hybridMultilevel"/>
    <w:tmpl w:val="BC3E2926"/>
    <w:lvl w:ilvl="0" w:tplc="DC1EFBC2">
      <w:start w:val="1"/>
      <w:numFmt w:val="bullet"/>
      <w:pStyle w:val="TextBullet1"/>
      <w:lvlText w:val=""/>
      <w:lvlJc w:val="left"/>
      <w:pPr>
        <w:ind w:left="720" w:hanging="360"/>
      </w:pPr>
      <w:rPr>
        <w:rFonts w:ascii="Symbol" w:hAnsi="Symbol"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AA66098"/>
    <w:multiLevelType w:val="hybridMultilevel"/>
    <w:tmpl w:val="F3D2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C852012"/>
    <w:multiLevelType w:val="hybridMultilevel"/>
    <w:tmpl w:val="57CA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D402023"/>
    <w:multiLevelType w:val="hybridMultilevel"/>
    <w:tmpl w:val="1D5A5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321B6B36"/>
    <w:multiLevelType w:val="hybridMultilevel"/>
    <w:tmpl w:val="8D3A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28F6150"/>
    <w:multiLevelType w:val="hybridMultilevel"/>
    <w:tmpl w:val="E4DA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79053E9"/>
    <w:multiLevelType w:val="hybridMultilevel"/>
    <w:tmpl w:val="A1443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388B637F"/>
    <w:multiLevelType w:val="hybridMultilevel"/>
    <w:tmpl w:val="984AB53E"/>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8AC6788"/>
    <w:multiLevelType w:val="hybridMultilevel"/>
    <w:tmpl w:val="C3A2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9577C06"/>
    <w:multiLevelType w:val="hybridMultilevel"/>
    <w:tmpl w:val="86B8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B031935"/>
    <w:multiLevelType w:val="hybridMultilevel"/>
    <w:tmpl w:val="5E24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B294A9D"/>
    <w:multiLevelType w:val="hybridMultilevel"/>
    <w:tmpl w:val="EF763A60"/>
    <w:lvl w:ilvl="0" w:tplc="5928D7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C611D1B"/>
    <w:multiLevelType w:val="hybridMultilevel"/>
    <w:tmpl w:val="F45AB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40676D06"/>
    <w:multiLevelType w:val="hybridMultilevel"/>
    <w:tmpl w:val="50E61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0D56289"/>
    <w:multiLevelType w:val="hybridMultilevel"/>
    <w:tmpl w:val="B9CC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10D42BA"/>
    <w:multiLevelType w:val="hybridMultilevel"/>
    <w:tmpl w:val="680E36E0"/>
    <w:lvl w:ilvl="0" w:tplc="A296F23C">
      <w:start w:val="1"/>
      <w:numFmt w:val="decimal"/>
      <w:pStyle w:val="Number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42962D26"/>
    <w:multiLevelType w:val="hybridMultilevel"/>
    <w:tmpl w:val="B15A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3C053CC"/>
    <w:multiLevelType w:val="hybridMultilevel"/>
    <w:tmpl w:val="2C10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40C3729"/>
    <w:multiLevelType w:val="hybridMultilevel"/>
    <w:tmpl w:val="E934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4B87930"/>
    <w:multiLevelType w:val="hybridMultilevel"/>
    <w:tmpl w:val="FB60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6BF5B61"/>
    <w:multiLevelType w:val="hybridMultilevel"/>
    <w:tmpl w:val="E268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805383D"/>
    <w:multiLevelType w:val="hybridMultilevel"/>
    <w:tmpl w:val="73A26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8E7145B"/>
    <w:multiLevelType w:val="hybridMultilevel"/>
    <w:tmpl w:val="3AD4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9016AC6"/>
    <w:multiLevelType w:val="singleLevel"/>
    <w:tmpl w:val="88D4C77A"/>
    <w:lvl w:ilvl="0">
      <w:start w:val="1"/>
      <w:numFmt w:val="bullet"/>
      <w:pStyle w:val="Bullet1"/>
      <w:lvlText w:val=""/>
      <w:lvlJc w:val="left"/>
      <w:pPr>
        <w:tabs>
          <w:tab w:val="num" w:pos="432"/>
        </w:tabs>
        <w:ind w:left="360" w:hanging="288"/>
      </w:pPr>
      <w:rPr>
        <w:rFonts w:ascii="Symbol" w:hAnsi="Symbol" w:hint="default"/>
      </w:rPr>
    </w:lvl>
  </w:abstractNum>
  <w:abstractNum w:abstractNumId="66">
    <w:nsid w:val="49AB5748"/>
    <w:multiLevelType w:val="hybridMultilevel"/>
    <w:tmpl w:val="F6245338"/>
    <w:lvl w:ilvl="0" w:tplc="FA38E8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8">
    <w:nsid w:val="4CAC2A66"/>
    <w:multiLevelType w:val="hybridMultilevel"/>
    <w:tmpl w:val="A96A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FAA0501"/>
    <w:multiLevelType w:val="hybridMultilevel"/>
    <w:tmpl w:val="92E4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11C6912"/>
    <w:multiLevelType w:val="hybridMultilevel"/>
    <w:tmpl w:val="5EA8E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2AE218A"/>
    <w:multiLevelType w:val="hybridMultilevel"/>
    <w:tmpl w:val="6DAAABD6"/>
    <w:lvl w:ilvl="0" w:tplc="DDE650C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6A12D24"/>
    <w:multiLevelType w:val="hybridMultilevel"/>
    <w:tmpl w:val="D782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98E6828"/>
    <w:multiLevelType w:val="hybridMultilevel"/>
    <w:tmpl w:val="0E0C4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B3B24C1"/>
    <w:multiLevelType w:val="hybridMultilevel"/>
    <w:tmpl w:val="7E364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BB27FD5"/>
    <w:multiLevelType w:val="hybridMultilevel"/>
    <w:tmpl w:val="4C18B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C76678D"/>
    <w:multiLevelType w:val="hybridMultilevel"/>
    <w:tmpl w:val="95068C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5CB42191"/>
    <w:multiLevelType w:val="hybridMultilevel"/>
    <w:tmpl w:val="B7D4BD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5D6669CC"/>
    <w:multiLevelType w:val="hybridMultilevel"/>
    <w:tmpl w:val="1888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E0C42D7"/>
    <w:multiLevelType w:val="hybridMultilevel"/>
    <w:tmpl w:val="DDEC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F58000C"/>
    <w:multiLevelType w:val="hybridMultilevel"/>
    <w:tmpl w:val="E264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0846167"/>
    <w:multiLevelType w:val="hybridMultilevel"/>
    <w:tmpl w:val="FD683778"/>
    <w:lvl w:ilvl="0" w:tplc="663ED620">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nsid w:val="62FB79CC"/>
    <w:multiLevelType w:val="hybridMultilevel"/>
    <w:tmpl w:val="B1583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4A71417"/>
    <w:multiLevelType w:val="hybridMultilevel"/>
    <w:tmpl w:val="C5B40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5DA3A5E"/>
    <w:multiLevelType w:val="hybridMultilevel"/>
    <w:tmpl w:val="B878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7B3125F"/>
    <w:multiLevelType w:val="hybridMultilevel"/>
    <w:tmpl w:val="E844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88">
    <w:nsid w:val="6A6F04C9"/>
    <w:multiLevelType w:val="hybridMultilevel"/>
    <w:tmpl w:val="1A9C237C"/>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BBD7CDA"/>
    <w:multiLevelType w:val="hybridMultilevel"/>
    <w:tmpl w:val="D1E83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C91556E"/>
    <w:multiLevelType w:val="hybridMultilevel"/>
    <w:tmpl w:val="49EC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E97648B"/>
    <w:multiLevelType w:val="hybridMultilevel"/>
    <w:tmpl w:val="1A9C237C"/>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0C57DB6"/>
    <w:multiLevelType w:val="hybridMultilevel"/>
    <w:tmpl w:val="2BC6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1BF77FB"/>
    <w:multiLevelType w:val="hybridMultilevel"/>
    <w:tmpl w:val="1DA6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2840AFA"/>
    <w:multiLevelType w:val="hybridMultilevel"/>
    <w:tmpl w:val="41223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57428B0"/>
    <w:multiLevelType w:val="hybridMultilevel"/>
    <w:tmpl w:val="C8D6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5CF59AE"/>
    <w:multiLevelType w:val="hybridMultilevel"/>
    <w:tmpl w:val="6B369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779A202A"/>
    <w:multiLevelType w:val="hybridMultilevel"/>
    <w:tmpl w:val="6024D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7953310D"/>
    <w:multiLevelType w:val="hybridMultilevel"/>
    <w:tmpl w:val="03E8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9894DDA"/>
    <w:multiLevelType w:val="hybridMultilevel"/>
    <w:tmpl w:val="7BACD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79A57957"/>
    <w:multiLevelType w:val="hybridMultilevel"/>
    <w:tmpl w:val="88F8F5CA"/>
    <w:lvl w:ilvl="0" w:tplc="F66AF04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B2C2508"/>
    <w:multiLevelType w:val="hybridMultilevel"/>
    <w:tmpl w:val="33467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BD90A29"/>
    <w:multiLevelType w:val="hybridMultilevel"/>
    <w:tmpl w:val="084CC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D2A76CC"/>
    <w:multiLevelType w:val="hybridMultilevel"/>
    <w:tmpl w:val="67D23E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7"/>
  </w:num>
  <w:num w:numId="2">
    <w:abstractNumId w:val="65"/>
  </w:num>
  <w:num w:numId="3">
    <w:abstractNumId w:val="82"/>
  </w:num>
  <w:num w:numId="4">
    <w:abstractNumId w:val="103"/>
  </w:num>
  <w:num w:numId="5">
    <w:abstractNumId w:val="87"/>
  </w:num>
  <w:num w:numId="6">
    <w:abstractNumId w:val="42"/>
  </w:num>
  <w:num w:numId="7">
    <w:abstractNumId w:val="73"/>
  </w:num>
  <w:num w:numId="8">
    <w:abstractNumId w:val="67"/>
  </w:num>
  <w:num w:numId="9">
    <w:abstractNumId w:val="80"/>
  </w:num>
  <w:num w:numId="10">
    <w:abstractNumId w:val="94"/>
  </w:num>
  <w:num w:numId="11">
    <w:abstractNumId w:val="19"/>
  </w:num>
  <w:num w:numId="12">
    <w:abstractNumId w:val="99"/>
  </w:num>
  <w:num w:numId="13">
    <w:abstractNumId w:val="59"/>
  </w:num>
  <w:num w:numId="14">
    <w:abstractNumId w:val="56"/>
  </w:num>
  <w:num w:numId="15">
    <w:abstractNumId w:val="79"/>
  </w:num>
  <w:num w:numId="16">
    <w:abstractNumId w:val="16"/>
  </w:num>
  <w:num w:numId="17">
    <w:abstractNumId w:val="17"/>
  </w:num>
  <w:num w:numId="18">
    <w:abstractNumId w:val="71"/>
  </w:num>
  <w:num w:numId="19">
    <w:abstractNumId w:val="60"/>
  </w:num>
  <w:num w:numId="20">
    <w:abstractNumId w:val="76"/>
  </w:num>
  <w:num w:numId="21">
    <w:abstractNumId w:val="46"/>
  </w:num>
  <w:num w:numId="22">
    <w:abstractNumId w:val="18"/>
  </w:num>
  <w:num w:numId="23">
    <w:abstractNumId w:val="61"/>
  </w:num>
  <w:num w:numId="24">
    <w:abstractNumId w:val="24"/>
  </w:num>
  <w:num w:numId="25">
    <w:abstractNumId w:val="28"/>
  </w:num>
  <w:num w:numId="26">
    <w:abstractNumId w:val="55"/>
  </w:num>
  <w:num w:numId="27">
    <w:abstractNumId w:val="102"/>
  </w:num>
  <w:num w:numId="28">
    <w:abstractNumId w:val="38"/>
  </w:num>
  <w:num w:numId="29">
    <w:abstractNumId w:val="37"/>
  </w:num>
  <w:num w:numId="30">
    <w:abstractNumId w:val="89"/>
  </w:num>
  <w:num w:numId="31">
    <w:abstractNumId w:val="22"/>
  </w:num>
  <w:num w:numId="32">
    <w:abstractNumId w:val="29"/>
  </w:num>
  <w:num w:numId="33">
    <w:abstractNumId w:val="21"/>
  </w:num>
  <w:num w:numId="34">
    <w:abstractNumId w:val="23"/>
  </w:num>
  <w:num w:numId="35">
    <w:abstractNumId w:val="36"/>
  </w:num>
  <w:num w:numId="36">
    <w:abstractNumId w:val="91"/>
  </w:num>
  <w:num w:numId="37">
    <w:abstractNumId w:val="13"/>
  </w:num>
  <w:num w:numId="38">
    <w:abstractNumId w:val="50"/>
  </w:num>
  <w:num w:numId="39">
    <w:abstractNumId w:val="83"/>
  </w:num>
  <w:num w:numId="40">
    <w:abstractNumId w:val="45"/>
  </w:num>
  <w:num w:numId="41">
    <w:abstractNumId w:val="25"/>
  </w:num>
  <w:num w:numId="42">
    <w:abstractNumId w:val="51"/>
  </w:num>
  <w:num w:numId="43">
    <w:abstractNumId w:val="58"/>
  </w:num>
  <w:num w:numId="44">
    <w:abstractNumId w:val="90"/>
  </w:num>
  <w:num w:numId="45">
    <w:abstractNumId w:val="48"/>
  </w:num>
  <w:num w:numId="46">
    <w:abstractNumId w:val="43"/>
  </w:num>
  <w:num w:numId="47">
    <w:abstractNumId w:val="92"/>
  </w:num>
  <w:num w:numId="48">
    <w:abstractNumId w:val="20"/>
  </w:num>
  <w:num w:numId="49">
    <w:abstractNumId w:val="64"/>
  </w:num>
  <w:num w:numId="50">
    <w:abstractNumId w:val="75"/>
  </w:num>
  <w:num w:numId="51">
    <w:abstractNumId w:val="101"/>
  </w:num>
  <w:num w:numId="52">
    <w:abstractNumId w:val="66"/>
  </w:num>
  <w:num w:numId="53">
    <w:abstractNumId w:val="35"/>
  </w:num>
  <w:num w:numId="54">
    <w:abstractNumId w:val="74"/>
  </w:num>
  <w:num w:numId="55">
    <w:abstractNumId w:val="62"/>
  </w:num>
  <w:num w:numId="56">
    <w:abstractNumId w:val="77"/>
  </w:num>
  <w:num w:numId="57">
    <w:abstractNumId w:val="53"/>
  </w:num>
  <w:num w:numId="58">
    <w:abstractNumId w:val="41"/>
  </w:num>
  <w:num w:numId="59">
    <w:abstractNumId w:val="15"/>
  </w:num>
  <w:num w:numId="60">
    <w:abstractNumId w:val="63"/>
  </w:num>
  <w:num w:numId="61">
    <w:abstractNumId w:val="98"/>
  </w:num>
  <w:num w:numId="62">
    <w:abstractNumId w:val="93"/>
  </w:num>
  <w:num w:numId="63">
    <w:abstractNumId w:val="72"/>
  </w:num>
  <w:num w:numId="64">
    <w:abstractNumId w:val="84"/>
  </w:num>
  <w:num w:numId="65">
    <w:abstractNumId w:val="44"/>
  </w:num>
  <w:num w:numId="66">
    <w:abstractNumId w:val="95"/>
  </w:num>
  <w:num w:numId="67">
    <w:abstractNumId w:val="96"/>
  </w:num>
  <w:num w:numId="68">
    <w:abstractNumId w:val="97"/>
  </w:num>
  <w:num w:numId="69">
    <w:abstractNumId w:val="54"/>
  </w:num>
  <w:num w:numId="70">
    <w:abstractNumId w:val="78"/>
  </w:num>
  <w:num w:numId="71">
    <w:abstractNumId w:val="14"/>
  </w:num>
  <w:num w:numId="72">
    <w:abstractNumId w:val="32"/>
  </w:num>
  <w:num w:numId="73">
    <w:abstractNumId w:val="70"/>
  </w:num>
  <w:num w:numId="74">
    <w:abstractNumId w:val="31"/>
  </w:num>
  <w:num w:numId="75">
    <w:abstractNumId w:val="68"/>
  </w:num>
  <w:num w:numId="76">
    <w:abstractNumId w:val="0"/>
  </w:num>
  <w:num w:numId="77">
    <w:abstractNumId w:val="33"/>
  </w:num>
  <w:num w:numId="78">
    <w:abstractNumId w:val="81"/>
  </w:num>
  <w:num w:numId="79">
    <w:abstractNumId w:val="49"/>
  </w:num>
  <w:num w:numId="80">
    <w:abstractNumId w:val="88"/>
  </w:num>
  <w:num w:numId="81">
    <w:abstractNumId w:val="12"/>
  </w:num>
  <w:num w:numId="82">
    <w:abstractNumId w:val="40"/>
  </w:num>
  <w:num w:numId="83">
    <w:abstractNumId w:val="26"/>
  </w:num>
  <w:num w:numId="84">
    <w:abstractNumId w:val="34"/>
  </w:num>
  <w:num w:numId="85">
    <w:abstractNumId w:val="86"/>
  </w:num>
  <w:num w:numId="86">
    <w:abstractNumId w:val="27"/>
  </w:num>
  <w:num w:numId="87">
    <w:abstractNumId w:val="10"/>
  </w:num>
  <w:num w:numId="88">
    <w:abstractNumId w:val="8"/>
  </w:num>
  <w:num w:numId="89">
    <w:abstractNumId w:val="7"/>
  </w:num>
  <w:num w:numId="90">
    <w:abstractNumId w:val="6"/>
  </w:num>
  <w:num w:numId="91">
    <w:abstractNumId w:val="5"/>
  </w:num>
  <w:num w:numId="92">
    <w:abstractNumId w:val="9"/>
  </w:num>
  <w:num w:numId="93">
    <w:abstractNumId w:val="4"/>
  </w:num>
  <w:num w:numId="94">
    <w:abstractNumId w:val="3"/>
  </w:num>
  <w:num w:numId="95">
    <w:abstractNumId w:val="2"/>
  </w:num>
  <w:num w:numId="96">
    <w:abstractNumId w:val="1"/>
  </w:num>
  <w:num w:numId="97">
    <w:abstractNumId w:val="30"/>
  </w:num>
  <w:num w:numId="98">
    <w:abstractNumId w:val="47"/>
  </w:num>
  <w:num w:numId="99">
    <w:abstractNumId w:val="85"/>
  </w:num>
  <w:num w:numId="100">
    <w:abstractNumId w:val="52"/>
  </w:num>
  <w:num w:numId="101">
    <w:abstractNumId w:val="39"/>
  </w:num>
  <w:num w:numId="102">
    <w:abstractNumId w:val="69"/>
  </w:num>
  <w:num w:numId="103">
    <w:abstractNumId w:val="11"/>
  </w:num>
  <w:num w:numId="104">
    <w:abstractNumId w:val="100"/>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embedSystemFonts/>
  <w:activeWritingStyle w:appName="MSWord" w:lang="en-US" w:vendorID="64" w:dllVersion="131078" w:nlCheck="1" w:checkStyle="0"/>
  <w:proofState w:spelling="clean" w:grammar="clean"/>
  <w:attachedTemplate r:id="rId1"/>
  <w:linkStyles/>
  <w:defaultTabStop w:val="720"/>
  <w:noPunctuationKerning/>
  <w:characterSpacingControl w:val="doNotCompress"/>
  <w:hdrShapeDefaults>
    <o:shapedefaults v:ext="edit" spidmax="2049">
      <o:colormru v:ext="edit" colors="#ffc,#3cc,#3cc4c4,#ddd,#eaeaea,#f8f8f8,#6f9,#dbd9b9"/>
    </o:shapedefaults>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A3A"/>
    <w:rsid w:val="0000024F"/>
    <w:rsid w:val="000021B6"/>
    <w:rsid w:val="00002482"/>
    <w:rsid w:val="00003A93"/>
    <w:rsid w:val="00003D13"/>
    <w:rsid w:val="00004236"/>
    <w:rsid w:val="00004F82"/>
    <w:rsid w:val="000059C3"/>
    <w:rsid w:val="00006A61"/>
    <w:rsid w:val="00006B2C"/>
    <w:rsid w:val="00006C39"/>
    <w:rsid w:val="00006EDB"/>
    <w:rsid w:val="00007849"/>
    <w:rsid w:val="000078DF"/>
    <w:rsid w:val="00007976"/>
    <w:rsid w:val="00007A3E"/>
    <w:rsid w:val="0001023B"/>
    <w:rsid w:val="00010808"/>
    <w:rsid w:val="00010CF4"/>
    <w:rsid w:val="00012FEE"/>
    <w:rsid w:val="0001314C"/>
    <w:rsid w:val="00013535"/>
    <w:rsid w:val="00013B0B"/>
    <w:rsid w:val="00013B77"/>
    <w:rsid w:val="00013E67"/>
    <w:rsid w:val="000151E4"/>
    <w:rsid w:val="00015F66"/>
    <w:rsid w:val="0001632B"/>
    <w:rsid w:val="00016941"/>
    <w:rsid w:val="00016A7A"/>
    <w:rsid w:val="00016B40"/>
    <w:rsid w:val="00016BD4"/>
    <w:rsid w:val="00017120"/>
    <w:rsid w:val="0001759B"/>
    <w:rsid w:val="00017654"/>
    <w:rsid w:val="000177BC"/>
    <w:rsid w:val="0002007F"/>
    <w:rsid w:val="00020A8A"/>
    <w:rsid w:val="0002235E"/>
    <w:rsid w:val="00022EBB"/>
    <w:rsid w:val="00023F90"/>
    <w:rsid w:val="00024C0B"/>
    <w:rsid w:val="00024E7F"/>
    <w:rsid w:val="000267D8"/>
    <w:rsid w:val="0002777E"/>
    <w:rsid w:val="00027D52"/>
    <w:rsid w:val="00030838"/>
    <w:rsid w:val="0003091D"/>
    <w:rsid w:val="00031C55"/>
    <w:rsid w:val="0003221C"/>
    <w:rsid w:val="00033DA8"/>
    <w:rsid w:val="000341B9"/>
    <w:rsid w:val="00034258"/>
    <w:rsid w:val="00034546"/>
    <w:rsid w:val="00034589"/>
    <w:rsid w:val="000347C6"/>
    <w:rsid w:val="0003545A"/>
    <w:rsid w:val="000357EA"/>
    <w:rsid w:val="00035918"/>
    <w:rsid w:val="00036178"/>
    <w:rsid w:val="00036940"/>
    <w:rsid w:val="0003742F"/>
    <w:rsid w:val="000379B3"/>
    <w:rsid w:val="00037F61"/>
    <w:rsid w:val="000401A7"/>
    <w:rsid w:val="000408B2"/>
    <w:rsid w:val="00040F27"/>
    <w:rsid w:val="00041381"/>
    <w:rsid w:val="000413AC"/>
    <w:rsid w:val="00041BB0"/>
    <w:rsid w:val="000423DF"/>
    <w:rsid w:val="00042BBF"/>
    <w:rsid w:val="000432F3"/>
    <w:rsid w:val="0004375F"/>
    <w:rsid w:val="00043993"/>
    <w:rsid w:val="00043D74"/>
    <w:rsid w:val="00044B4A"/>
    <w:rsid w:val="000452AA"/>
    <w:rsid w:val="00045D24"/>
    <w:rsid w:val="00045E7F"/>
    <w:rsid w:val="00046BA1"/>
    <w:rsid w:val="00046CB6"/>
    <w:rsid w:val="0004745D"/>
    <w:rsid w:val="000478F5"/>
    <w:rsid w:val="00050ACD"/>
    <w:rsid w:val="00050D62"/>
    <w:rsid w:val="00050E04"/>
    <w:rsid w:val="0005143E"/>
    <w:rsid w:val="000515AE"/>
    <w:rsid w:val="00051666"/>
    <w:rsid w:val="000519B1"/>
    <w:rsid w:val="00051B93"/>
    <w:rsid w:val="00051E57"/>
    <w:rsid w:val="00052B88"/>
    <w:rsid w:val="0005352F"/>
    <w:rsid w:val="000536A7"/>
    <w:rsid w:val="0005641F"/>
    <w:rsid w:val="00056586"/>
    <w:rsid w:val="00056E94"/>
    <w:rsid w:val="000573E4"/>
    <w:rsid w:val="000576D6"/>
    <w:rsid w:val="00057BCA"/>
    <w:rsid w:val="00060A44"/>
    <w:rsid w:val="0006149C"/>
    <w:rsid w:val="0006191D"/>
    <w:rsid w:val="00061E0C"/>
    <w:rsid w:val="00062258"/>
    <w:rsid w:val="00063087"/>
    <w:rsid w:val="000630B6"/>
    <w:rsid w:val="000630CC"/>
    <w:rsid w:val="000635A2"/>
    <w:rsid w:val="00063A9C"/>
    <w:rsid w:val="000641C4"/>
    <w:rsid w:val="0006434D"/>
    <w:rsid w:val="00064763"/>
    <w:rsid w:val="000648F3"/>
    <w:rsid w:val="00065454"/>
    <w:rsid w:val="00065846"/>
    <w:rsid w:val="00066CDB"/>
    <w:rsid w:val="00067933"/>
    <w:rsid w:val="00067FAB"/>
    <w:rsid w:val="00070F6E"/>
    <w:rsid w:val="000722B1"/>
    <w:rsid w:val="00072609"/>
    <w:rsid w:val="00073581"/>
    <w:rsid w:val="00073672"/>
    <w:rsid w:val="00073AB3"/>
    <w:rsid w:val="0007423D"/>
    <w:rsid w:val="0007477B"/>
    <w:rsid w:val="000759F9"/>
    <w:rsid w:val="00076AC2"/>
    <w:rsid w:val="00076D5F"/>
    <w:rsid w:val="00076E5F"/>
    <w:rsid w:val="00076EF8"/>
    <w:rsid w:val="00077CEA"/>
    <w:rsid w:val="00077E21"/>
    <w:rsid w:val="0008016E"/>
    <w:rsid w:val="000809A4"/>
    <w:rsid w:val="000810D9"/>
    <w:rsid w:val="00081D3A"/>
    <w:rsid w:val="00082897"/>
    <w:rsid w:val="00082E0C"/>
    <w:rsid w:val="000830FC"/>
    <w:rsid w:val="0008473C"/>
    <w:rsid w:val="00084848"/>
    <w:rsid w:val="00085076"/>
    <w:rsid w:val="00086849"/>
    <w:rsid w:val="00086984"/>
    <w:rsid w:val="000869C2"/>
    <w:rsid w:val="0008789C"/>
    <w:rsid w:val="00087B6D"/>
    <w:rsid w:val="00087BCD"/>
    <w:rsid w:val="00091B1C"/>
    <w:rsid w:val="00092661"/>
    <w:rsid w:val="000926EC"/>
    <w:rsid w:val="00092B3B"/>
    <w:rsid w:val="00092DF7"/>
    <w:rsid w:val="00093420"/>
    <w:rsid w:val="00095E0E"/>
    <w:rsid w:val="0009694E"/>
    <w:rsid w:val="000972A5"/>
    <w:rsid w:val="000A006A"/>
    <w:rsid w:val="000A0102"/>
    <w:rsid w:val="000A0BD7"/>
    <w:rsid w:val="000A10AD"/>
    <w:rsid w:val="000A1316"/>
    <w:rsid w:val="000A156F"/>
    <w:rsid w:val="000A19BC"/>
    <w:rsid w:val="000A1A44"/>
    <w:rsid w:val="000A228D"/>
    <w:rsid w:val="000A2710"/>
    <w:rsid w:val="000A27FE"/>
    <w:rsid w:val="000A2B22"/>
    <w:rsid w:val="000A2C58"/>
    <w:rsid w:val="000A3D72"/>
    <w:rsid w:val="000A48C3"/>
    <w:rsid w:val="000A7641"/>
    <w:rsid w:val="000A781C"/>
    <w:rsid w:val="000A7FA3"/>
    <w:rsid w:val="000B176D"/>
    <w:rsid w:val="000B1DF2"/>
    <w:rsid w:val="000B1EDB"/>
    <w:rsid w:val="000B215F"/>
    <w:rsid w:val="000B29AC"/>
    <w:rsid w:val="000B2BD3"/>
    <w:rsid w:val="000B3F1A"/>
    <w:rsid w:val="000B422C"/>
    <w:rsid w:val="000B4392"/>
    <w:rsid w:val="000B4C38"/>
    <w:rsid w:val="000B4DC3"/>
    <w:rsid w:val="000B5B7E"/>
    <w:rsid w:val="000B652D"/>
    <w:rsid w:val="000B654D"/>
    <w:rsid w:val="000B6E5A"/>
    <w:rsid w:val="000B7AC0"/>
    <w:rsid w:val="000B7AD7"/>
    <w:rsid w:val="000C0579"/>
    <w:rsid w:val="000C0838"/>
    <w:rsid w:val="000C1A7A"/>
    <w:rsid w:val="000C3072"/>
    <w:rsid w:val="000C3642"/>
    <w:rsid w:val="000C36AB"/>
    <w:rsid w:val="000C3C46"/>
    <w:rsid w:val="000C4205"/>
    <w:rsid w:val="000C5034"/>
    <w:rsid w:val="000C54DC"/>
    <w:rsid w:val="000C589C"/>
    <w:rsid w:val="000C6998"/>
    <w:rsid w:val="000C75CF"/>
    <w:rsid w:val="000D00BC"/>
    <w:rsid w:val="000D07D8"/>
    <w:rsid w:val="000D0F8D"/>
    <w:rsid w:val="000D156F"/>
    <w:rsid w:val="000D1BD3"/>
    <w:rsid w:val="000D1DD0"/>
    <w:rsid w:val="000D1DE3"/>
    <w:rsid w:val="000D2768"/>
    <w:rsid w:val="000D336F"/>
    <w:rsid w:val="000D40CD"/>
    <w:rsid w:val="000D5271"/>
    <w:rsid w:val="000D5BB4"/>
    <w:rsid w:val="000D647B"/>
    <w:rsid w:val="000D6599"/>
    <w:rsid w:val="000D68F7"/>
    <w:rsid w:val="000D71E8"/>
    <w:rsid w:val="000D733D"/>
    <w:rsid w:val="000D7588"/>
    <w:rsid w:val="000D7615"/>
    <w:rsid w:val="000E001F"/>
    <w:rsid w:val="000E1970"/>
    <w:rsid w:val="000E1D0D"/>
    <w:rsid w:val="000E4043"/>
    <w:rsid w:val="000E4282"/>
    <w:rsid w:val="000E4E87"/>
    <w:rsid w:val="000E4FA5"/>
    <w:rsid w:val="000E6C96"/>
    <w:rsid w:val="000E6F5D"/>
    <w:rsid w:val="000E7497"/>
    <w:rsid w:val="000F074E"/>
    <w:rsid w:val="000F1688"/>
    <w:rsid w:val="000F1699"/>
    <w:rsid w:val="000F2F90"/>
    <w:rsid w:val="000F3583"/>
    <w:rsid w:val="000F38F6"/>
    <w:rsid w:val="000F3F88"/>
    <w:rsid w:val="000F49F8"/>
    <w:rsid w:val="000F4B71"/>
    <w:rsid w:val="000F4EF1"/>
    <w:rsid w:val="000F5268"/>
    <w:rsid w:val="000F5356"/>
    <w:rsid w:val="000F5BC6"/>
    <w:rsid w:val="000F5BFF"/>
    <w:rsid w:val="000F5CD5"/>
    <w:rsid w:val="000F5D9A"/>
    <w:rsid w:val="000F6B32"/>
    <w:rsid w:val="000F6D78"/>
    <w:rsid w:val="000F7340"/>
    <w:rsid w:val="000F7D8B"/>
    <w:rsid w:val="000F7F7F"/>
    <w:rsid w:val="001003F6"/>
    <w:rsid w:val="00101552"/>
    <w:rsid w:val="00101915"/>
    <w:rsid w:val="0010193C"/>
    <w:rsid w:val="00101A61"/>
    <w:rsid w:val="00101B50"/>
    <w:rsid w:val="00102F06"/>
    <w:rsid w:val="001032F8"/>
    <w:rsid w:val="00104311"/>
    <w:rsid w:val="00104506"/>
    <w:rsid w:val="00104BA0"/>
    <w:rsid w:val="00105893"/>
    <w:rsid w:val="0010630D"/>
    <w:rsid w:val="00106473"/>
    <w:rsid w:val="00106F48"/>
    <w:rsid w:val="001101D4"/>
    <w:rsid w:val="00111234"/>
    <w:rsid w:val="001113D4"/>
    <w:rsid w:val="00111DE9"/>
    <w:rsid w:val="00112B79"/>
    <w:rsid w:val="00112DA5"/>
    <w:rsid w:val="0011315B"/>
    <w:rsid w:val="0011391B"/>
    <w:rsid w:val="00113CC5"/>
    <w:rsid w:val="00113FB4"/>
    <w:rsid w:val="001144DD"/>
    <w:rsid w:val="0011478A"/>
    <w:rsid w:val="00114D13"/>
    <w:rsid w:val="001164D3"/>
    <w:rsid w:val="001165B3"/>
    <w:rsid w:val="00116BBC"/>
    <w:rsid w:val="00116CC5"/>
    <w:rsid w:val="00117216"/>
    <w:rsid w:val="00117B6F"/>
    <w:rsid w:val="001207EC"/>
    <w:rsid w:val="00120E33"/>
    <w:rsid w:val="00121C7F"/>
    <w:rsid w:val="00122310"/>
    <w:rsid w:val="0012326E"/>
    <w:rsid w:val="0012369C"/>
    <w:rsid w:val="00124E6A"/>
    <w:rsid w:val="00125828"/>
    <w:rsid w:val="00125E34"/>
    <w:rsid w:val="00125F3F"/>
    <w:rsid w:val="00126224"/>
    <w:rsid w:val="0012677C"/>
    <w:rsid w:val="00126D17"/>
    <w:rsid w:val="0012702C"/>
    <w:rsid w:val="001273C0"/>
    <w:rsid w:val="001273C3"/>
    <w:rsid w:val="00130219"/>
    <w:rsid w:val="001308B6"/>
    <w:rsid w:val="00130CB6"/>
    <w:rsid w:val="00130F6B"/>
    <w:rsid w:val="0013115A"/>
    <w:rsid w:val="0013148C"/>
    <w:rsid w:val="001321EB"/>
    <w:rsid w:val="00132740"/>
    <w:rsid w:val="001329B8"/>
    <w:rsid w:val="00132D8D"/>
    <w:rsid w:val="00133AEE"/>
    <w:rsid w:val="00134927"/>
    <w:rsid w:val="0013642A"/>
    <w:rsid w:val="001375A1"/>
    <w:rsid w:val="001378BE"/>
    <w:rsid w:val="00137E71"/>
    <w:rsid w:val="00140322"/>
    <w:rsid w:val="00140413"/>
    <w:rsid w:val="00142C35"/>
    <w:rsid w:val="00143644"/>
    <w:rsid w:val="001439FC"/>
    <w:rsid w:val="001441AB"/>
    <w:rsid w:val="00144C74"/>
    <w:rsid w:val="00144FCF"/>
    <w:rsid w:val="001450D5"/>
    <w:rsid w:val="001451B9"/>
    <w:rsid w:val="00146EFC"/>
    <w:rsid w:val="001473D5"/>
    <w:rsid w:val="001507D2"/>
    <w:rsid w:val="001511C2"/>
    <w:rsid w:val="0015156B"/>
    <w:rsid w:val="001516DA"/>
    <w:rsid w:val="001518DD"/>
    <w:rsid w:val="001518E1"/>
    <w:rsid w:val="00151C42"/>
    <w:rsid w:val="00151DAE"/>
    <w:rsid w:val="00151F87"/>
    <w:rsid w:val="00152C67"/>
    <w:rsid w:val="00153078"/>
    <w:rsid w:val="001543D0"/>
    <w:rsid w:val="001544A4"/>
    <w:rsid w:val="0015482C"/>
    <w:rsid w:val="0015488A"/>
    <w:rsid w:val="00154E00"/>
    <w:rsid w:val="00155489"/>
    <w:rsid w:val="001554EF"/>
    <w:rsid w:val="00155727"/>
    <w:rsid w:val="001566D4"/>
    <w:rsid w:val="001568D2"/>
    <w:rsid w:val="0015696B"/>
    <w:rsid w:val="00156DC9"/>
    <w:rsid w:val="001577F4"/>
    <w:rsid w:val="00157BF9"/>
    <w:rsid w:val="001600AE"/>
    <w:rsid w:val="00160C05"/>
    <w:rsid w:val="00161015"/>
    <w:rsid w:val="001618D0"/>
    <w:rsid w:val="00161C49"/>
    <w:rsid w:val="001620B7"/>
    <w:rsid w:val="00162BCF"/>
    <w:rsid w:val="00162CA2"/>
    <w:rsid w:val="00163384"/>
    <w:rsid w:val="00163DC6"/>
    <w:rsid w:val="001641E0"/>
    <w:rsid w:val="00164A88"/>
    <w:rsid w:val="00164ADB"/>
    <w:rsid w:val="0016525A"/>
    <w:rsid w:val="001655B6"/>
    <w:rsid w:val="00166274"/>
    <w:rsid w:val="00166E51"/>
    <w:rsid w:val="00167982"/>
    <w:rsid w:val="00167AE7"/>
    <w:rsid w:val="001708F2"/>
    <w:rsid w:val="001712E1"/>
    <w:rsid w:val="001715D5"/>
    <w:rsid w:val="001717EE"/>
    <w:rsid w:val="00171CCA"/>
    <w:rsid w:val="0017227A"/>
    <w:rsid w:val="00172A9A"/>
    <w:rsid w:val="00172B94"/>
    <w:rsid w:val="00173AB3"/>
    <w:rsid w:val="00174850"/>
    <w:rsid w:val="00174E14"/>
    <w:rsid w:val="001751EF"/>
    <w:rsid w:val="001756B2"/>
    <w:rsid w:val="001757D6"/>
    <w:rsid w:val="001758AF"/>
    <w:rsid w:val="00175B43"/>
    <w:rsid w:val="001773DF"/>
    <w:rsid w:val="00177C96"/>
    <w:rsid w:val="00180AF9"/>
    <w:rsid w:val="00181E49"/>
    <w:rsid w:val="0018242F"/>
    <w:rsid w:val="00182D9A"/>
    <w:rsid w:val="00182DA4"/>
    <w:rsid w:val="001837AD"/>
    <w:rsid w:val="00183B4D"/>
    <w:rsid w:val="00183F96"/>
    <w:rsid w:val="0018405C"/>
    <w:rsid w:val="00184768"/>
    <w:rsid w:val="001862DD"/>
    <w:rsid w:val="001867B3"/>
    <w:rsid w:val="00186A3D"/>
    <w:rsid w:val="00186E99"/>
    <w:rsid w:val="0018714F"/>
    <w:rsid w:val="00187397"/>
    <w:rsid w:val="00190404"/>
    <w:rsid w:val="001906C0"/>
    <w:rsid w:val="00190796"/>
    <w:rsid w:val="00190DDC"/>
    <w:rsid w:val="0019169F"/>
    <w:rsid w:val="0019179D"/>
    <w:rsid w:val="00191938"/>
    <w:rsid w:val="00192825"/>
    <w:rsid w:val="00192F83"/>
    <w:rsid w:val="001938E5"/>
    <w:rsid w:val="00193ECF"/>
    <w:rsid w:val="001956D8"/>
    <w:rsid w:val="00195ABA"/>
    <w:rsid w:val="00195DF1"/>
    <w:rsid w:val="00195EA3"/>
    <w:rsid w:val="0019623E"/>
    <w:rsid w:val="00197214"/>
    <w:rsid w:val="001A05CA"/>
    <w:rsid w:val="001A0C58"/>
    <w:rsid w:val="001A0E00"/>
    <w:rsid w:val="001A10B0"/>
    <w:rsid w:val="001A1AB7"/>
    <w:rsid w:val="001A1D74"/>
    <w:rsid w:val="001A1F17"/>
    <w:rsid w:val="001A50B3"/>
    <w:rsid w:val="001A69BC"/>
    <w:rsid w:val="001A6EEA"/>
    <w:rsid w:val="001A7B99"/>
    <w:rsid w:val="001B06CD"/>
    <w:rsid w:val="001B15DF"/>
    <w:rsid w:val="001B2584"/>
    <w:rsid w:val="001B262E"/>
    <w:rsid w:val="001B2E69"/>
    <w:rsid w:val="001B3295"/>
    <w:rsid w:val="001B3417"/>
    <w:rsid w:val="001B36BE"/>
    <w:rsid w:val="001B3AB3"/>
    <w:rsid w:val="001B3E94"/>
    <w:rsid w:val="001B3FD1"/>
    <w:rsid w:val="001B409C"/>
    <w:rsid w:val="001B4D5F"/>
    <w:rsid w:val="001B639D"/>
    <w:rsid w:val="001B64E8"/>
    <w:rsid w:val="001B7068"/>
    <w:rsid w:val="001B76A6"/>
    <w:rsid w:val="001B7C1C"/>
    <w:rsid w:val="001C0903"/>
    <w:rsid w:val="001C1A74"/>
    <w:rsid w:val="001C1D8A"/>
    <w:rsid w:val="001C2617"/>
    <w:rsid w:val="001C2762"/>
    <w:rsid w:val="001C2A69"/>
    <w:rsid w:val="001C3493"/>
    <w:rsid w:val="001C36CF"/>
    <w:rsid w:val="001C4DA9"/>
    <w:rsid w:val="001C52F9"/>
    <w:rsid w:val="001C53CC"/>
    <w:rsid w:val="001C5902"/>
    <w:rsid w:val="001C5A93"/>
    <w:rsid w:val="001C6760"/>
    <w:rsid w:val="001C6A73"/>
    <w:rsid w:val="001D00FD"/>
    <w:rsid w:val="001D052C"/>
    <w:rsid w:val="001D1443"/>
    <w:rsid w:val="001D262D"/>
    <w:rsid w:val="001D2CE4"/>
    <w:rsid w:val="001D33B8"/>
    <w:rsid w:val="001D3F79"/>
    <w:rsid w:val="001D4EDD"/>
    <w:rsid w:val="001D6EBC"/>
    <w:rsid w:val="001D7060"/>
    <w:rsid w:val="001D7432"/>
    <w:rsid w:val="001D75F6"/>
    <w:rsid w:val="001D7621"/>
    <w:rsid w:val="001D767C"/>
    <w:rsid w:val="001D7B3E"/>
    <w:rsid w:val="001E080D"/>
    <w:rsid w:val="001E1188"/>
    <w:rsid w:val="001E155C"/>
    <w:rsid w:val="001E1D6E"/>
    <w:rsid w:val="001E2455"/>
    <w:rsid w:val="001E27BE"/>
    <w:rsid w:val="001E300D"/>
    <w:rsid w:val="001E3044"/>
    <w:rsid w:val="001E3811"/>
    <w:rsid w:val="001E41E8"/>
    <w:rsid w:val="001E44DA"/>
    <w:rsid w:val="001E46F5"/>
    <w:rsid w:val="001E4C6F"/>
    <w:rsid w:val="001E4F8D"/>
    <w:rsid w:val="001E58F9"/>
    <w:rsid w:val="001E6538"/>
    <w:rsid w:val="001E679B"/>
    <w:rsid w:val="001E69BD"/>
    <w:rsid w:val="001F01B1"/>
    <w:rsid w:val="001F06C1"/>
    <w:rsid w:val="001F0961"/>
    <w:rsid w:val="001F1551"/>
    <w:rsid w:val="001F16DC"/>
    <w:rsid w:val="001F1FB8"/>
    <w:rsid w:val="001F2531"/>
    <w:rsid w:val="001F2593"/>
    <w:rsid w:val="001F3262"/>
    <w:rsid w:val="001F36B1"/>
    <w:rsid w:val="001F3D3B"/>
    <w:rsid w:val="001F3D42"/>
    <w:rsid w:val="001F3F06"/>
    <w:rsid w:val="001F56C9"/>
    <w:rsid w:val="001F5A0F"/>
    <w:rsid w:val="001F5BB2"/>
    <w:rsid w:val="001F66C4"/>
    <w:rsid w:val="001F751E"/>
    <w:rsid w:val="001F787C"/>
    <w:rsid w:val="00200120"/>
    <w:rsid w:val="00200833"/>
    <w:rsid w:val="00200A0C"/>
    <w:rsid w:val="00200C22"/>
    <w:rsid w:val="00201259"/>
    <w:rsid w:val="00201698"/>
    <w:rsid w:val="00203C0C"/>
    <w:rsid w:val="00203C19"/>
    <w:rsid w:val="00204C54"/>
    <w:rsid w:val="002058EE"/>
    <w:rsid w:val="00206838"/>
    <w:rsid w:val="002074FC"/>
    <w:rsid w:val="0020761E"/>
    <w:rsid w:val="002079E0"/>
    <w:rsid w:val="002102E7"/>
    <w:rsid w:val="00210960"/>
    <w:rsid w:val="0021096B"/>
    <w:rsid w:val="00210BEA"/>
    <w:rsid w:val="002111E8"/>
    <w:rsid w:val="0021239F"/>
    <w:rsid w:val="0021260F"/>
    <w:rsid w:val="0021262E"/>
    <w:rsid w:val="00212659"/>
    <w:rsid w:val="002127DD"/>
    <w:rsid w:val="00212CE8"/>
    <w:rsid w:val="00212FE5"/>
    <w:rsid w:val="0021327C"/>
    <w:rsid w:val="00213FD2"/>
    <w:rsid w:val="0021527A"/>
    <w:rsid w:val="00215284"/>
    <w:rsid w:val="00215C4A"/>
    <w:rsid w:val="0021635C"/>
    <w:rsid w:val="002163B7"/>
    <w:rsid w:val="00216781"/>
    <w:rsid w:val="002168E9"/>
    <w:rsid w:val="00217916"/>
    <w:rsid w:val="00217ADB"/>
    <w:rsid w:val="00217EBE"/>
    <w:rsid w:val="00217EC3"/>
    <w:rsid w:val="002201F6"/>
    <w:rsid w:val="00220FA7"/>
    <w:rsid w:val="00221307"/>
    <w:rsid w:val="00222D5F"/>
    <w:rsid w:val="00223320"/>
    <w:rsid w:val="002233E1"/>
    <w:rsid w:val="00224431"/>
    <w:rsid w:val="00224BB1"/>
    <w:rsid w:val="00224C32"/>
    <w:rsid w:val="00225A23"/>
    <w:rsid w:val="00225BBA"/>
    <w:rsid w:val="00226462"/>
    <w:rsid w:val="0022688E"/>
    <w:rsid w:val="00230263"/>
    <w:rsid w:val="00230A37"/>
    <w:rsid w:val="002318E2"/>
    <w:rsid w:val="00231D40"/>
    <w:rsid w:val="002324D7"/>
    <w:rsid w:val="0023261F"/>
    <w:rsid w:val="00232932"/>
    <w:rsid w:val="002329C0"/>
    <w:rsid w:val="00232BF7"/>
    <w:rsid w:val="00233A5F"/>
    <w:rsid w:val="00233CB9"/>
    <w:rsid w:val="00233DBB"/>
    <w:rsid w:val="00234519"/>
    <w:rsid w:val="002347BC"/>
    <w:rsid w:val="00234A60"/>
    <w:rsid w:val="00234FDD"/>
    <w:rsid w:val="00235626"/>
    <w:rsid w:val="00235F9B"/>
    <w:rsid w:val="00235FDA"/>
    <w:rsid w:val="0023689A"/>
    <w:rsid w:val="00237BB1"/>
    <w:rsid w:val="00237C7D"/>
    <w:rsid w:val="00240ED0"/>
    <w:rsid w:val="002414F6"/>
    <w:rsid w:val="00241792"/>
    <w:rsid w:val="00241AD8"/>
    <w:rsid w:val="00242637"/>
    <w:rsid w:val="0024276F"/>
    <w:rsid w:val="002441CA"/>
    <w:rsid w:val="0024441F"/>
    <w:rsid w:val="0024463F"/>
    <w:rsid w:val="00244D1C"/>
    <w:rsid w:val="0024527C"/>
    <w:rsid w:val="00245B87"/>
    <w:rsid w:val="00245E7B"/>
    <w:rsid w:val="00246915"/>
    <w:rsid w:val="00246ADA"/>
    <w:rsid w:val="00247176"/>
    <w:rsid w:val="002478F4"/>
    <w:rsid w:val="00250288"/>
    <w:rsid w:val="00250425"/>
    <w:rsid w:val="002509B0"/>
    <w:rsid w:val="00250C0A"/>
    <w:rsid w:val="00250DF9"/>
    <w:rsid w:val="00251101"/>
    <w:rsid w:val="00251297"/>
    <w:rsid w:val="002518FC"/>
    <w:rsid w:val="00251E51"/>
    <w:rsid w:val="0025203A"/>
    <w:rsid w:val="002520B3"/>
    <w:rsid w:val="00253520"/>
    <w:rsid w:val="00253728"/>
    <w:rsid w:val="00253D65"/>
    <w:rsid w:val="00254A7F"/>
    <w:rsid w:val="00254EA0"/>
    <w:rsid w:val="00254EB1"/>
    <w:rsid w:val="00255032"/>
    <w:rsid w:val="00255364"/>
    <w:rsid w:val="002553BB"/>
    <w:rsid w:val="002557C0"/>
    <w:rsid w:val="00256322"/>
    <w:rsid w:val="00256724"/>
    <w:rsid w:val="0025677D"/>
    <w:rsid w:val="002570C9"/>
    <w:rsid w:val="00257D02"/>
    <w:rsid w:val="0026041E"/>
    <w:rsid w:val="00260F60"/>
    <w:rsid w:val="00262328"/>
    <w:rsid w:val="00262FF1"/>
    <w:rsid w:val="002630E1"/>
    <w:rsid w:val="00263242"/>
    <w:rsid w:val="002632F4"/>
    <w:rsid w:val="002639C3"/>
    <w:rsid w:val="00263A2A"/>
    <w:rsid w:val="0026423C"/>
    <w:rsid w:val="0026495E"/>
    <w:rsid w:val="00265831"/>
    <w:rsid w:val="0026594F"/>
    <w:rsid w:val="00265D14"/>
    <w:rsid w:val="00266126"/>
    <w:rsid w:val="00267492"/>
    <w:rsid w:val="00267ABF"/>
    <w:rsid w:val="00267D2B"/>
    <w:rsid w:val="0027028D"/>
    <w:rsid w:val="00270688"/>
    <w:rsid w:val="00271596"/>
    <w:rsid w:val="002716B1"/>
    <w:rsid w:val="00271809"/>
    <w:rsid w:val="00271AFC"/>
    <w:rsid w:val="00271CAF"/>
    <w:rsid w:val="00272390"/>
    <w:rsid w:val="00272F3D"/>
    <w:rsid w:val="00273386"/>
    <w:rsid w:val="002747F1"/>
    <w:rsid w:val="00274DEA"/>
    <w:rsid w:val="00276623"/>
    <w:rsid w:val="00280011"/>
    <w:rsid w:val="002809DA"/>
    <w:rsid w:val="0028191A"/>
    <w:rsid w:val="002823B7"/>
    <w:rsid w:val="0028254D"/>
    <w:rsid w:val="00282F4F"/>
    <w:rsid w:val="0028347D"/>
    <w:rsid w:val="002858F0"/>
    <w:rsid w:val="00285B42"/>
    <w:rsid w:val="00285C01"/>
    <w:rsid w:val="00285D35"/>
    <w:rsid w:val="00285EC2"/>
    <w:rsid w:val="002867EA"/>
    <w:rsid w:val="0028680E"/>
    <w:rsid w:val="00287372"/>
    <w:rsid w:val="00287410"/>
    <w:rsid w:val="002875A5"/>
    <w:rsid w:val="00287796"/>
    <w:rsid w:val="00287998"/>
    <w:rsid w:val="00287DD9"/>
    <w:rsid w:val="00290D30"/>
    <w:rsid w:val="00291033"/>
    <w:rsid w:val="00292150"/>
    <w:rsid w:val="002925FA"/>
    <w:rsid w:val="002930FC"/>
    <w:rsid w:val="00293149"/>
    <w:rsid w:val="002931F0"/>
    <w:rsid w:val="002936B1"/>
    <w:rsid w:val="00293810"/>
    <w:rsid w:val="00294219"/>
    <w:rsid w:val="0029487B"/>
    <w:rsid w:val="002954C9"/>
    <w:rsid w:val="00296065"/>
    <w:rsid w:val="00296366"/>
    <w:rsid w:val="002966A2"/>
    <w:rsid w:val="00296A56"/>
    <w:rsid w:val="00296EB2"/>
    <w:rsid w:val="002976D0"/>
    <w:rsid w:val="00297893"/>
    <w:rsid w:val="002978BF"/>
    <w:rsid w:val="00297920"/>
    <w:rsid w:val="00297F8D"/>
    <w:rsid w:val="002A04B6"/>
    <w:rsid w:val="002A10C1"/>
    <w:rsid w:val="002A433D"/>
    <w:rsid w:val="002A453A"/>
    <w:rsid w:val="002A5263"/>
    <w:rsid w:val="002A54F6"/>
    <w:rsid w:val="002A5B9D"/>
    <w:rsid w:val="002A5CAD"/>
    <w:rsid w:val="002A5D05"/>
    <w:rsid w:val="002A60F5"/>
    <w:rsid w:val="002A6153"/>
    <w:rsid w:val="002A63A0"/>
    <w:rsid w:val="002A6421"/>
    <w:rsid w:val="002A7B58"/>
    <w:rsid w:val="002A7C30"/>
    <w:rsid w:val="002A7E4C"/>
    <w:rsid w:val="002A7FA3"/>
    <w:rsid w:val="002B0B1C"/>
    <w:rsid w:val="002B1530"/>
    <w:rsid w:val="002B1A18"/>
    <w:rsid w:val="002B2EB8"/>
    <w:rsid w:val="002B32AE"/>
    <w:rsid w:val="002B3806"/>
    <w:rsid w:val="002B4615"/>
    <w:rsid w:val="002B50FB"/>
    <w:rsid w:val="002B533B"/>
    <w:rsid w:val="002B5C73"/>
    <w:rsid w:val="002B7574"/>
    <w:rsid w:val="002B77E5"/>
    <w:rsid w:val="002B7B0B"/>
    <w:rsid w:val="002B7B98"/>
    <w:rsid w:val="002B7EAD"/>
    <w:rsid w:val="002C04F6"/>
    <w:rsid w:val="002C0583"/>
    <w:rsid w:val="002C0F8B"/>
    <w:rsid w:val="002C132E"/>
    <w:rsid w:val="002C1C6F"/>
    <w:rsid w:val="002C2EF5"/>
    <w:rsid w:val="002C3631"/>
    <w:rsid w:val="002C3C52"/>
    <w:rsid w:val="002C3DAD"/>
    <w:rsid w:val="002C3DC1"/>
    <w:rsid w:val="002C3E0B"/>
    <w:rsid w:val="002C4141"/>
    <w:rsid w:val="002C41A0"/>
    <w:rsid w:val="002C54AC"/>
    <w:rsid w:val="002C5789"/>
    <w:rsid w:val="002C5C92"/>
    <w:rsid w:val="002C716A"/>
    <w:rsid w:val="002D011C"/>
    <w:rsid w:val="002D020B"/>
    <w:rsid w:val="002D09C5"/>
    <w:rsid w:val="002D16D8"/>
    <w:rsid w:val="002D2503"/>
    <w:rsid w:val="002D2CDA"/>
    <w:rsid w:val="002D2FA7"/>
    <w:rsid w:val="002D3017"/>
    <w:rsid w:val="002D4F5C"/>
    <w:rsid w:val="002D5052"/>
    <w:rsid w:val="002D5D7D"/>
    <w:rsid w:val="002D6093"/>
    <w:rsid w:val="002D6C29"/>
    <w:rsid w:val="002E0095"/>
    <w:rsid w:val="002E096A"/>
    <w:rsid w:val="002E0D8A"/>
    <w:rsid w:val="002E0F52"/>
    <w:rsid w:val="002E1998"/>
    <w:rsid w:val="002E1C7D"/>
    <w:rsid w:val="002E1EE0"/>
    <w:rsid w:val="002E2F1E"/>
    <w:rsid w:val="002E3790"/>
    <w:rsid w:val="002E4562"/>
    <w:rsid w:val="002E4B22"/>
    <w:rsid w:val="002E5386"/>
    <w:rsid w:val="002E553D"/>
    <w:rsid w:val="002E56DB"/>
    <w:rsid w:val="002E5DA9"/>
    <w:rsid w:val="002E68E4"/>
    <w:rsid w:val="002E72AE"/>
    <w:rsid w:val="002E763D"/>
    <w:rsid w:val="002F0C54"/>
    <w:rsid w:val="002F1089"/>
    <w:rsid w:val="002F1DDF"/>
    <w:rsid w:val="002F1F40"/>
    <w:rsid w:val="002F20C3"/>
    <w:rsid w:val="002F224B"/>
    <w:rsid w:val="002F2475"/>
    <w:rsid w:val="002F26D6"/>
    <w:rsid w:val="002F2E53"/>
    <w:rsid w:val="002F2FD9"/>
    <w:rsid w:val="002F3138"/>
    <w:rsid w:val="002F31A5"/>
    <w:rsid w:val="002F380F"/>
    <w:rsid w:val="002F465B"/>
    <w:rsid w:val="002F52A0"/>
    <w:rsid w:val="002F5FA0"/>
    <w:rsid w:val="002F70AC"/>
    <w:rsid w:val="002F7251"/>
    <w:rsid w:val="002F72D1"/>
    <w:rsid w:val="002F72E1"/>
    <w:rsid w:val="002F7786"/>
    <w:rsid w:val="00300B21"/>
    <w:rsid w:val="00300DF6"/>
    <w:rsid w:val="00301AFE"/>
    <w:rsid w:val="003021DB"/>
    <w:rsid w:val="003025A2"/>
    <w:rsid w:val="003027DB"/>
    <w:rsid w:val="00303A59"/>
    <w:rsid w:val="00303D9B"/>
    <w:rsid w:val="0030413B"/>
    <w:rsid w:val="00304740"/>
    <w:rsid w:val="00304B9C"/>
    <w:rsid w:val="003050EE"/>
    <w:rsid w:val="00305BE6"/>
    <w:rsid w:val="00305FE1"/>
    <w:rsid w:val="003071F9"/>
    <w:rsid w:val="00307458"/>
    <w:rsid w:val="0030792D"/>
    <w:rsid w:val="00307F3E"/>
    <w:rsid w:val="00310456"/>
    <w:rsid w:val="00310635"/>
    <w:rsid w:val="00310B5C"/>
    <w:rsid w:val="00310E23"/>
    <w:rsid w:val="003111AF"/>
    <w:rsid w:val="00311F18"/>
    <w:rsid w:val="00312011"/>
    <w:rsid w:val="003121C6"/>
    <w:rsid w:val="003122B6"/>
    <w:rsid w:val="00312660"/>
    <w:rsid w:val="0031314E"/>
    <w:rsid w:val="003144A5"/>
    <w:rsid w:val="0031456B"/>
    <w:rsid w:val="00314717"/>
    <w:rsid w:val="003149CB"/>
    <w:rsid w:val="003157A1"/>
    <w:rsid w:val="00316469"/>
    <w:rsid w:val="00316798"/>
    <w:rsid w:val="00316F26"/>
    <w:rsid w:val="00317FB8"/>
    <w:rsid w:val="00321DFB"/>
    <w:rsid w:val="003225ED"/>
    <w:rsid w:val="003236A3"/>
    <w:rsid w:val="003237FD"/>
    <w:rsid w:val="003241D6"/>
    <w:rsid w:val="00324710"/>
    <w:rsid w:val="00324809"/>
    <w:rsid w:val="00324B0A"/>
    <w:rsid w:val="00326146"/>
    <w:rsid w:val="003268C0"/>
    <w:rsid w:val="00326EC3"/>
    <w:rsid w:val="00326F47"/>
    <w:rsid w:val="0032743C"/>
    <w:rsid w:val="003279C4"/>
    <w:rsid w:val="003279E2"/>
    <w:rsid w:val="00330050"/>
    <w:rsid w:val="00330525"/>
    <w:rsid w:val="00331681"/>
    <w:rsid w:val="0033190A"/>
    <w:rsid w:val="00331FCE"/>
    <w:rsid w:val="003320C4"/>
    <w:rsid w:val="00332199"/>
    <w:rsid w:val="003324C9"/>
    <w:rsid w:val="0033264E"/>
    <w:rsid w:val="00333266"/>
    <w:rsid w:val="00333599"/>
    <w:rsid w:val="00336C68"/>
    <w:rsid w:val="0033750B"/>
    <w:rsid w:val="00337623"/>
    <w:rsid w:val="003377BA"/>
    <w:rsid w:val="00337D25"/>
    <w:rsid w:val="003423FE"/>
    <w:rsid w:val="003433A7"/>
    <w:rsid w:val="00343858"/>
    <w:rsid w:val="003443C4"/>
    <w:rsid w:val="003449FF"/>
    <w:rsid w:val="00345BDB"/>
    <w:rsid w:val="00345C75"/>
    <w:rsid w:val="00345EC2"/>
    <w:rsid w:val="0034647F"/>
    <w:rsid w:val="00347857"/>
    <w:rsid w:val="003501A3"/>
    <w:rsid w:val="00350EFC"/>
    <w:rsid w:val="0035106A"/>
    <w:rsid w:val="003511A3"/>
    <w:rsid w:val="00351FB2"/>
    <w:rsid w:val="0035256A"/>
    <w:rsid w:val="00352761"/>
    <w:rsid w:val="0035333D"/>
    <w:rsid w:val="00353B3E"/>
    <w:rsid w:val="003540E0"/>
    <w:rsid w:val="00354241"/>
    <w:rsid w:val="003547DF"/>
    <w:rsid w:val="003554B5"/>
    <w:rsid w:val="003557C7"/>
    <w:rsid w:val="00355973"/>
    <w:rsid w:val="0035603D"/>
    <w:rsid w:val="00356291"/>
    <w:rsid w:val="003565C7"/>
    <w:rsid w:val="00356B39"/>
    <w:rsid w:val="00356F9A"/>
    <w:rsid w:val="003571BB"/>
    <w:rsid w:val="00357314"/>
    <w:rsid w:val="003579EB"/>
    <w:rsid w:val="00357CA7"/>
    <w:rsid w:val="00360984"/>
    <w:rsid w:val="0036152F"/>
    <w:rsid w:val="00361EBE"/>
    <w:rsid w:val="003620EF"/>
    <w:rsid w:val="00362473"/>
    <w:rsid w:val="00362476"/>
    <w:rsid w:val="00362968"/>
    <w:rsid w:val="0036298F"/>
    <w:rsid w:val="00363F69"/>
    <w:rsid w:val="0036520D"/>
    <w:rsid w:val="0036560B"/>
    <w:rsid w:val="00365B70"/>
    <w:rsid w:val="003662E9"/>
    <w:rsid w:val="00367247"/>
    <w:rsid w:val="003672B0"/>
    <w:rsid w:val="00367889"/>
    <w:rsid w:val="00367A2F"/>
    <w:rsid w:val="003704BB"/>
    <w:rsid w:val="00370ED0"/>
    <w:rsid w:val="00370FF0"/>
    <w:rsid w:val="00371120"/>
    <w:rsid w:val="00371345"/>
    <w:rsid w:val="003715AC"/>
    <w:rsid w:val="00371916"/>
    <w:rsid w:val="00371CF7"/>
    <w:rsid w:val="00372009"/>
    <w:rsid w:val="0037205C"/>
    <w:rsid w:val="00372D91"/>
    <w:rsid w:val="003731C1"/>
    <w:rsid w:val="00373961"/>
    <w:rsid w:val="00373BC7"/>
    <w:rsid w:val="00374AAD"/>
    <w:rsid w:val="00374FD8"/>
    <w:rsid w:val="003763AC"/>
    <w:rsid w:val="00376A1E"/>
    <w:rsid w:val="003803B9"/>
    <w:rsid w:val="00380776"/>
    <w:rsid w:val="00381B7C"/>
    <w:rsid w:val="0038201C"/>
    <w:rsid w:val="003834FF"/>
    <w:rsid w:val="003836A0"/>
    <w:rsid w:val="003848C9"/>
    <w:rsid w:val="00384FCE"/>
    <w:rsid w:val="00385395"/>
    <w:rsid w:val="0038573D"/>
    <w:rsid w:val="0038629E"/>
    <w:rsid w:val="00386D59"/>
    <w:rsid w:val="00386DBB"/>
    <w:rsid w:val="00387394"/>
    <w:rsid w:val="003903E4"/>
    <w:rsid w:val="0039046C"/>
    <w:rsid w:val="003907FB"/>
    <w:rsid w:val="00391042"/>
    <w:rsid w:val="00391166"/>
    <w:rsid w:val="003916C4"/>
    <w:rsid w:val="00392EF6"/>
    <w:rsid w:val="00393B96"/>
    <w:rsid w:val="00393F6C"/>
    <w:rsid w:val="0039460F"/>
    <w:rsid w:val="00394705"/>
    <w:rsid w:val="003948BE"/>
    <w:rsid w:val="00395488"/>
    <w:rsid w:val="003963D1"/>
    <w:rsid w:val="0039719D"/>
    <w:rsid w:val="00397348"/>
    <w:rsid w:val="00397807"/>
    <w:rsid w:val="003978F1"/>
    <w:rsid w:val="00397AAF"/>
    <w:rsid w:val="00397AC2"/>
    <w:rsid w:val="00397E54"/>
    <w:rsid w:val="003A0A99"/>
    <w:rsid w:val="003A1776"/>
    <w:rsid w:val="003A17DA"/>
    <w:rsid w:val="003A204D"/>
    <w:rsid w:val="003A21AD"/>
    <w:rsid w:val="003A24DB"/>
    <w:rsid w:val="003A3115"/>
    <w:rsid w:val="003A322F"/>
    <w:rsid w:val="003A32FA"/>
    <w:rsid w:val="003A38E6"/>
    <w:rsid w:val="003A4736"/>
    <w:rsid w:val="003A4AB3"/>
    <w:rsid w:val="003A4E68"/>
    <w:rsid w:val="003A57D2"/>
    <w:rsid w:val="003A5C7E"/>
    <w:rsid w:val="003B0EF7"/>
    <w:rsid w:val="003B0F5B"/>
    <w:rsid w:val="003B1954"/>
    <w:rsid w:val="003B28D1"/>
    <w:rsid w:val="003B2EAE"/>
    <w:rsid w:val="003B327E"/>
    <w:rsid w:val="003B3678"/>
    <w:rsid w:val="003B3FA4"/>
    <w:rsid w:val="003B4006"/>
    <w:rsid w:val="003B41C2"/>
    <w:rsid w:val="003B491C"/>
    <w:rsid w:val="003B4E25"/>
    <w:rsid w:val="003B4E32"/>
    <w:rsid w:val="003B61BA"/>
    <w:rsid w:val="003B6A66"/>
    <w:rsid w:val="003B6B2F"/>
    <w:rsid w:val="003B7B6A"/>
    <w:rsid w:val="003C03E2"/>
    <w:rsid w:val="003C0401"/>
    <w:rsid w:val="003C0995"/>
    <w:rsid w:val="003C0E80"/>
    <w:rsid w:val="003C163B"/>
    <w:rsid w:val="003C164F"/>
    <w:rsid w:val="003C17CE"/>
    <w:rsid w:val="003C1BAB"/>
    <w:rsid w:val="003C2332"/>
    <w:rsid w:val="003C2517"/>
    <w:rsid w:val="003C2EDC"/>
    <w:rsid w:val="003C38B3"/>
    <w:rsid w:val="003C4718"/>
    <w:rsid w:val="003C561F"/>
    <w:rsid w:val="003C5DED"/>
    <w:rsid w:val="003C634E"/>
    <w:rsid w:val="003C7101"/>
    <w:rsid w:val="003C75AC"/>
    <w:rsid w:val="003C7647"/>
    <w:rsid w:val="003C786F"/>
    <w:rsid w:val="003C78E4"/>
    <w:rsid w:val="003C798A"/>
    <w:rsid w:val="003C7C5C"/>
    <w:rsid w:val="003C7D0F"/>
    <w:rsid w:val="003D0537"/>
    <w:rsid w:val="003D1247"/>
    <w:rsid w:val="003D2380"/>
    <w:rsid w:val="003D3161"/>
    <w:rsid w:val="003D33C4"/>
    <w:rsid w:val="003D3A00"/>
    <w:rsid w:val="003D3E7D"/>
    <w:rsid w:val="003D4418"/>
    <w:rsid w:val="003D4D5A"/>
    <w:rsid w:val="003D5A8E"/>
    <w:rsid w:val="003D60AA"/>
    <w:rsid w:val="003D6227"/>
    <w:rsid w:val="003D63C9"/>
    <w:rsid w:val="003D6593"/>
    <w:rsid w:val="003D66B5"/>
    <w:rsid w:val="003D6E19"/>
    <w:rsid w:val="003D7040"/>
    <w:rsid w:val="003D705D"/>
    <w:rsid w:val="003D7F99"/>
    <w:rsid w:val="003E0421"/>
    <w:rsid w:val="003E04D5"/>
    <w:rsid w:val="003E05A3"/>
    <w:rsid w:val="003E0BE2"/>
    <w:rsid w:val="003E0E86"/>
    <w:rsid w:val="003E142A"/>
    <w:rsid w:val="003E16CA"/>
    <w:rsid w:val="003E1EFC"/>
    <w:rsid w:val="003E2E6B"/>
    <w:rsid w:val="003E2F97"/>
    <w:rsid w:val="003E3ADC"/>
    <w:rsid w:val="003E3F22"/>
    <w:rsid w:val="003E464E"/>
    <w:rsid w:val="003E49E8"/>
    <w:rsid w:val="003E4D99"/>
    <w:rsid w:val="003E547B"/>
    <w:rsid w:val="003E5670"/>
    <w:rsid w:val="003E64EC"/>
    <w:rsid w:val="003E6D30"/>
    <w:rsid w:val="003E74B2"/>
    <w:rsid w:val="003E776D"/>
    <w:rsid w:val="003E7E85"/>
    <w:rsid w:val="003F0D6F"/>
    <w:rsid w:val="003F10B7"/>
    <w:rsid w:val="003F13B5"/>
    <w:rsid w:val="003F1590"/>
    <w:rsid w:val="003F1AD4"/>
    <w:rsid w:val="003F1EA9"/>
    <w:rsid w:val="003F2184"/>
    <w:rsid w:val="003F2F90"/>
    <w:rsid w:val="003F33BC"/>
    <w:rsid w:val="003F3967"/>
    <w:rsid w:val="003F3A7A"/>
    <w:rsid w:val="003F43B7"/>
    <w:rsid w:val="003F44AE"/>
    <w:rsid w:val="003F49C8"/>
    <w:rsid w:val="003F51C5"/>
    <w:rsid w:val="003F56F6"/>
    <w:rsid w:val="003F6D7B"/>
    <w:rsid w:val="003F714D"/>
    <w:rsid w:val="003F7449"/>
    <w:rsid w:val="003F76A6"/>
    <w:rsid w:val="003F7EC1"/>
    <w:rsid w:val="00400111"/>
    <w:rsid w:val="00400778"/>
    <w:rsid w:val="00400DBF"/>
    <w:rsid w:val="00400EEE"/>
    <w:rsid w:val="00401192"/>
    <w:rsid w:val="0040124C"/>
    <w:rsid w:val="00401809"/>
    <w:rsid w:val="00401C3B"/>
    <w:rsid w:val="00402E45"/>
    <w:rsid w:val="00403034"/>
    <w:rsid w:val="00403A6A"/>
    <w:rsid w:val="004040D2"/>
    <w:rsid w:val="004046AD"/>
    <w:rsid w:val="00405251"/>
    <w:rsid w:val="004052B0"/>
    <w:rsid w:val="00405688"/>
    <w:rsid w:val="00405BB7"/>
    <w:rsid w:val="00405EB7"/>
    <w:rsid w:val="00405FD7"/>
    <w:rsid w:val="0040614F"/>
    <w:rsid w:val="0040617F"/>
    <w:rsid w:val="00406F56"/>
    <w:rsid w:val="004074AF"/>
    <w:rsid w:val="004075C3"/>
    <w:rsid w:val="00407A4F"/>
    <w:rsid w:val="00410398"/>
    <w:rsid w:val="00410698"/>
    <w:rsid w:val="0041130B"/>
    <w:rsid w:val="0041162C"/>
    <w:rsid w:val="00411C1F"/>
    <w:rsid w:val="00412F82"/>
    <w:rsid w:val="0041326B"/>
    <w:rsid w:val="0041370C"/>
    <w:rsid w:val="004139FD"/>
    <w:rsid w:val="00413F63"/>
    <w:rsid w:val="00414A63"/>
    <w:rsid w:val="00414E19"/>
    <w:rsid w:val="00414FB3"/>
    <w:rsid w:val="004153F3"/>
    <w:rsid w:val="0041615D"/>
    <w:rsid w:val="00416C26"/>
    <w:rsid w:val="00417E55"/>
    <w:rsid w:val="00420F37"/>
    <w:rsid w:val="004212F3"/>
    <w:rsid w:val="00421FD6"/>
    <w:rsid w:val="00422234"/>
    <w:rsid w:val="004227A7"/>
    <w:rsid w:val="004228B6"/>
    <w:rsid w:val="00422E39"/>
    <w:rsid w:val="00423260"/>
    <w:rsid w:val="004233C7"/>
    <w:rsid w:val="00424209"/>
    <w:rsid w:val="004243ED"/>
    <w:rsid w:val="00424911"/>
    <w:rsid w:val="0042491B"/>
    <w:rsid w:val="00425265"/>
    <w:rsid w:val="00425E9C"/>
    <w:rsid w:val="0042791D"/>
    <w:rsid w:val="00427DA0"/>
    <w:rsid w:val="00431144"/>
    <w:rsid w:val="00431371"/>
    <w:rsid w:val="00431B13"/>
    <w:rsid w:val="00432758"/>
    <w:rsid w:val="004327BE"/>
    <w:rsid w:val="004327BF"/>
    <w:rsid w:val="004333DF"/>
    <w:rsid w:val="00433474"/>
    <w:rsid w:val="00433476"/>
    <w:rsid w:val="00433F22"/>
    <w:rsid w:val="00434077"/>
    <w:rsid w:val="004344CA"/>
    <w:rsid w:val="00434E47"/>
    <w:rsid w:val="00434E87"/>
    <w:rsid w:val="00434F84"/>
    <w:rsid w:val="004350E7"/>
    <w:rsid w:val="0043588A"/>
    <w:rsid w:val="00435A4B"/>
    <w:rsid w:val="00435AA5"/>
    <w:rsid w:val="00436400"/>
    <w:rsid w:val="004367E9"/>
    <w:rsid w:val="004370BC"/>
    <w:rsid w:val="00437BC1"/>
    <w:rsid w:val="004403F9"/>
    <w:rsid w:val="004408A5"/>
    <w:rsid w:val="00440D7C"/>
    <w:rsid w:val="00440F95"/>
    <w:rsid w:val="0044147C"/>
    <w:rsid w:val="004415C6"/>
    <w:rsid w:val="00441A6C"/>
    <w:rsid w:val="00441D23"/>
    <w:rsid w:val="00442163"/>
    <w:rsid w:val="00442CB3"/>
    <w:rsid w:val="00443028"/>
    <w:rsid w:val="004436E6"/>
    <w:rsid w:val="0044428E"/>
    <w:rsid w:val="004445DD"/>
    <w:rsid w:val="00444F1D"/>
    <w:rsid w:val="00444F20"/>
    <w:rsid w:val="0044567A"/>
    <w:rsid w:val="004463B1"/>
    <w:rsid w:val="004464B4"/>
    <w:rsid w:val="0044755E"/>
    <w:rsid w:val="00447D49"/>
    <w:rsid w:val="004502D3"/>
    <w:rsid w:val="00450403"/>
    <w:rsid w:val="0045050F"/>
    <w:rsid w:val="004507AE"/>
    <w:rsid w:val="00450A8A"/>
    <w:rsid w:val="00450AC4"/>
    <w:rsid w:val="00451030"/>
    <w:rsid w:val="0045119D"/>
    <w:rsid w:val="004524D8"/>
    <w:rsid w:val="00452597"/>
    <w:rsid w:val="00452890"/>
    <w:rsid w:val="00452FF9"/>
    <w:rsid w:val="0045433A"/>
    <w:rsid w:val="00454423"/>
    <w:rsid w:val="00454519"/>
    <w:rsid w:val="004551FE"/>
    <w:rsid w:val="00455798"/>
    <w:rsid w:val="00456C15"/>
    <w:rsid w:val="004573DE"/>
    <w:rsid w:val="00457480"/>
    <w:rsid w:val="00457A80"/>
    <w:rsid w:val="00460356"/>
    <w:rsid w:val="00460633"/>
    <w:rsid w:val="00460B24"/>
    <w:rsid w:val="004624FF"/>
    <w:rsid w:val="004626AD"/>
    <w:rsid w:val="00462B6B"/>
    <w:rsid w:val="00462F89"/>
    <w:rsid w:val="004630A7"/>
    <w:rsid w:val="0046365D"/>
    <w:rsid w:val="00463765"/>
    <w:rsid w:val="00463D81"/>
    <w:rsid w:val="004645E4"/>
    <w:rsid w:val="00465071"/>
    <w:rsid w:val="00466FED"/>
    <w:rsid w:val="00467210"/>
    <w:rsid w:val="004675C7"/>
    <w:rsid w:val="00467B41"/>
    <w:rsid w:val="004700B8"/>
    <w:rsid w:val="00471561"/>
    <w:rsid w:val="004715FA"/>
    <w:rsid w:val="00471876"/>
    <w:rsid w:val="00471C02"/>
    <w:rsid w:val="00472467"/>
    <w:rsid w:val="0047249C"/>
    <w:rsid w:val="00474146"/>
    <w:rsid w:val="00474357"/>
    <w:rsid w:val="004743E9"/>
    <w:rsid w:val="00474540"/>
    <w:rsid w:val="0047533C"/>
    <w:rsid w:val="0047566D"/>
    <w:rsid w:val="00475B75"/>
    <w:rsid w:val="00475D19"/>
    <w:rsid w:val="0047680D"/>
    <w:rsid w:val="00476C3F"/>
    <w:rsid w:val="00477C14"/>
    <w:rsid w:val="00477DD7"/>
    <w:rsid w:val="004805B2"/>
    <w:rsid w:val="00480F51"/>
    <w:rsid w:val="00481262"/>
    <w:rsid w:val="00481790"/>
    <w:rsid w:val="00481891"/>
    <w:rsid w:val="00481D0C"/>
    <w:rsid w:val="0048255A"/>
    <w:rsid w:val="004827C6"/>
    <w:rsid w:val="00482833"/>
    <w:rsid w:val="004828D9"/>
    <w:rsid w:val="00482F39"/>
    <w:rsid w:val="00483850"/>
    <w:rsid w:val="00483970"/>
    <w:rsid w:val="00483A1C"/>
    <w:rsid w:val="00483D7E"/>
    <w:rsid w:val="004847C7"/>
    <w:rsid w:val="00486657"/>
    <w:rsid w:val="00487B22"/>
    <w:rsid w:val="00490BE7"/>
    <w:rsid w:val="00490CCA"/>
    <w:rsid w:val="00490F40"/>
    <w:rsid w:val="00491C37"/>
    <w:rsid w:val="004933B5"/>
    <w:rsid w:val="00493800"/>
    <w:rsid w:val="00494478"/>
    <w:rsid w:val="00494B7C"/>
    <w:rsid w:val="00494F33"/>
    <w:rsid w:val="00495B4A"/>
    <w:rsid w:val="00496140"/>
    <w:rsid w:val="00496A4F"/>
    <w:rsid w:val="00496AB3"/>
    <w:rsid w:val="004971BC"/>
    <w:rsid w:val="00497BF3"/>
    <w:rsid w:val="00497F67"/>
    <w:rsid w:val="004A07C1"/>
    <w:rsid w:val="004A15D4"/>
    <w:rsid w:val="004A1A31"/>
    <w:rsid w:val="004A24AA"/>
    <w:rsid w:val="004A3077"/>
    <w:rsid w:val="004A33D3"/>
    <w:rsid w:val="004A35E3"/>
    <w:rsid w:val="004A3989"/>
    <w:rsid w:val="004A6087"/>
    <w:rsid w:val="004A6C3A"/>
    <w:rsid w:val="004A7189"/>
    <w:rsid w:val="004A73F1"/>
    <w:rsid w:val="004A7DF4"/>
    <w:rsid w:val="004A7E5E"/>
    <w:rsid w:val="004A7F4A"/>
    <w:rsid w:val="004B23A0"/>
    <w:rsid w:val="004B2642"/>
    <w:rsid w:val="004B26D4"/>
    <w:rsid w:val="004B29AE"/>
    <w:rsid w:val="004B2B5A"/>
    <w:rsid w:val="004B2EB5"/>
    <w:rsid w:val="004B385D"/>
    <w:rsid w:val="004B3C16"/>
    <w:rsid w:val="004B4997"/>
    <w:rsid w:val="004B5127"/>
    <w:rsid w:val="004B52B9"/>
    <w:rsid w:val="004B70E4"/>
    <w:rsid w:val="004B718F"/>
    <w:rsid w:val="004B7360"/>
    <w:rsid w:val="004B74A6"/>
    <w:rsid w:val="004C00F0"/>
    <w:rsid w:val="004C0284"/>
    <w:rsid w:val="004C030D"/>
    <w:rsid w:val="004C08A0"/>
    <w:rsid w:val="004C0946"/>
    <w:rsid w:val="004C1892"/>
    <w:rsid w:val="004C1B62"/>
    <w:rsid w:val="004C1D95"/>
    <w:rsid w:val="004C25AF"/>
    <w:rsid w:val="004C2806"/>
    <w:rsid w:val="004C287F"/>
    <w:rsid w:val="004C40FB"/>
    <w:rsid w:val="004C4E4D"/>
    <w:rsid w:val="004C58D9"/>
    <w:rsid w:val="004C5E51"/>
    <w:rsid w:val="004C65C7"/>
    <w:rsid w:val="004C702C"/>
    <w:rsid w:val="004C75A2"/>
    <w:rsid w:val="004C789D"/>
    <w:rsid w:val="004D135C"/>
    <w:rsid w:val="004D13BB"/>
    <w:rsid w:val="004D1925"/>
    <w:rsid w:val="004D1AC0"/>
    <w:rsid w:val="004D3175"/>
    <w:rsid w:val="004D4107"/>
    <w:rsid w:val="004D47BF"/>
    <w:rsid w:val="004D4970"/>
    <w:rsid w:val="004D5DC9"/>
    <w:rsid w:val="004E0CFB"/>
    <w:rsid w:val="004E0E4E"/>
    <w:rsid w:val="004E0E67"/>
    <w:rsid w:val="004E16D4"/>
    <w:rsid w:val="004E1FFF"/>
    <w:rsid w:val="004E294F"/>
    <w:rsid w:val="004E3342"/>
    <w:rsid w:val="004E34DA"/>
    <w:rsid w:val="004E3794"/>
    <w:rsid w:val="004E482F"/>
    <w:rsid w:val="004E4EC3"/>
    <w:rsid w:val="004E4F38"/>
    <w:rsid w:val="004E51FD"/>
    <w:rsid w:val="004E543C"/>
    <w:rsid w:val="004E5AE2"/>
    <w:rsid w:val="004E6324"/>
    <w:rsid w:val="004E6A57"/>
    <w:rsid w:val="004E781A"/>
    <w:rsid w:val="004E7C12"/>
    <w:rsid w:val="004E7CAA"/>
    <w:rsid w:val="004F06B2"/>
    <w:rsid w:val="004F099E"/>
    <w:rsid w:val="004F171C"/>
    <w:rsid w:val="004F233B"/>
    <w:rsid w:val="004F485C"/>
    <w:rsid w:val="004F4CF3"/>
    <w:rsid w:val="004F5299"/>
    <w:rsid w:val="004F548C"/>
    <w:rsid w:val="004F5839"/>
    <w:rsid w:val="004F6081"/>
    <w:rsid w:val="004F73AD"/>
    <w:rsid w:val="004F799C"/>
    <w:rsid w:val="005004C6"/>
    <w:rsid w:val="00500697"/>
    <w:rsid w:val="00500768"/>
    <w:rsid w:val="005007B0"/>
    <w:rsid w:val="005009EB"/>
    <w:rsid w:val="00500E8B"/>
    <w:rsid w:val="00501828"/>
    <w:rsid w:val="00501DA0"/>
    <w:rsid w:val="00503BC4"/>
    <w:rsid w:val="00503F57"/>
    <w:rsid w:val="005052D2"/>
    <w:rsid w:val="00505EA1"/>
    <w:rsid w:val="005065DE"/>
    <w:rsid w:val="00507010"/>
    <w:rsid w:val="00507039"/>
    <w:rsid w:val="00510689"/>
    <w:rsid w:val="00510797"/>
    <w:rsid w:val="0051086E"/>
    <w:rsid w:val="00511301"/>
    <w:rsid w:val="00511342"/>
    <w:rsid w:val="005113AA"/>
    <w:rsid w:val="0051141D"/>
    <w:rsid w:val="00511BA8"/>
    <w:rsid w:val="005120E1"/>
    <w:rsid w:val="0051245D"/>
    <w:rsid w:val="00512EA6"/>
    <w:rsid w:val="0051356B"/>
    <w:rsid w:val="00513C89"/>
    <w:rsid w:val="005145A4"/>
    <w:rsid w:val="00514A7A"/>
    <w:rsid w:val="00515404"/>
    <w:rsid w:val="00515AD7"/>
    <w:rsid w:val="00516029"/>
    <w:rsid w:val="0051607E"/>
    <w:rsid w:val="00516224"/>
    <w:rsid w:val="00516360"/>
    <w:rsid w:val="00516513"/>
    <w:rsid w:val="005201D2"/>
    <w:rsid w:val="005218BF"/>
    <w:rsid w:val="00521930"/>
    <w:rsid w:val="00521A3B"/>
    <w:rsid w:val="00521AF6"/>
    <w:rsid w:val="00521D1C"/>
    <w:rsid w:val="00522746"/>
    <w:rsid w:val="00522A83"/>
    <w:rsid w:val="00523088"/>
    <w:rsid w:val="005247DE"/>
    <w:rsid w:val="00524AEC"/>
    <w:rsid w:val="005255D9"/>
    <w:rsid w:val="0052580F"/>
    <w:rsid w:val="00525E17"/>
    <w:rsid w:val="00525E1B"/>
    <w:rsid w:val="00527DEE"/>
    <w:rsid w:val="00530236"/>
    <w:rsid w:val="005306DB"/>
    <w:rsid w:val="00530DAA"/>
    <w:rsid w:val="00530E3C"/>
    <w:rsid w:val="005312B9"/>
    <w:rsid w:val="00531683"/>
    <w:rsid w:val="0053175E"/>
    <w:rsid w:val="0053327D"/>
    <w:rsid w:val="00533565"/>
    <w:rsid w:val="00533A19"/>
    <w:rsid w:val="005342C3"/>
    <w:rsid w:val="00535989"/>
    <w:rsid w:val="00536BB8"/>
    <w:rsid w:val="00536BE1"/>
    <w:rsid w:val="00536DAC"/>
    <w:rsid w:val="0053742A"/>
    <w:rsid w:val="0053765C"/>
    <w:rsid w:val="00540AA4"/>
    <w:rsid w:val="00541DBF"/>
    <w:rsid w:val="00542237"/>
    <w:rsid w:val="00542258"/>
    <w:rsid w:val="00542C26"/>
    <w:rsid w:val="0054346C"/>
    <w:rsid w:val="00543693"/>
    <w:rsid w:val="00544294"/>
    <w:rsid w:val="00544668"/>
    <w:rsid w:val="0054469F"/>
    <w:rsid w:val="00545BCB"/>
    <w:rsid w:val="005465E7"/>
    <w:rsid w:val="00546DF9"/>
    <w:rsid w:val="00546EB5"/>
    <w:rsid w:val="00550394"/>
    <w:rsid w:val="00550C18"/>
    <w:rsid w:val="00550F8E"/>
    <w:rsid w:val="005521DA"/>
    <w:rsid w:val="00555488"/>
    <w:rsid w:val="00555A36"/>
    <w:rsid w:val="00556B02"/>
    <w:rsid w:val="0055798E"/>
    <w:rsid w:val="00557DB2"/>
    <w:rsid w:val="00557E6C"/>
    <w:rsid w:val="00557EA9"/>
    <w:rsid w:val="00560162"/>
    <w:rsid w:val="0056046B"/>
    <w:rsid w:val="005606C5"/>
    <w:rsid w:val="0056124E"/>
    <w:rsid w:val="005613E0"/>
    <w:rsid w:val="0056277E"/>
    <w:rsid w:val="00562D15"/>
    <w:rsid w:val="00563376"/>
    <w:rsid w:val="00563461"/>
    <w:rsid w:val="0056347A"/>
    <w:rsid w:val="00563E66"/>
    <w:rsid w:val="00565DB6"/>
    <w:rsid w:val="005678F6"/>
    <w:rsid w:val="00567AD0"/>
    <w:rsid w:val="005703DA"/>
    <w:rsid w:val="00570654"/>
    <w:rsid w:val="00570E64"/>
    <w:rsid w:val="00570E96"/>
    <w:rsid w:val="00570F9D"/>
    <w:rsid w:val="0057133B"/>
    <w:rsid w:val="00571382"/>
    <w:rsid w:val="00571F1B"/>
    <w:rsid w:val="00572104"/>
    <w:rsid w:val="005727CF"/>
    <w:rsid w:val="0057293B"/>
    <w:rsid w:val="00572C39"/>
    <w:rsid w:val="00572C99"/>
    <w:rsid w:val="00572E66"/>
    <w:rsid w:val="005734BC"/>
    <w:rsid w:val="00573A56"/>
    <w:rsid w:val="00573D61"/>
    <w:rsid w:val="005741D7"/>
    <w:rsid w:val="00574435"/>
    <w:rsid w:val="00574A97"/>
    <w:rsid w:val="00574E1F"/>
    <w:rsid w:val="00575363"/>
    <w:rsid w:val="00575413"/>
    <w:rsid w:val="005754BE"/>
    <w:rsid w:val="005765D4"/>
    <w:rsid w:val="00577EB0"/>
    <w:rsid w:val="00577EF2"/>
    <w:rsid w:val="00580EE0"/>
    <w:rsid w:val="00581123"/>
    <w:rsid w:val="0058283E"/>
    <w:rsid w:val="00582E2E"/>
    <w:rsid w:val="0058340C"/>
    <w:rsid w:val="00583675"/>
    <w:rsid w:val="005847A1"/>
    <w:rsid w:val="005849D8"/>
    <w:rsid w:val="00584AB0"/>
    <w:rsid w:val="00584E04"/>
    <w:rsid w:val="00584EEB"/>
    <w:rsid w:val="0058507E"/>
    <w:rsid w:val="005859A5"/>
    <w:rsid w:val="00585E92"/>
    <w:rsid w:val="005862F5"/>
    <w:rsid w:val="00587398"/>
    <w:rsid w:val="00587DAC"/>
    <w:rsid w:val="00587FB2"/>
    <w:rsid w:val="0059006E"/>
    <w:rsid w:val="00590AD6"/>
    <w:rsid w:val="00591F47"/>
    <w:rsid w:val="00592636"/>
    <w:rsid w:val="005939AA"/>
    <w:rsid w:val="00593F75"/>
    <w:rsid w:val="00593FB4"/>
    <w:rsid w:val="00594418"/>
    <w:rsid w:val="0059496C"/>
    <w:rsid w:val="00595380"/>
    <w:rsid w:val="00595DA9"/>
    <w:rsid w:val="00596635"/>
    <w:rsid w:val="00596B21"/>
    <w:rsid w:val="005A01BD"/>
    <w:rsid w:val="005A04C2"/>
    <w:rsid w:val="005A0621"/>
    <w:rsid w:val="005A083F"/>
    <w:rsid w:val="005A1393"/>
    <w:rsid w:val="005A1B1B"/>
    <w:rsid w:val="005A1B50"/>
    <w:rsid w:val="005A1F25"/>
    <w:rsid w:val="005A22F5"/>
    <w:rsid w:val="005A4555"/>
    <w:rsid w:val="005A4E4A"/>
    <w:rsid w:val="005A5397"/>
    <w:rsid w:val="005A696F"/>
    <w:rsid w:val="005A6A71"/>
    <w:rsid w:val="005A748C"/>
    <w:rsid w:val="005A74F7"/>
    <w:rsid w:val="005A7D8F"/>
    <w:rsid w:val="005B0021"/>
    <w:rsid w:val="005B068D"/>
    <w:rsid w:val="005B13C7"/>
    <w:rsid w:val="005B174E"/>
    <w:rsid w:val="005B184D"/>
    <w:rsid w:val="005B2837"/>
    <w:rsid w:val="005B2B93"/>
    <w:rsid w:val="005B2C2C"/>
    <w:rsid w:val="005B2F5A"/>
    <w:rsid w:val="005B348C"/>
    <w:rsid w:val="005B4A0B"/>
    <w:rsid w:val="005B4CAD"/>
    <w:rsid w:val="005B51D9"/>
    <w:rsid w:val="005B5227"/>
    <w:rsid w:val="005B5DE9"/>
    <w:rsid w:val="005B6AA0"/>
    <w:rsid w:val="005B6B2E"/>
    <w:rsid w:val="005B7E2B"/>
    <w:rsid w:val="005C0164"/>
    <w:rsid w:val="005C0200"/>
    <w:rsid w:val="005C0AEF"/>
    <w:rsid w:val="005C123F"/>
    <w:rsid w:val="005C20DB"/>
    <w:rsid w:val="005C2473"/>
    <w:rsid w:val="005C3661"/>
    <w:rsid w:val="005C373F"/>
    <w:rsid w:val="005C3CFE"/>
    <w:rsid w:val="005C57CC"/>
    <w:rsid w:val="005C5A5F"/>
    <w:rsid w:val="005C7D6C"/>
    <w:rsid w:val="005D068C"/>
    <w:rsid w:val="005D070F"/>
    <w:rsid w:val="005D071C"/>
    <w:rsid w:val="005D14FC"/>
    <w:rsid w:val="005D20EF"/>
    <w:rsid w:val="005D3C06"/>
    <w:rsid w:val="005D48F7"/>
    <w:rsid w:val="005D4BF3"/>
    <w:rsid w:val="005D5225"/>
    <w:rsid w:val="005D6875"/>
    <w:rsid w:val="005D6A6C"/>
    <w:rsid w:val="005D6FCC"/>
    <w:rsid w:val="005D7147"/>
    <w:rsid w:val="005D7A4A"/>
    <w:rsid w:val="005D7A7F"/>
    <w:rsid w:val="005E065F"/>
    <w:rsid w:val="005E0DCA"/>
    <w:rsid w:val="005E1881"/>
    <w:rsid w:val="005E1FD6"/>
    <w:rsid w:val="005E217C"/>
    <w:rsid w:val="005E2E06"/>
    <w:rsid w:val="005E3853"/>
    <w:rsid w:val="005E3BA8"/>
    <w:rsid w:val="005E4230"/>
    <w:rsid w:val="005E4B77"/>
    <w:rsid w:val="005E58C3"/>
    <w:rsid w:val="005E6DD1"/>
    <w:rsid w:val="005E7513"/>
    <w:rsid w:val="005F231D"/>
    <w:rsid w:val="005F3760"/>
    <w:rsid w:val="005F3846"/>
    <w:rsid w:val="005F4194"/>
    <w:rsid w:val="005F4462"/>
    <w:rsid w:val="005F47B2"/>
    <w:rsid w:val="005F59E8"/>
    <w:rsid w:val="005F5AF0"/>
    <w:rsid w:val="005F5DBE"/>
    <w:rsid w:val="005F61DD"/>
    <w:rsid w:val="005F660C"/>
    <w:rsid w:val="005F6AE6"/>
    <w:rsid w:val="005F6DB5"/>
    <w:rsid w:val="005F6E8B"/>
    <w:rsid w:val="005F7114"/>
    <w:rsid w:val="005F76CA"/>
    <w:rsid w:val="005F799C"/>
    <w:rsid w:val="005F79E4"/>
    <w:rsid w:val="00600047"/>
    <w:rsid w:val="00600ABA"/>
    <w:rsid w:val="0060108A"/>
    <w:rsid w:val="00601211"/>
    <w:rsid w:val="006023F4"/>
    <w:rsid w:val="006023F6"/>
    <w:rsid w:val="00602663"/>
    <w:rsid w:val="006027B5"/>
    <w:rsid w:val="00602B42"/>
    <w:rsid w:val="00603279"/>
    <w:rsid w:val="00603692"/>
    <w:rsid w:val="006038E7"/>
    <w:rsid w:val="00603D08"/>
    <w:rsid w:val="0060442D"/>
    <w:rsid w:val="00604703"/>
    <w:rsid w:val="006049F0"/>
    <w:rsid w:val="00606109"/>
    <w:rsid w:val="006063AC"/>
    <w:rsid w:val="00606EE1"/>
    <w:rsid w:val="00607230"/>
    <w:rsid w:val="006075CC"/>
    <w:rsid w:val="00607864"/>
    <w:rsid w:val="00610B45"/>
    <w:rsid w:val="00611945"/>
    <w:rsid w:val="0061298C"/>
    <w:rsid w:val="006129BA"/>
    <w:rsid w:val="00612E6A"/>
    <w:rsid w:val="006133BC"/>
    <w:rsid w:val="00613613"/>
    <w:rsid w:val="00614224"/>
    <w:rsid w:val="00614283"/>
    <w:rsid w:val="006152F5"/>
    <w:rsid w:val="006153DC"/>
    <w:rsid w:val="00615426"/>
    <w:rsid w:val="00615913"/>
    <w:rsid w:val="00615BD9"/>
    <w:rsid w:val="00615C7F"/>
    <w:rsid w:val="006163FB"/>
    <w:rsid w:val="00616A58"/>
    <w:rsid w:val="00616A72"/>
    <w:rsid w:val="00616EA8"/>
    <w:rsid w:val="00616F2D"/>
    <w:rsid w:val="00617200"/>
    <w:rsid w:val="00617319"/>
    <w:rsid w:val="0061761A"/>
    <w:rsid w:val="00620CCE"/>
    <w:rsid w:val="00620F29"/>
    <w:rsid w:val="0062180A"/>
    <w:rsid w:val="00622152"/>
    <w:rsid w:val="00622263"/>
    <w:rsid w:val="006231BB"/>
    <w:rsid w:val="0062339B"/>
    <w:rsid w:val="00624973"/>
    <w:rsid w:val="00624DA4"/>
    <w:rsid w:val="00625B11"/>
    <w:rsid w:val="00625CA0"/>
    <w:rsid w:val="00625D8C"/>
    <w:rsid w:val="00626D88"/>
    <w:rsid w:val="00627033"/>
    <w:rsid w:val="00627461"/>
    <w:rsid w:val="00627CC8"/>
    <w:rsid w:val="00627F39"/>
    <w:rsid w:val="00632164"/>
    <w:rsid w:val="006322EE"/>
    <w:rsid w:val="00632340"/>
    <w:rsid w:val="00632B92"/>
    <w:rsid w:val="00632D42"/>
    <w:rsid w:val="00633DF4"/>
    <w:rsid w:val="00635098"/>
    <w:rsid w:val="006350B1"/>
    <w:rsid w:val="006359B5"/>
    <w:rsid w:val="00635A5A"/>
    <w:rsid w:val="00636720"/>
    <w:rsid w:val="00636C4B"/>
    <w:rsid w:val="0063733E"/>
    <w:rsid w:val="006377A0"/>
    <w:rsid w:val="00640A5E"/>
    <w:rsid w:val="006418B5"/>
    <w:rsid w:val="00641BAF"/>
    <w:rsid w:val="00642A18"/>
    <w:rsid w:val="00642CE0"/>
    <w:rsid w:val="00643A2F"/>
    <w:rsid w:val="00643B27"/>
    <w:rsid w:val="00644A0C"/>
    <w:rsid w:val="00644A2C"/>
    <w:rsid w:val="00644EE5"/>
    <w:rsid w:val="00645117"/>
    <w:rsid w:val="00646578"/>
    <w:rsid w:val="006467CE"/>
    <w:rsid w:val="00646946"/>
    <w:rsid w:val="00647432"/>
    <w:rsid w:val="00647F03"/>
    <w:rsid w:val="00650C83"/>
    <w:rsid w:val="00650DA0"/>
    <w:rsid w:val="00651D17"/>
    <w:rsid w:val="00651E43"/>
    <w:rsid w:val="00652836"/>
    <w:rsid w:val="00652B85"/>
    <w:rsid w:val="0065306C"/>
    <w:rsid w:val="006555B4"/>
    <w:rsid w:val="00655CFF"/>
    <w:rsid w:val="006562E7"/>
    <w:rsid w:val="006565AA"/>
    <w:rsid w:val="00656CBA"/>
    <w:rsid w:val="00656D3F"/>
    <w:rsid w:val="00656DE7"/>
    <w:rsid w:val="006576C8"/>
    <w:rsid w:val="006578D8"/>
    <w:rsid w:val="00660376"/>
    <w:rsid w:val="00660AC2"/>
    <w:rsid w:val="00660DA4"/>
    <w:rsid w:val="00660F82"/>
    <w:rsid w:val="0066144A"/>
    <w:rsid w:val="006617BD"/>
    <w:rsid w:val="00661810"/>
    <w:rsid w:val="00661A2D"/>
    <w:rsid w:val="00662132"/>
    <w:rsid w:val="006625C8"/>
    <w:rsid w:val="00662C7F"/>
    <w:rsid w:val="00662D94"/>
    <w:rsid w:val="006631DE"/>
    <w:rsid w:val="0066335D"/>
    <w:rsid w:val="00663A43"/>
    <w:rsid w:val="00663A77"/>
    <w:rsid w:val="00663DF6"/>
    <w:rsid w:val="00664CD3"/>
    <w:rsid w:val="0066543C"/>
    <w:rsid w:val="00665552"/>
    <w:rsid w:val="0066567D"/>
    <w:rsid w:val="0066577B"/>
    <w:rsid w:val="00665AEC"/>
    <w:rsid w:val="00666150"/>
    <w:rsid w:val="00666806"/>
    <w:rsid w:val="00666849"/>
    <w:rsid w:val="00666F5C"/>
    <w:rsid w:val="00666FF2"/>
    <w:rsid w:val="006675D4"/>
    <w:rsid w:val="00667C0E"/>
    <w:rsid w:val="006704DA"/>
    <w:rsid w:val="00671540"/>
    <w:rsid w:val="006718B1"/>
    <w:rsid w:val="00671E9C"/>
    <w:rsid w:val="006725B8"/>
    <w:rsid w:val="00672B75"/>
    <w:rsid w:val="00673212"/>
    <w:rsid w:val="00673235"/>
    <w:rsid w:val="0067358C"/>
    <w:rsid w:val="00673D8D"/>
    <w:rsid w:val="006741DE"/>
    <w:rsid w:val="006744C0"/>
    <w:rsid w:val="006746E8"/>
    <w:rsid w:val="00674B40"/>
    <w:rsid w:val="00675B2E"/>
    <w:rsid w:val="00675BF6"/>
    <w:rsid w:val="00676D00"/>
    <w:rsid w:val="00676F8C"/>
    <w:rsid w:val="00682684"/>
    <w:rsid w:val="006838B3"/>
    <w:rsid w:val="00683E01"/>
    <w:rsid w:val="00683EC7"/>
    <w:rsid w:val="0068559E"/>
    <w:rsid w:val="006859B0"/>
    <w:rsid w:val="006871FA"/>
    <w:rsid w:val="006873C4"/>
    <w:rsid w:val="00687DD7"/>
    <w:rsid w:val="0069066F"/>
    <w:rsid w:val="00690B5C"/>
    <w:rsid w:val="00691C04"/>
    <w:rsid w:val="00691F8E"/>
    <w:rsid w:val="00692914"/>
    <w:rsid w:val="00692B58"/>
    <w:rsid w:val="006933F4"/>
    <w:rsid w:val="00693E7D"/>
    <w:rsid w:val="006959A0"/>
    <w:rsid w:val="006A0F98"/>
    <w:rsid w:val="006A1036"/>
    <w:rsid w:val="006A13B8"/>
    <w:rsid w:val="006A14F2"/>
    <w:rsid w:val="006A2206"/>
    <w:rsid w:val="006A31E2"/>
    <w:rsid w:val="006A4121"/>
    <w:rsid w:val="006A4177"/>
    <w:rsid w:val="006A43CC"/>
    <w:rsid w:val="006A49E4"/>
    <w:rsid w:val="006A54FC"/>
    <w:rsid w:val="006A57C3"/>
    <w:rsid w:val="006A58FC"/>
    <w:rsid w:val="006A5F80"/>
    <w:rsid w:val="006A6B08"/>
    <w:rsid w:val="006A6E8C"/>
    <w:rsid w:val="006A6FE2"/>
    <w:rsid w:val="006A76E2"/>
    <w:rsid w:val="006B0B8B"/>
    <w:rsid w:val="006B0E79"/>
    <w:rsid w:val="006B12B7"/>
    <w:rsid w:val="006B17DD"/>
    <w:rsid w:val="006B1C62"/>
    <w:rsid w:val="006B23D3"/>
    <w:rsid w:val="006B3310"/>
    <w:rsid w:val="006B3547"/>
    <w:rsid w:val="006B41A0"/>
    <w:rsid w:val="006B4810"/>
    <w:rsid w:val="006B4C3A"/>
    <w:rsid w:val="006B501F"/>
    <w:rsid w:val="006B5412"/>
    <w:rsid w:val="006B5582"/>
    <w:rsid w:val="006B5917"/>
    <w:rsid w:val="006B5C25"/>
    <w:rsid w:val="006B6720"/>
    <w:rsid w:val="006B6890"/>
    <w:rsid w:val="006B6CCB"/>
    <w:rsid w:val="006B73BB"/>
    <w:rsid w:val="006B7AAC"/>
    <w:rsid w:val="006C1B8C"/>
    <w:rsid w:val="006C1BB1"/>
    <w:rsid w:val="006C28E1"/>
    <w:rsid w:val="006C3645"/>
    <w:rsid w:val="006C36B6"/>
    <w:rsid w:val="006C39CB"/>
    <w:rsid w:val="006C3E8E"/>
    <w:rsid w:val="006C47BA"/>
    <w:rsid w:val="006C5466"/>
    <w:rsid w:val="006C5740"/>
    <w:rsid w:val="006C66F1"/>
    <w:rsid w:val="006C6B55"/>
    <w:rsid w:val="006C6C6D"/>
    <w:rsid w:val="006C6E9E"/>
    <w:rsid w:val="006C708D"/>
    <w:rsid w:val="006C7757"/>
    <w:rsid w:val="006C7CD8"/>
    <w:rsid w:val="006C7DA2"/>
    <w:rsid w:val="006D0C41"/>
    <w:rsid w:val="006D0D75"/>
    <w:rsid w:val="006D127C"/>
    <w:rsid w:val="006D1395"/>
    <w:rsid w:val="006D1755"/>
    <w:rsid w:val="006D1DBE"/>
    <w:rsid w:val="006D2148"/>
    <w:rsid w:val="006D2B69"/>
    <w:rsid w:val="006D37B5"/>
    <w:rsid w:val="006D4B18"/>
    <w:rsid w:val="006D51F3"/>
    <w:rsid w:val="006D5D3B"/>
    <w:rsid w:val="006D67C8"/>
    <w:rsid w:val="006D6A96"/>
    <w:rsid w:val="006D6AB9"/>
    <w:rsid w:val="006E032B"/>
    <w:rsid w:val="006E0CB6"/>
    <w:rsid w:val="006E0FD2"/>
    <w:rsid w:val="006E1094"/>
    <w:rsid w:val="006E399B"/>
    <w:rsid w:val="006E4527"/>
    <w:rsid w:val="006E5002"/>
    <w:rsid w:val="006E6250"/>
    <w:rsid w:val="006E656B"/>
    <w:rsid w:val="006E7A20"/>
    <w:rsid w:val="006E7A21"/>
    <w:rsid w:val="006E7C6F"/>
    <w:rsid w:val="006F095C"/>
    <w:rsid w:val="006F1912"/>
    <w:rsid w:val="006F1EE4"/>
    <w:rsid w:val="006F2B50"/>
    <w:rsid w:val="006F2B96"/>
    <w:rsid w:val="006F3309"/>
    <w:rsid w:val="006F333B"/>
    <w:rsid w:val="006F4C7C"/>
    <w:rsid w:val="006F5816"/>
    <w:rsid w:val="006F5D00"/>
    <w:rsid w:val="006F5EC0"/>
    <w:rsid w:val="006F657F"/>
    <w:rsid w:val="006F6920"/>
    <w:rsid w:val="006F7021"/>
    <w:rsid w:val="006F7209"/>
    <w:rsid w:val="006F732D"/>
    <w:rsid w:val="006F7542"/>
    <w:rsid w:val="00700443"/>
    <w:rsid w:val="0070142C"/>
    <w:rsid w:val="0070193C"/>
    <w:rsid w:val="00701C4E"/>
    <w:rsid w:val="00702B03"/>
    <w:rsid w:val="0070458B"/>
    <w:rsid w:val="00704BD9"/>
    <w:rsid w:val="00704EF2"/>
    <w:rsid w:val="0070547F"/>
    <w:rsid w:val="00705693"/>
    <w:rsid w:val="00706331"/>
    <w:rsid w:val="007066E1"/>
    <w:rsid w:val="00706C54"/>
    <w:rsid w:val="00706E76"/>
    <w:rsid w:val="007073B4"/>
    <w:rsid w:val="00710377"/>
    <w:rsid w:val="007118C3"/>
    <w:rsid w:val="0071194F"/>
    <w:rsid w:val="00711F03"/>
    <w:rsid w:val="007124E3"/>
    <w:rsid w:val="00712C87"/>
    <w:rsid w:val="00714207"/>
    <w:rsid w:val="007144C2"/>
    <w:rsid w:val="00714AFA"/>
    <w:rsid w:val="00714F54"/>
    <w:rsid w:val="007154D6"/>
    <w:rsid w:val="007161AF"/>
    <w:rsid w:val="00716B12"/>
    <w:rsid w:val="0071786F"/>
    <w:rsid w:val="007178C5"/>
    <w:rsid w:val="007204B5"/>
    <w:rsid w:val="0072052E"/>
    <w:rsid w:val="007219D0"/>
    <w:rsid w:val="007238E3"/>
    <w:rsid w:val="00724F3C"/>
    <w:rsid w:val="00725CE7"/>
    <w:rsid w:val="007265E9"/>
    <w:rsid w:val="00727AF9"/>
    <w:rsid w:val="00730317"/>
    <w:rsid w:val="00730396"/>
    <w:rsid w:val="007305EC"/>
    <w:rsid w:val="007307D0"/>
    <w:rsid w:val="00731D7A"/>
    <w:rsid w:val="00731EFD"/>
    <w:rsid w:val="00732909"/>
    <w:rsid w:val="007329EB"/>
    <w:rsid w:val="0073306C"/>
    <w:rsid w:val="00733423"/>
    <w:rsid w:val="00733456"/>
    <w:rsid w:val="00733745"/>
    <w:rsid w:val="007338E0"/>
    <w:rsid w:val="0073472F"/>
    <w:rsid w:val="00734F82"/>
    <w:rsid w:val="00736003"/>
    <w:rsid w:val="00737151"/>
    <w:rsid w:val="00737770"/>
    <w:rsid w:val="007378D2"/>
    <w:rsid w:val="007409EE"/>
    <w:rsid w:val="00740FB8"/>
    <w:rsid w:val="0074136F"/>
    <w:rsid w:val="007416E5"/>
    <w:rsid w:val="00741E16"/>
    <w:rsid w:val="00741EDB"/>
    <w:rsid w:val="00742B00"/>
    <w:rsid w:val="007430CD"/>
    <w:rsid w:val="00743531"/>
    <w:rsid w:val="00743F1C"/>
    <w:rsid w:val="0074425F"/>
    <w:rsid w:val="007447A9"/>
    <w:rsid w:val="007447FC"/>
    <w:rsid w:val="00744B7B"/>
    <w:rsid w:val="007452A4"/>
    <w:rsid w:val="007455E7"/>
    <w:rsid w:val="00745957"/>
    <w:rsid w:val="0074596C"/>
    <w:rsid w:val="0074643D"/>
    <w:rsid w:val="007468DB"/>
    <w:rsid w:val="00747D13"/>
    <w:rsid w:val="00747FF9"/>
    <w:rsid w:val="00750331"/>
    <w:rsid w:val="00750717"/>
    <w:rsid w:val="00750A59"/>
    <w:rsid w:val="00750AB9"/>
    <w:rsid w:val="00751459"/>
    <w:rsid w:val="00751839"/>
    <w:rsid w:val="007519E0"/>
    <w:rsid w:val="00752857"/>
    <w:rsid w:val="00753666"/>
    <w:rsid w:val="00753881"/>
    <w:rsid w:val="00754154"/>
    <w:rsid w:val="007541AB"/>
    <w:rsid w:val="007543BA"/>
    <w:rsid w:val="0075507B"/>
    <w:rsid w:val="0075566C"/>
    <w:rsid w:val="00755AC5"/>
    <w:rsid w:val="00755CFD"/>
    <w:rsid w:val="007566EB"/>
    <w:rsid w:val="00756E4B"/>
    <w:rsid w:val="00756FFF"/>
    <w:rsid w:val="007576F2"/>
    <w:rsid w:val="00757E1D"/>
    <w:rsid w:val="00757EEC"/>
    <w:rsid w:val="007601DF"/>
    <w:rsid w:val="007602AB"/>
    <w:rsid w:val="00760449"/>
    <w:rsid w:val="007604EE"/>
    <w:rsid w:val="0076071A"/>
    <w:rsid w:val="00761408"/>
    <w:rsid w:val="007616A8"/>
    <w:rsid w:val="00761C9E"/>
    <w:rsid w:val="00762129"/>
    <w:rsid w:val="0076258C"/>
    <w:rsid w:val="00762B51"/>
    <w:rsid w:val="007631CA"/>
    <w:rsid w:val="00763504"/>
    <w:rsid w:val="007643C5"/>
    <w:rsid w:val="0076450B"/>
    <w:rsid w:val="00764D27"/>
    <w:rsid w:val="00764DCA"/>
    <w:rsid w:val="0076570E"/>
    <w:rsid w:val="00765761"/>
    <w:rsid w:val="00766C17"/>
    <w:rsid w:val="00767243"/>
    <w:rsid w:val="00767AB6"/>
    <w:rsid w:val="00767C64"/>
    <w:rsid w:val="00767C66"/>
    <w:rsid w:val="00767DD3"/>
    <w:rsid w:val="00770252"/>
    <w:rsid w:val="0077086C"/>
    <w:rsid w:val="00770ABD"/>
    <w:rsid w:val="0077127D"/>
    <w:rsid w:val="007716E5"/>
    <w:rsid w:val="007724B4"/>
    <w:rsid w:val="007739FE"/>
    <w:rsid w:val="00774352"/>
    <w:rsid w:val="007745DC"/>
    <w:rsid w:val="007746E2"/>
    <w:rsid w:val="00775DEF"/>
    <w:rsid w:val="0077617B"/>
    <w:rsid w:val="00776ACA"/>
    <w:rsid w:val="00777408"/>
    <w:rsid w:val="00777B72"/>
    <w:rsid w:val="007801F5"/>
    <w:rsid w:val="007803B4"/>
    <w:rsid w:val="00780EBA"/>
    <w:rsid w:val="00780EEE"/>
    <w:rsid w:val="007817AA"/>
    <w:rsid w:val="0078222D"/>
    <w:rsid w:val="00782A45"/>
    <w:rsid w:val="0078313F"/>
    <w:rsid w:val="00783605"/>
    <w:rsid w:val="007844DB"/>
    <w:rsid w:val="007859B8"/>
    <w:rsid w:val="00785EA5"/>
    <w:rsid w:val="00786BA3"/>
    <w:rsid w:val="00786F52"/>
    <w:rsid w:val="00787836"/>
    <w:rsid w:val="00787D13"/>
    <w:rsid w:val="007914C5"/>
    <w:rsid w:val="0079295F"/>
    <w:rsid w:val="00792962"/>
    <w:rsid w:val="00792DDB"/>
    <w:rsid w:val="0079351C"/>
    <w:rsid w:val="0079441B"/>
    <w:rsid w:val="0079467C"/>
    <w:rsid w:val="00794C2D"/>
    <w:rsid w:val="00795253"/>
    <w:rsid w:val="00795272"/>
    <w:rsid w:val="00795B90"/>
    <w:rsid w:val="00795CC9"/>
    <w:rsid w:val="00796780"/>
    <w:rsid w:val="007971E9"/>
    <w:rsid w:val="007975D3"/>
    <w:rsid w:val="00797803"/>
    <w:rsid w:val="007A24A0"/>
    <w:rsid w:val="007A282D"/>
    <w:rsid w:val="007A3194"/>
    <w:rsid w:val="007A5373"/>
    <w:rsid w:val="007A5A8F"/>
    <w:rsid w:val="007A5B68"/>
    <w:rsid w:val="007A5EAF"/>
    <w:rsid w:val="007A6515"/>
    <w:rsid w:val="007A6E2C"/>
    <w:rsid w:val="007A70D5"/>
    <w:rsid w:val="007A7932"/>
    <w:rsid w:val="007A7D37"/>
    <w:rsid w:val="007B0ADB"/>
    <w:rsid w:val="007B0D25"/>
    <w:rsid w:val="007B10D2"/>
    <w:rsid w:val="007B12E1"/>
    <w:rsid w:val="007B188A"/>
    <w:rsid w:val="007B1901"/>
    <w:rsid w:val="007B1C6E"/>
    <w:rsid w:val="007B1F84"/>
    <w:rsid w:val="007B3177"/>
    <w:rsid w:val="007B434C"/>
    <w:rsid w:val="007B4941"/>
    <w:rsid w:val="007B6061"/>
    <w:rsid w:val="007B632E"/>
    <w:rsid w:val="007B7722"/>
    <w:rsid w:val="007B7A7B"/>
    <w:rsid w:val="007B7C72"/>
    <w:rsid w:val="007C07D7"/>
    <w:rsid w:val="007C09DF"/>
    <w:rsid w:val="007C0DD0"/>
    <w:rsid w:val="007C1CD2"/>
    <w:rsid w:val="007C2052"/>
    <w:rsid w:val="007C285C"/>
    <w:rsid w:val="007C2EF8"/>
    <w:rsid w:val="007C3133"/>
    <w:rsid w:val="007C321B"/>
    <w:rsid w:val="007C33C6"/>
    <w:rsid w:val="007C3789"/>
    <w:rsid w:val="007C4050"/>
    <w:rsid w:val="007C4058"/>
    <w:rsid w:val="007C4816"/>
    <w:rsid w:val="007C48A2"/>
    <w:rsid w:val="007C4A02"/>
    <w:rsid w:val="007C547E"/>
    <w:rsid w:val="007C565A"/>
    <w:rsid w:val="007C61FD"/>
    <w:rsid w:val="007C714F"/>
    <w:rsid w:val="007D01F2"/>
    <w:rsid w:val="007D01F8"/>
    <w:rsid w:val="007D12F2"/>
    <w:rsid w:val="007D1B3B"/>
    <w:rsid w:val="007D1F67"/>
    <w:rsid w:val="007D21F2"/>
    <w:rsid w:val="007D2AA3"/>
    <w:rsid w:val="007D2C5D"/>
    <w:rsid w:val="007D2E2E"/>
    <w:rsid w:val="007D4F98"/>
    <w:rsid w:val="007D51FF"/>
    <w:rsid w:val="007D5352"/>
    <w:rsid w:val="007D582F"/>
    <w:rsid w:val="007D6AEB"/>
    <w:rsid w:val="007D6CDE"/>
    <w:rsid w:val="007D7560"/>
    <w:rsid w:val="007D75B4"/>
    <w:rsid w:val="007D7C83"/>
    <w:rsid w:val="007D7F70"/>
    <w:rsid w:val="007E0D1E"/>
    <w:rsid w:val="007E0F18"/>
    <w:rsid w:val="007E1B74"/>
    <w:rsid w:val="007E2EB0"/>
    <w:rsid w:val="007E35C9"/>
    <w:rsid w:val="007E39C9"/>
    <w:rsid w:val="007E42CB"/>
    <w:rsid w:val="007E45B4"/>
    <w:rsid w:val="007E45E9"/>
    <w:rsid w:val="007E4A14"/>
    <w:rsid w:val="007E5199"/>
    <w:rsid w:val="007E524D"/>
    <w:rsid w:val="007E5403"/>
    <w:rsid w:val="007E5BB5"/>
    <w:rsid w:val="007E65E9"/>
    <w:rsid w:val="007E697E"/>
    <w:rsid w:val="007F0C2D"/>
    <w:rsid w:val="007F1240"/>
    <w:rsid w:val="007F193E"/>
    <w:rsid w:val="007F1C1E"/>
    <w:rsid w:val="007F1C83"/>
    <w:rsid w:val="007F1DFB"/>
    <w:rsid w:val="007F1E12"/>
    <w:rsid w:val="007F1F9C"/>
    <w:rsid w:val="007F2895"/>
    <w:rsid w:val="007F2911"/>
    <w:rsid w:val="007F2B0F"/>
    <w:rsid w:val="007F2D0F"/>
    <w:rsid w:val="007F3396"/>
    <w:rsid w:val="007F34F4"/>
    <w:rsid w:val="007F3807"/>
    <w:rsid w:val="007F3905"/>
    <w:rsid w:val="007F3BF6"/>
    <w:rsid w:val="007F3C85"/>
    <w:rsid w:val="007F3F30"/>
    <w:rsid w:val="007F4782"/>
    <w:rsid w:val="007F4912"/>
    <w:rsid w:val="007F5E93"/>
    <w:rsid w:val="007F6ABF"/>
    <w:rsid w:val="007F6C6C"/>
    <w:rsid w:val="007F7746"/>
    <w:rsid w:val="008014CB"/>
    <w:rsid w:val="008015D6"/>
    <w:rsid w:val="00801B9C"/>
    <w:rsid w:val="00801D1B"/>
    <w:rsid w:val="0080337A"/>
    <w:rsid w:val="00803990"/>
    <w:rsid w:val="00804EF8"/>
    <w:rsid w:val="00805162"/>
    <w:rsid w:val="0080517C"/>
    <w:rsid w:val="00805579"/>
    <w:rsid w:val="00805AFB"/>
    <w:rsid w:val="00806DA2"/>
    <w:rsid w:val="00807581"/>
    <w:rsid w:val="008104AB"/>
    <w:rsid w:val="00810D31"/>
    <w:rsid w:val="0081202B"/>
    <w:rsid w:val="00813A88"/>
    <w:rsid w:val="00813CE8"/>
    <w:rsid w:val="00813D5C"/>
    <w:rsid w:val="00814F4D"/>
    <w:rsid w:val="00815AB0"/>
    <w:rsid w:val="00815DC4"/>
    <w:rsid w:val="00817221"/>
    <w:rsid w:val="008206C7"/>
    <w:rsid w:val="00820EEA"/>
    <w:rsid w:val="00821728"/>
    <w:rsid w:val="00822254"/>
    <w:rsid w:val="0082225D"/>
    <w:rsid w:val="00822AAD"/>
    <w:rsid w:val="00822B81"/>
    <w:rsid w:val="00822DE7"/>
    <w:rsid w:val="00823090"/>
    <w:rsid w:val="008232D5"/>
    <w:rsid w:val="008234BC"/>
    <w:rsid w:val="00823869"/>
    <w:rsid w:val="008239F0"/>
    <w:rsid w:val="00823B76"/>
    <w:rsid w:val="008245C5"/>
    <w:rsid w:val="00824B3C"/>
    <w:rsid w:val="0082532B"/>
    <w:rsid w:val="0082585B"/>
    <w:rsid w:val="00825F98"/>
    <w:rsid w:val="00826633"/>
    <w:rsid w:val="008269F6"/>
    <w:rsid w:val="008275A9"/>
    <w:rsid w:val="008309A3"/>
    <w:rsid w:val="00830D26"/>
    <w:rsid w:val="00831C22"/>
    <w:rsid w:val="00833634"/>
    <w:rsid w:val="00833F70"/>
    <w:rsid w:val="008340E1"/>
    <w:rsid w:val="008345B1"/>
    <w:rsid w:val="00834CAF"/>
    <w:rsid w:val="0083512D"/>
    <w:rsid w:val="008356AF"/>
    <w:rsid w:val="00836F32"/>
    <w:rsid w:val="00840B1D"/>
    <w:rsid w:val="00840D6E"/>
    <w:rsid w:val="008421DC"/>
    <w:rsid w:val="0084254D"/>
    <w:rsid w:val="0084303D"/>
    <w:rsid w:val="0084358C"/>
    <w:rsid w:val="00843AAA"/>
    <w:rsid w:val="008445D3"/>
    <w:rsid w:val="008452B5"/>
    <w:rsid w:val="008452DB"/>
    <w:rsid w:val="00845BA5"/>
    <w:rsid w:val="00846018"/>
    <w:rsid w:val="00846284"/>
    <w:rsid w:val="00846542"/>
    <w:rsid w:val="00846582"/>
    <w:rsid w:val="00846968"/>
    <w:rsid w:val="00846B0F"/>
    <w:rsid w:val="008475E5"/>
    <w:rsid w:val="00847909"/>
    <w:rsid w:val="00847BA2"/>
    <w:rsid w:val="0085034B"/>
    <w:rsid w:val="0085099E"/>
    <w:rsid w:val="00850FD6"/>
    <w:rsid w:val="00851889"/>
    <w:rsid w:val="008520E3"/>
    <w:rsid w:val="00852AF5"/>
    <w:rsid w:val="008535E9"/>
    <w:rsid w:val="00854BFB"/>
    <w:rsid w:val="0085510F"/>
    <w:rsid w:val="008555CD"/>
    <w:rsid w:val="00855762"/>
    <w:rsid w:val="008579E0"/>
    <w:rsid w:val="00857F35"/>
    <w:rsid w:val="008602E3"/>
    <w:rsid w:val="008603A5"/>
    <w:rsid w:val="008609B6"/>
    <w:rsid w:val="00860FED"/>
    <w:rsid w:val="00862036"/>
    <w:rsid w:val="0086217E"/>
    <w:rsid w:val="008623CA"/>
    <w:rsid w:val="008630FE"/>
    <w:rsid w:val="00864104"/>
    <w:rsid w:val="00864313"/>
    <w:rsid w:val="00864700"/>
    <w:rsid w:val="0086523B"/>
    <w:rsid w:val="008665E5"/>
    <w:rsid w:val="00866EAF"/>
    <w:rsid w:val="00866F5A"/>
    <w:rsid w:val="008675BE"/>
    <w:rsid w:val="00867E81"/>
    <w:rsid w:val="008706BD"/>
    <w:rsid w:val="0087089A"/>
    <w:rsid w:val="008708F1"/>
    <w:rsid w:val="00870D9A"/>
    <w:rsid w:val="00870E9B"/>
    <w:rsid w:val="00870FD7"/>
    <w:rsid w:val="00871980"/>
    <w:rsid w:val="00871994"/>
    <w:rsid w:val="00871E21"/>
    <w:rsid w:val="00871E9E"/>
    <w:rsid w:val="008727D9"/>
    <w:rsid w:val="00872973"/>
    <w:rsid w:val="00873C67"/>
    <w:rsid w:val="00874838"/>
    <w:rsid w:val="008751D9"/>
    <w:rsid w:val="00876912"/>
    <w:rsid w:val="00876D3B"/>
    <w:rsid w:val="00880009"/>
    <w:rsid w:val="00880C54"/>
    <w:rsid w:val="0088141D"/>
    <w:rsid w:val="0088144E"/>
    <w:rsid w:val="008816D8"/>
    <w:rsid w:val="00881A16"/>
    <w:rsid w:val="00881C4F"/>
    <w:rsid w:val="00881CC2"/>
    <w:rsid w:val="00881FEA"/>
    <w:rsid w:val="00882D48"/>
    <w:rsid w:val="0088340D"/>
    <w:rsid w:val="0088364A"/>
    <w:rsid w:val="0088365F"/>
    <w:rsid w:val="00883A9D"/>
    <w:rsid w:val="00883C97"/>
    <w:rsid w:val="00883DBB"/>
    <w:rsid w:val="00883DF3"/>
    <w:rsid w:val="0088458A"/>
    <w:rsid w:val="008847D3"/>
    <w:rsid w:val="00884FBF"/>
    <w:rsid w:val="00885084"/>
    <w:rsid w:val="00885480"/>
    <w:rsid w:val="008858C7"/>
    <w:rsid w:val="00885F95"/>
    <w:rsid w:val="00886044"/>
    <w:rsid w:val="00886B07"/>
    <w:rsid w:val="00886B54"/>
    <w:rsid w:val="00886C16"/>
    <w:rsid w:val="00887923"/>
    <w:rsid w:val="00887CBF"/>
    <w:rsid w:val="00887DAA"/>
    <w:rsid w:val="00890953"/>
    <w:rsid w:val="00891224"/>
    <w:rsid w:val="008914CE"/>
    <w:rsid w:val="0089187B"/>
    <w:rsid w:val="008921E0"/>
    <w:rsid w:val="00893F14"/>
    <w:rsid w:val="00894888"/>
    <w:rsid w:val="0089516D"/>
    <w:rsid w:val="0089531D"/>
    <w:rsid w:val="00895B9C"/>
    <w:rsid w:val="008A0999"/>
    <w:rsid w:val="008A106A"/>
    <w:rsid w:val="008A19D0"/>
    <w:rsid w:val="008A203D"/>
    <w:rsid w:val="008A28AE"/>
    <w:rsid w:val="008A3368"/>
    <w:rsid w:val="008A36E1"/>
    <w:rsid w:val="008A3A48"/>
    <w:rsid w:val="008A3CBD"/>
    <w:rsid w:val="008A4B60"/>
    <w:rsid w:val="008A4C71"/>
    <w:rsid w:val="008A4FEC"/>
    <w:rsid w:val="008A5AF0"/>
    <w:rsid w:val="008A6355"/>
    <w:rsid w:val="008A655D"/>
    <w:rsid w:val="008A662C"/>
    <w:rsid w:val="008A6643"/>
    <w:rsid w:val="008A72AA"/>
    <w:rsid w:val="008A7B14"/>
    <w:rsid w:val="008B0085"/>
    <w:rsid w:val="008B0CC1"/>
    <w:rsid w:val="008B171D"/>
    <w:rsid w:val="008B1969"/>
    <w:rsid w:val="008B2F3F"/>
    <w:rsid w:val="008B3D59"/>
    <w:rsid w:val="008B4048"/>
    <w:rsid w:val="008B4631"/>
    <w:rsid w:val="008B56C3"/>
    <w:rsid w:val="008B57F1"/>
    <w:rsid w:val="008B582D"/>
    <w:rsid w:val="008B5F26"/>
    <w:rsid w:val="008B728B"/>
    <w:rsid w:val="008B7410"/>
    <w:rsid w:val="008B79CF"/>
    <w:rsid w:val="008B7C86"/>
    <w:rsid w:val="008C0649"/>
    <w:rsid w:val="008C0D9F"/>
    <w:rsid w:val="008C1475"/>
    <w:rsid w:val="008C1DA4"/>
    <w:rsid w:val="008C1F29"/>
    <w:rsid w:val="008C236F"/>
    <w:rsid w:val="008C29FD"/>
    <w:rsid w:val="008C2BF1"/>
    <w:rsid w:val="008C323F"/>
    <w:rsid w:val="008C3413"/>
    <w:rsid w:val="008C3AC4"/>
    <w:rsid w:val="008C4117"/>
    <w:rsid w:val="008C4172"/>
    <w:rsid w:val="008C41B0"/>
    <w:rsid w:val="008C44F4"/>
    <w:rsid w:val="008C4D45"/>
    <w:rsid w:val="008C59DE"/>
    <w:rsid w:val="008C5BD1"/>
    <w:rsid w:val="008C5F2B"/>
    <w:rsid w:val="008C6303"/>
    <w:rsid w:val="008C64F2"/>
    <w:rsid w:val="008C7494"/>
    <w:rsid w:val="008C78BC"/>
    <w:rsid w:val="008C7DFA"/>
    <w:rsid w:val="008D0FD6"/>
    <w:rsid w:val="008D388D"/>
    <w:rsid w:val="008D3C19"/>
    <w:rsid w:val="008D3E37"/>
    <w:rsid w:val="008D3E45"/>
    <w:rsid w:val="008D4213"/>
    <w:rsid w:val="008D4ECE"/>
    <w:rsid w:val="008D55C7"/>
    <w:rsid w:val="008D56B6"/>
    <w:rsid w:val="008D591D"/>
    <w:rsid w:val="008D5FD3"/>
    <w:rsid w:val="008D62A8"/>
    <w:rsid w:val="008D6ABF"/>
    <w:rsid w:val="008E0A8C"/>
    <w:rsid w:val="008E0D63"/>
    <w:rsid w:val="008E0DC5"/>
    <w:rsid w:val="008E1A3C"/>
    <w:rsid w:val="008E1B7E"/>
    <w:rsid w:val="008E22AC"/>
    <w:rsid w:val="008E2C1A"/>
    <w:rsid w:val="008E2E1D"/>
    <w:rsid w:val="008E2FD7"/>
    <w:rsid w:val="008E3EAE"/>
    <w:rsid w:val="008E3F14"/>
    <w:rsid w:val="008E42DF"/>
    <w:rsid w:val="008E45A4"/>
    <w:rsid w:val="008E4A07"/>
    <w:rsid w:val="008E566E"/>
    <w:rsid w:val="008E5B6F"/>
    <w:rsid w:val="008E685F"/>
    <w:rsid w:val="008E6E37"/>
    <w:rsid w:val="008E7457"/>
    <w:rsid w:val="008E7606"/>
    <w:rsid w:val="008E7FD9"/>
    <w:rsid w:val="008F09D4"/>
    <w:rsid w:val="008F2B28"/>
    <w:rsid w:val="008F2DEA"/>
    <w:rsid w:val="008F3730"/>
    <w:rsid w:val="008F3B4A"/>
    <w:rsid w:val="008F3EC3"/>
    <w:rsid w:val="008F4268"/>
    <w:rsid w:val="008F4EFC"/>
    <w:rsid w:val="008F51AA"/>
    <w:rsid w:val="008F5A37"/>
    <w:rsid w:val="008F5BBA"/>
    <w:rsid w:val="008F5D78"/>
    <w:rsid w:val="008F65E8"/>
    <w:rsid w:val="008F7341"/>
    <w:rsid w:val="008F75ED"/>
    <w:rsid w:val="008F77F3"/>
    <w:rsid w:val="008F7896"/>
    <w:rsid w:val="008F7948"/>
    <w:rsid w:val="0090019E"/>
    <w:rsid w:val="009015E1"/>
    <w:rsid w:val="00901720"/>
    <w:rsid w:val="00901877"/>
    <w:rsid w:val="009019C4"/>
    <w:rsid w:val="00901B8A"/>
    <w:rsid w:val="00901C9A"/>
    <w:rsid w:val="009022CB"/>
    <w:rsid w:val="00902935"/>
    <w:rsid w:val="0090323F"/>
    <w:rsid w:val="009032A3"/>
    <w:rsid w:val="009033A1"/>
    <w:rsid w:val="00903B75"/>
    <w:rsid w:val="00903DC5"/>
    <w:rsid w:val="00903DE7"/>
    <w:rsid w:val="00904246"/>
    <w:rsid w:val="00904D95"/>
    <w:rsid w:val="00904F5B"/>
    <w:rsid w:val="00905546"/>
    <w:rsid w:val="0090582C"/>
    <w:rsid w:val="00905DAC"/>
    <w:rsid w:val="00906188"/>
    <w:rsid w:val="00907070"/>
    <w:rsid w:val="00907841"/>
    <w:rsid w:val="00907C6F"/>
    <w:rsid w:val="00907D1D"/>
    <w:rsid w:val="00907EDB"/>
    <w:rsid w:val="0091154A"/>
    <w:rsid w:val="00911D89"/>
    <w:rsid w:val="00911F10"/>
    <w:rsid w:val="009120A5"/>
    <w:rsid w:val="009123C5"/>
    <w:rsid w:val="009126A3"/>
    <w:rsid w:val="009127EE"/>
    <w:rsid w:val="00913F80"/>
    <w:rsid w:val="0091444B"/>
    <w:rsid w:val="009152A5"/>
    <w:rsid w:val="009152D2"/>
    <w:rsid w:val="0091643E"/>
    <w:rsid w:val="00916801"/>
    <w:rsid w:val="00916F26"/>
    <w:rsid w:val="0091700F"/>
    <w:rsid w:val="00917979"/>
    <w:rsid w:val="00917FA1"/>
    <w:rsid w:val="00920769"/>
    <w:rsid w:val="00920B0A"/>
    <w:rsid w:val="00920BA3"/>
    <w:rsid w:val="009212CD"/>
    <w:rsid w:val="009218C6"/>
    <w:rsid w:val="00921B3A"/>
    <w:rsid w:val="00921B3F"/>
    <w:rsid w:val="009222A2"/>
    <w:rsid w:val="00923628"/>
    <w:rsid w:val="009236D7"/>
    <w:rsid w:val="00923C07"/>
    <w:rsid w:val="00924075"/>
    <w:rsid w:val="009254D7"/>
    <w:rsid w:val="0092597E"/>
    <w:rsid w:val="0092665E"/>
    <w:rsid w:val="00926B9D"/>
    <w:rsid w:val="00926E6A"/>
    <w:rsid w:val="00927494"/>
    <w:rsid w:val="009278E1"/>
    <w:rsid w:val="0093019C"/>
    <w:rsid w:val="00930EBE"/>
    <w:rsid w:val="00930F6D"/>
    <w:rsid w:val="0093140F"/>
    <w:rsid w:val="009316FB"/>
    <w:rsid w:val="00931A82"/>
    <w:rsid w:val="00931D78"/>
    <w:rsid w:val="0093610E"/>
    <w:rsid w:val="009361D6"/>
    <w:rsid w:val="00936406"/>
    <w:rsid w:val="0093645D"/>
    <w:rsid w:val="009368BB"/>
    <w:rsid w:val="00936B22"/>
    <w:rsid w:val="00936C7D"/>
    <w:rsid w:val="00936E66"/>
    <w:rsid w:val="00937BEE"/>
    <w:rsid w:val="00940796"/>
    <w:rsid w:val="00941F3C"/>
    <w:rsid w:val="00942075"/>
    <w:rsid w:val="00942BD1"/>
    <w:rsid w:val="00942C3C"/>
    <w:rsid w:val="00942C9E"/>
    <w:rsid w:val="00943215"/>
    <w:rsid w:val="009438C8"/>
    <w:rsid w:val="00944DC3"/>
    <w:rsid w:val="00945288"/>
    <w:rsid w:val="00945683"/>
    <w:rsid w:val="00945FFC"/>
    <w:rsid w:val="009471DC"/>
    <w:rsid w:val="00947B04"/>
    <w:rsid w:val="00947D0E"/>
    <w:rsid w:val="00950E31"/>
    <w:rsid w:val="0095144D"/>
    <w:rsid w:val="00952A5E"/>
    <w:rsid w:val="00952D1F"/>
    <w:rsid w:val="0095336C"/>
    <w:rsid w:val="009537D9"/>
    <w:rsid w:val="00954A81"/>
    <w:rsid w:val="00954C2F"/>
    <w:rsid w:val="00954D99"/>
    <w:rsid w:val="009563E7"/>
    <w:rsid w:val="00956545"/>
    <w:rsid w:val="009565DB"/>
    <w:rsid w:val="0095662E"/>
    <w:rsid w:val="00957711"/>
    <w:rsid w:val="00960182"/>
    <w:rsid w:val="00960254"/>
    <w:rsid w:val="009616D2"/>
    <w:rsid w:val="00961EA2"/>
    <w:rsid w:val="00961EE9"/>
    <w:rsid w:val="0096208F"/>
    <w:rsid w:val="00962F55"/>
    <w:rsid w:val="00963031"/>
    <w:rsid w:val="00964BF9"/>
    <w:rsid w:val="00964E65"/>
    <w:rsid w:val="00964F73"/>
    <w:rsid w:val="00966F45"/>
    <w:rsid w:val="00967DDF"/>
    <w:rsid w:val="0097115D"/>
    <w:rsid w:val="009720E9"/>
    <w:rsid w:val="00972AAD"/>
    <w:rsid w:val="0097339B"/>
    <w:rsid w:val="00973736"/>
    <w:rsid w:val="00974216"/>
    <w:rsid w:val="00974B31"/>
    <w:rsid w:val="00974C01"/>
    <w:rsid w:val="00975855"/>
    <w:rsid w:val="00975A2D"/>
    <w:rsid w:val="00975AB0"/>
    <w:rsid w:val="00975D30"/>
    <w:rsid w:val="00976517"/>
    <w:rsid w:val="00976CCB"/>
    <w:rsid w:val="00977ADC"/>
    <w:rsid w:val="0098008A"/>
    <w:rsid w:val="00980416"/>
    <w:rsid w:val="009821E5"/>
    <w:rsid w:val="00982988"/>
    <w:rsid w:val="00982F97"/>
    <w:rsid w:val="009833AC"/>
    <w:rsid w:val="009836AD"/>
    <w:rsid w:val="0098478C"/>
    <w:rsid w:val="00984C22"/>
    <w:rsid w:val="00987212"/>
    <w:rsid w:val="009876BC"/>
    <w:rsid w:val="00990D29"/>
    <w:rsid w:val="0099226A"/>
    <w:rsid w:val="009924A6"/>
    <w:rsid w:val="009925A1"/>
    <w:rsid w:val="00992D76"/>
    <w:rsid w:val="0099320B"/>
    <w:rsid w:val="0099441A"/>
    <w:rsid w:val="00994D40"/>
    <w:rsid w:val="00994E90"/>
    <w:rsid w:val="009965E2"/>
    <w:rsid w:val="009966AE"/>
    <w:rsid w:val="00996E6A"/>
    <w:rsid w:val="00996EB2"/>
    <w:rsid w:val="009A0693"/>
    <w:rsid w:val="009A0904"/>
    <w:rsid w:val="009A09D8"/>
    <w:rsid w:val="009A09DB"/>
    <w:rsid w:val="009A0D49"/>
    <w:rsid w:val="009A1BC6"/>
    <w:rsid w:val="009A22F6"/>
    <w:rsid w:val="009A29B9"/>
    <w:rsid w:val="009A2F76"/>
    <w:rsid w:val="009A33DF"/>
    <w:rsid w:val="009A3593"/>
    <w:rsid w:val="009A367C"/>
    <w:rsid w:val="009A37DC"/>
    <w:rsid w:val="009A476E"/>
    <w:rsid w:val="009A531E"/>
    <w:rsid w:val="009A5938"/>
    <w:rsid w:val="009A6852"/>
    <w:rsid w:val="009A6A6C"/>
    <w:rsid w:val="009A70A5"/>
    <w:rsid w:val="009B042B"/>
    <w:rsid w:val="009B0488"/>
    <w:rsid w:val="009B0513"/>
    <w:rsid w:val="009B0CE0"/>
    <w:rsid w:val="009B1109"/>
    <w:rsid w:val="009B23F1"/>
    <w:rsid w:val="009B2EFB"/>
    <w:rsid w:val="009B2F50"/>
    <w:rsid w:val="009B3250"/>
    <w:rsid w:val="009B34F1"/>
    <w:rsid w:val="009B3DA0"/>
    <w:rsid w:val="009B4399"/>
    <w:rsid w:val="009B48DF"/>
    <w:rsid w:val="009B5377"/>
    <w:rsid w:val="009B67DC"/>
    <w:rsid w:val="009B68C2"/>
    <w:rsid w:val="009B7976"/>
    <w:rsid w:val="009B7F72"/>
    <w:rsid w:val="009C08C4"/>
    <w:rsid w:val="009C0B89"/>
    <w:rsid w:val="009C1055"/>
    <w:rsid w:val="009C4471"/>
    <w:rsid w:val="009C4716"/>
    <w:rsid w:val="009C4B6A"/>
    <w:rsid w:val="009C572D"/>
    <w:rsid w:val="009C5F2B"/>
    <w:rsid w:val="009C763D"/>
    <w:rsid w:val="009C770D"/>
    <w:rsid w:val="009D03E9"/>
    <w:rsid w:val="009D1368"/>
    <w:rsid w:val="009D2283"/>
    <w:rsid w:val="009D23A8"/>
    <w:rsid w:val="009D29D5"/>
    <w:rsid w:val="009D2E17"/>
    <w:rsid w:val="009D3A73"/>
    <w:rsid w:val="009D3D19"/>
    <w:rsid w:val="009D4132"/>
    <w:rsid w:val="009D4662"/>
    <w:rsid w:val="009D510C"/>
    <w:rsid w:val="009D583D"/>
    <w:rsid w:val="009D5A39"/>
    <w:rsid w:val="009D6778"/>
    <w:rsid w:val="009D7531"/>
    <w:rsid w:val="009E0DD6"/>
    <w:rsid w:val="009E1D9C"/>
    <w:rsid w:val="009E3948"/>
    <w:rsid w:val="009E3CA1"/>
    <w:rsid w:val="009E3CBB"/>
    <w:rsid w:val="009E4296"/>
    <w:rsid w:val="009E4CF9"/>
    <w:rsid w:val="009E4E72"/>
    <w:rsid w:val="009E4FB0"/>
    <w:rsid w:val="009E5063"/>
    <w:rsid w:val="009E6149"/>
    <w:rsid w:val="009E6A82"/>
    <w:rsid w:val="009E71D4"/>
    <w:rsid w:val="009E7A0C"/>
    <w:rsid w:val="009E7DBE"/>
    <w:rsid w:val="009F00A3"/>
    <w:rsid w:val="009F0658"/>
    <w:rsid w:val="009F08B4"/>
    <w:rsid w:val="009F0D3D"/>
    <w:rsid w:val="009F119B"/>
    <w:rsid w:val="009F1FF8"/>
    <w:rsid w:val="009F2896"/>
    <w:rsid w:val="009F3E77"/>
    <w:rsid w:val="009F4230"/>
    <w:rsid w:val="009F427A"/>
    <w:rsid w:val="009F47D1"/>
    <w:rsid w:val="009F4801"/>
    <w:rsid w:val="009F4CCA"/>
    <w:rsid w:val="009F5367"/>
    <w:rsid w:val="009F5ED2"/>
    <w:rsid w:val="009F5F0F"/>
    <w:rsid w:val="009F761F"/>
    <w:rsid w:val="009F7649"/>
    <w:rsid w:val="00A007E2"/>
    <w:rsid w:val="00A01CF1"/>
    <w:rsid w:val="00A02D6B"/>
    <w:rsid w:val="00A0364E"/>
    <w:rsid w:val="00A03E01"/>
    <w:rsid w:val="00A04430"/>
    <w:rsid w:val="00A04F87"/>
    <w:rsid w:val="00A0560A"/>
    <w:rsid w:val="00A065C4"/>
    <w:rsid w:val="00A071A9"/>
    <w:rsid w:val="00A072A9"/>
    <w:rsid w:val="00A07AEB"/>
    <w:rsid w:val="00A07B35"/>
    <w:rsid w:val="00A105D8"/>
    <w:rsid w:val="00A1171B"/>
    <w:rsid w:val="00A11FA5"/>
    <w:rsid w:val="00A12432"/>
    <w:rsid w:val="00A12CC5"/>
    <w:rsid w:val="00A131F5"/>
    <w:rsid w:val="00A137D9"/>
    <w:rsid w:val="00A13F33"/>
    <w:rsid w:val="00A14165"/>
    <w:rsid w:val="00A141DB"/>
    <w:rsid w:val="00A14C23"/>
    <w:rsid w:val="00A1563E"/>
    <w:rsid w:val="00A156FD"/>
    <w:rsid w:val="00A158FC"/>
    <w:rsid w:val="00A173E4"/>
    <w:rsid w:val="00A206CE"/>
    <w:rsid w:val="00A209A4"/>
    <w:rsid w:val="00A209BF"/>
    <w:rsid w:val="00A20E2A"/>
    <w:rsid w:val="00A20F7D"/>
    <w:rsid w:val="00A21C69"/>
    <w:rsid w:val="00A21E7A"/>
    <w:rsid w:val="00A22079"/>
    <w:rsid w:val="00A2260C"/>
    <w:rsid w:val="00A232E4"/>
    <w:rsid w:val="00A23A0B"/>
    <w:rsid w:val="00A23DAC"/>
    <w:rsid w:val="00A23DB0"/>
    <w:rsid w:val="00A24DC5"/>
    <w:rsid w:val="00A25C0C"/>
    <w:rsid w:val="00A25DC2"/>
    <w:rsid w:val="00A262DA"/>
    <w:rsid w:val="00A26C61"/>
    <w:rsid w:val="00A27A52"/>
    <w:rsid w:val="00A27BB9"/>
    <w:rsid w:val="00A30A67"/>
    <w:rsid w:val="00A31151"/>
    <w:rsid w:val="00A31799"/>
    <w:rsid w:val="00A31B9F"/>
    <w:rsid w:val="00A32420"/>
    <w:rsid w:val="00A33D4D"/>
    <w:rsid w:val="00A33DB1"/>
    <w:rsid w:val="00A34450"/>
    <w:rsid w:val="00A34F76"/>
    <w:rsid w:val="00A36165"/>
    <w:rsid w:val="00A36D91"/>
    <w:rsid w:val="00A37036"/>
    <w:rsid w:val="00A37BF1"/>
    <w:rsid w:val="00A407F3"/>
    <w:rsid w:val="00A40C59"/>
    <w:rsid w:val="00A41062"/>
    <w:rsid w:val="00A41FB4"/>
    <w:rsid w:val="00A421CB"/>
    <w:rsid w:val="00A42949"/>
    <w:rsid w:val="00A4315E"/>
    <w:rsid w:val="00A4385F"/>
    <w:rsid w:val="00A4403E"/>
    <w:rsid w:val="00A440D7"/>
    <w:rsid w:val="00A44D6E"/>
    <w:rsid w:val="00A45A6B"/>
    <w:rsid w:val="00A4632E"/>
    <w:rsid w:val="00A4642F"/>
    <w:rsid w:val="00A4643A"/>
    <w:rsid w:val="00A4662B"/>
    <w:rsid w:val="00A47467"/>
    <w:rsid w:val="00A505F0"/>
    <w:rsid w:val="00A50B60"/>
    <w:rsid w:val="00A512E9"/>
    <w:rsid w:val="00A5189C"/>
    <w:rsid w:val="00A5212E"/>
    <w:rsid w:val="00A52299"/>
    <w:rsid w:val="00A52F70"/>
    <w:rsid w:val="00A53101"/>
    <w:rsid w:val="00A5383F"/>
    <w:rsid w:val="00A53E09"/>
    <w:rsid w:val="00A54E14"/>
    <w:rsid w:val="00A54F77"/>
    <w:rsid w:val="00A55B71"/>
    <w:rsid w:val="00A5774A"/>
    <w:rsid w:val="00A606D8"/>
    <w:rsid w:val="00A60B78"/>
    <w:rsid w:val="00A61D49"/>
    <w:rsid w:val="00A61E00"/>
    <w:rsid w:val="00A61EB4"/>
    <w:rsid w:val="00A630D9"/>
    <w:rsid w:val="00A63850"/>
    <w:rsid w:val="00A63D8E"/>
    <w:rsid w:val="00A641B8"/>
    <w:rsid w:val="00A645C4"/>
    <w:rsid w:val="00A64616"/>
    <w:rsid w:val="00A64855"/>
    <w:rsid w:val="00A64AB6"/>
    <w:rsid w:val="00A64B49"/>
    <w:rsid w:val="00A64B4F"/>
    <w:rsid w:val="00A655AB"/>
    <w:rsid w:val="00A65CFB"/>
    <w:rsid w:val="00A66889"/>
    <w:rsid w:val="00A70B39"/>
    <w:rsid w:val="00A7226E"/>
    <w:rsid w:val="00A72855"/>
    <w:rsid w:val="00A72A95"/>
    <w:rsid w:val="00A73EC2"/>
    <w:rsid w:val="00A74D90"/>
    <w:rsid w:val="00A7536B"/>
    <w:rsid w:val="00A757F8"/>
    <w:rsid w:val="00A75B40"/>
    <w:rsid w:val="00A76C57"/>
    <w:rsid w:val="00A77279"/>
    <w:rsid w:val="00A77655"/>
    <w:rsid w:val="00A7778A"/>
    <w:rsid w:val="00A809E7"/>
    <w:rsid w:val="00A80C20"/>
    <w:rsid w:val="00A81324"/>
    <w:rsid w:val="00A815B8"/>
    <w:rsid w:val="00A8160E"/>
    <w:rsid w:val="00A8161C"/>
    <w:rsid w:val="00A82508"/>
    <w:rsid w:val="00A83130"/>
    <w:rsid w:val="00A83BCC"/>
    <w:rsid w:val="00A83E67"/>
    <w:rsid w:val="00A849F7"/>
    <w:rsid w:val="00A85108"/>
    <w:rsid w:val="00A85FCF"/>
    <w:rsid w:val="00A866D2"/>
    <w:rsid w:val="00A86F21"/>
    <w:rsid w:val="00A8758D"/>
    <w:rsid w:val="00A87D6B"/>
    <w:rsid w:val="00A87EF7"/>
    <w:rsid w:val="00A91E2B"/>
    <w:rsid w:val="00A924A7"/>
    <w:rsid w:val="00A93501"/>
    <w:rsid w:val="00A936CA"/>
    <w:rsid w:val="00A94416"/>
    <w:rsid w:val="00A94482"/>
    <w:rsid w:val="00A94572"/>
    <w:rsid w:val="00A94912"/>
    <w:rsid w:val="00A94BEE"/>
    <w:rsid w:val="00A96798"/>
    <w:rsid w:val="00A96C62"/>
    <w:rsid w:val="00A96EF7"/>
    <w:rsid w:val="00A96F4B"/>
    <w:rsid w:val="00A97587"/>
    <w:rsid w:val="00AA01E5"/>
    <w:rsid w:val="00AA06A5"/>
    <w:rsid w:val="00AA1479"/>
    <w:rsid w:val="00AA18A1"/>
    <w:rsid w:val="00AA18CE"/>
    <w:rsid w:val="00AA1B9A"/>
    <w:rsid w:val="00AA1EAB"/>
    <w:rsid w:val="00AA257A"/>
    <w:rsid w:val="00AA288C"/>
    <w:rsid w:val="00AA3B81"/>
    <w:rsid w:val="00AA45B0"/>
    <w:rsid w:val="00AA460C"/>
    <w:rsid w:val="00AA5C3F"/>
    <w:rsid w:val="00AA66C7"/>
    <w:rsid w:val="00AA6EB0"/>
    <w:rsid w:val="00AA7022"/>
    <w:rsid w:val="00AA7045"/>
    <w:rsid w:val="00AA71B2"/>
    <w:rsid w:val="00AA7E2F"/>
    <w:rsid w:val="00AB0585"/>
    <w:rsid w:val="00AB06EF"/>
    <w:rsid w:val="00AB0A64"/>
    <w:rsid w:val="00AB0B6D"/>
    <w:rsid w:val="00AB124A"/>
    <w:rsid w:val="00AB150B"/>
    <w:rsid w:val="00AB2254"/>
    <w:rsid w:val="00AB2A7B"/>
    <w:rsid w:val="00AB3295"/>
    <w:rsid w:val="00AB34D4"/>
    <w:rsid w:val="00AB3F60"/>
    <w:rsid w:val="00AB4E7D"/>
    <w:rsid w:val="00AB5082"/>
    <w:rsid w:val="00AB52ED"/>
    <w:rsid w:val="00AB5F69"/>
    <w:rsid w:val="00AB5FF9"/>
    <w:rsid w:val="00AB65AA"/>
    <w:rsid w:val="00AB6697"/>
    <w:rsid w:val="00AB741B"/>
    <w:rsid w:val="00AB7D52"/>
    <w:rsid w:val="00AC0145"/>
    <w:rsid w:val="00AC028F"/>
    <w:rsid w:val="00AC0402"/>
    <w:rsid w:val="00AC0D80"/>
    <w:rsid w:val="00AC136D"/>
    <w:rsid w:val="00AC180F"/>
    <w:rsid w:val="00AC20F7"/>
    <w:rsid w:val="00AC2884"/>
    <w:rsid w:val="00AC2B75"/>
    <w:rsid w:val="00AC2CA8"/>
    <w:rsid w:val="00AC30AF"/>
    <w:rsid w:val="00AC3ACC"/>
    <w:rsid w:val="00AC3C1B"/>
    <w:rsid w:val="00AC4012"/>
    <w:rsid w:val="00AC40A8"/>
    <w:rsid w:val="00AC4A20"/>
    <w:rsid w:val="00AC6B93"/>
    <w:rsid w:val="00AC6DC0"/>
    <w:rsid w:val="00AC6F33"/>
    <w:rsid w:val="00AC736B"/>
    <w:rsid w:val="00AC7B3B"/>
    <w:rsid w:val="00AC7D5E"/>
    <w:rsid w:val="00AC7DB4"/>
    <w:rsid w:val="00AD034D"/>
    <w:rsid w:val="00AD0777"/>
    <w:rsid w:val="00AD0E4F"/>
    <w:rsid w:val="00AD25A2"/>
    <w:rsid w:val="00AD26B4"/>
    <w:rsid w:val="00AD2F0C"/>
    <w:rsid w:val="00AD313D"/>
    <w:rsid w:val="00AD3B81"/>
    <w:rsid w:val="00AD42A0"/>
    <w:rsid w:val="00AD42DC"/>
    <w:rsid w:val="00AD50C6"/>
    <w:rsid w:val="00AD5E16"/>
    <w:rsid w:val="00AD5F20"/>
    <w:rsid w:val="00AD68AC"/>
    <w:rsid w:val="00AD6A4A"/>
    <w:rsid w:val="00AD7742"/>
    <w:rsid w:val="00AE008A"/>
    <w:rsid w:val="00AE06D3"/>
    <w:rsid w:val="00AE0DA5"/>
    <w:rsid w:val="00AE170A"/>
    <w:rsid w:val="00AE2152"/>
    <w:rsid w:val="00AE2964"/>
    <w:rsid w:val="00AE4833"/>
    <w:rsid w:val="00AE4F90"/>
    <w:rsid w:val="00AE7434"/>
    <w:rsid w:val="00AE7D22"/>
    <w:rsid w:val="00AF0BF0"/>
    <w:rsid w:val="00AF0C63"/>
    <w:rsid w:val="00AF1367"/>
    <w:rsid w:val="00AF24FF"/>
    <w:rsid w:val="00AF3DFE"/>
    <w:rsid w:val="00AF40F2"/>
    <w:rsid w:val="00AF459B"/>
    <w:rsid w:val="00AF4889"/>
    <w:rsid w:val="00AF4A73"/>
    <w:rsid w:val="00AF4F84"/>
    <w:rsid w:val="00AF5323"/>
    <w:rsid w:val="00AF5872"/>
    <w:rsid w:val="00AF5E2E"/>
    <w:rsid w:val="00AF6026"/>
    <w:rsid w:val="00AF73A4"/>
    <w:rsid w:val="00AF7FCA"/>
    <w:rsid w:val="00B0029E"/>
    <w:rsid w:val="00B00907"/>
    <w:rsid w:val="00B00FD0"/>
    <w:rsid w:val="00B0125F"/>
    <w:rsid w:val="00B014FC"/>
    <w:rsid w:val="00B0278A"/>
    <w:rsid w:val="00B03117"/>
    <w:rsid w:val="00B03C74"/>
    <w:rsid w:val="00B04284"/>
    <w:rsid w:val="00B04543"/>
    <w:rsid w:val="00B04EAF"/>
    <w:rsid w:val="00B052B1"/>
    <w:rsid w:val="00B0582B"/>
    <w:rsid w:val="00B05A00"/>
    <w:rsid w:val="00B06325"/>
    <w:rsid w:val="00B07320"/>
    <w:rsid w:val="00B07B4A"/>
    <w:rsid w:val="00B10917"/>
    <w:rsid w:val="00B128B5"/>
    <w:rsid w:val="00B12EB4"/>
    <w:rsid w:val="00B12EE1"/>
    <w:rsid w:val="00B1367A"/>
    <w:rsid w:val="00B1382C"/>
    <w:rsid w:val="00B13DC4"/>
    <w:rsid w:val="00B14FBF"/>
    <w:rsid w:val="00B15006"/>
    <w:rsid w:val="00B153CD"/>
    <w:rsid w:val="00B15CE6"/>
    <w:rsid w:val="00B16B0C"/>
    <w:rsid w:val="00B21569"/>
    <w:rsid w:val="00B21A3E"/>
    <w:rsid w:val="00B21B63"/>
    <w:rsid w:val="00B21DFF"/>
    <w:rsid w:val="00B22769"/>
    <w:rsid w:val="00B22888"/>
    <w:rsid w:val="00B22B8A"/>
    <w:rsid w:val="00B2385C"/>
    <w:rsid w:val="00B24B41"/>
    <w:rsid w:val="00B26E96"/>
    <w:rsid w:val="00B26F42"/>
    <w:rsid w:val="00B2713E"/>
    <w:rsid w:val="00B275AB"/>
    <w:rsid w:val="00B276F8"/>
    <w:rsid w:val="00B27E6E"/>
    <w:rsid w:val="00B318B8"/>
    <w:rsid w:val="00B3210A"/>
    <w:rsid w:val="00B323E8"/>
    <w:rsid w:val="00B3240A"/>
    <w:rsid w:val="00B32F3D"/>
    <w:rsid w:val="00B337D9"/>
    <w:rsid w:val="00B33CE4"/>
    <w:rsid w:val="00B33E00"/>
    <w:rsid w:val="00B34D8F"/>
    <w:rsid w:val="00B35350"/>
    <w:rsid w:val="00B35541"/>
    <w:rsid w:val="00B35CB1"/>
    <w:rsid w:val="00B371B2"/>
    <w:rsid w:val="00B37439"/>
    <w:rsid w:val="00B40007"/>
    <w:rsid w:val="00B40039"/>
    <w:rsid w:val="00B40B70"/>
    <w:rsid w:val="00B41E92"/>
    <w:rsid w:val="00B4228D"/>
    <w:rsid w:val="00B4235A"/>
    <w:rsid w:val="00B4253A"/>
    <w:rsid w:val="00B427BA"/>
    <w:rsid w:val="00B42DC1"/>
    <w:rsid w:val="00B4388E"/>
    <w:rsid w:val="00B43C00"/>
    <w:rsid w:val="00B44BF1"/>
    <w:rsid w:val="00B44DEE"/>
    <w:rsid w:val="00B44E21"/>
    <w:rsid w:val="00B44F89"/>
    <w:rsid w:val="00B4527C"/>
    <w:rsid w:val="00B45774"/>
    <w:rsid w:val="00B46487"/>
    <w:rsid w:val="00B46EA1"/>
    <w:rsid w:val="00B46FB1"/>
    <w:rsid w:val="00B46FD4"/>
    <w:rsid w:val="00B4733C"/>
    <w:rsid w:val="00B47524"/>
    <w:rsid w:val="00B479F3"/>
    <w:rsid w:val="00B47B61"/>
    <w:rsid w:val="00B50FBB"/>
    <w:rsid w:val="00B51C34"/>
    <w:rsid w:val="00B52646"/>
    <w:rsid w:val="00B5271F"/>
    <w:rsid w:val="00B52F06"/>
    <w:rsid w:val="00B53102"/>
    <w:rsid w:val="00B532EA"/>
    <w:rsid w:val="00B53590"/>
    <w:rsid w:val="00B53B46"/>
    <w:rsid w:val="00B53C27"/>
    <w:rsid w:val="00B53EE4"/>
    <w:rsid w:val="00B5449B"/>
    <w:rsid w:val="00B554CE"/>
    <w:rsid w:val="00B56445"/>
    <w:rsid w:val="00B565B4"/>
    <w:rsid w:val="00B56837"/>
    <w:rsid w:val="00B5704B"/>
    <w:rsid w:val="00B571C7"/>
    <w:rsid w:val="00B602F8"/>
    <w:rsid w:val="00B60935"/>
    <w:rsid w:val="00B609CB"/>
    <w:rsid w:val="00B610A0"/>
    <w:rsid w:val="00B61981"/>
    <w:rsid w:val="00B61D19"/>
    <w:rsid w:val="00B6202E"/>
    <w:rsid w:val="00B6206A"/>
    <w:rsid w:val="00B6225D"/>
    <w:rsid w:val="00B6246D"/>
    <w:rsid w:val="00B6330C"/>
    <w:rsid w:val="00B641EB"/>
    <w:rsid w:val="00B64B77"/>
    <w:rsid w:val="00B64D36"/>
    <w:rsid w:val="00B64F3E"/>
    <w:rsid w:val="00B657AC"/>
    <w:rsid w:val="00B65B5F"/>
    <w:rsid w:val="00B65ED3"/>
    <w:rsid w:val="00B661BC"/>
    <w:rsid w:val="00B66291"/>
    <w:rsid w:val="00B663E9"/>
    <w:rsid w:val="00B66859"/>
    <w:rsid w:val="00B6689F"/>
    <w:rsid w:val="00B67C8F"/>
    <w:rsid w:val="00B703B6"/>
    <w:rsid w:val="00B70469"/>
    <w:rsid w:val="00B70EFF"/>
    <w:rsid w:val="00B715FC"/>
    <w:rsid w:val="00B72678"/>
    <w:rsid w:val="00B72DA1"/>
    <w:rsid w:val="00B72DDA"/>
    <w:rsid w:val="00B7340A"/>
    <w:rsid w:val="00B75072"/>
    <w:rsid w:val="00B7512F"/>
    <w:rsid w:val="00B76281"/>
    <w:rsid w:val="00B774CF"/>
    <w:rsid w:val="00B775EF"/>
    <w:rsid w:val="00B77703"/>
    <w:rsid w:val="00B777BA"/>
    <w:rsid w:val="00B777EF"/>
    <w:rsid w:val="00B80F8C"/>
    <w:rsid w:val="00B81053"/>
    <w:rsid w:val="00B810E8"/>
    <w:rsid w:val="00B816FF"/>
    <w:rsid w:val="00B82776"/>
    <w:rsid w:val="00B8320B"/>
    <w:rsid w:val="00B83369"/>
    <w:rsid w:val="00B83B29"/>
    <w:rsid w:val="00B83D36"/>
    <w:rsid w:val="00B841E6"/>
    <w:rsid w:val="00B8445F"/>
    <w:rsid w:val="00B844AF"/>
    <w:rsid w:val="00B84660"/>
    <w:rsid w:val="00B8497B"/>
    <w:rsid w:val="00B84B43"/>
    <w:rsid w:val="00B87054"/>
    <w:rsid w:val="00B879BB"/>
    <w:rsid w:val="00B87F26"/>
    <w:rsid w:val="00B905D5"/>
    <w:rsid w:val="00B909AA"/>
    <w:rsid w:val="00B91177"/>
    <w:rsid w:val="00B913A8"/>
    <w:rsid w:val="00B91C97"/>
    <w:rsid w:val="00B92548"/>
    <w:rsid w:val="00B92A2A"/>
    <w:rsid w:val="00B92B44"/>
    <w:rsid w:val="00B92D1F"/>
    <w:rsid w:val="00B92D31"/>
    <w:rsid w:val="00B93024"/>
    <w:rsid w:val="00B93982"/>
    <w:rsid w:val="00B93FC9"/>
    <w:rsid w:val="00B94FEC"/>
    <w:rsid w:val="00B96ECE"/>
    <w:rsid w:val="00B97AC4"/>
    <w:rsid w:val="00BA0740"/>
    <w:rsid w:val="00BA0E87"/>
    <w:rsid w:val="00BA1838"/>
    <w:rsid w:val="00BA1D65"/>
    <w:rsid w:val="00BA255D"/>
    <w:rsid w:val="00BA2E65"/>
    <w:rsid w:val="00BA3189"/>
    <w:rsid w:val="00BA4936"/>
    <w:rsid w:val="00BA6526"/>
    <w:rsid w:val="00BA68B2"/>
    <w:rsid w:val="00BA6D15"/>
    <w:rsid w:val="00BA744A"/>
    <w:rsid w:val="00BA7717"/>
    <w:rsid w:val="00BA7A7D"/>
    <w:rsid w:val="00BB07D5"/>
    <w:rsid w:val="00BB0FB6"/>
    <w:rsid w:val="00BB16A0"/>
    <w:rsid w:val="00BB17B4"/>
    <w:rsid w:val="00BB18AE"/>
    <w:rsid w:val="00BB3851"/>
    <w:rsid w:val="00BB3F26"/>
    <w:rsid w:val="00BB47A9"/>
    <w:rsid w:val="00BB5C23"/>
    <w:rsid w:val="00BB5FAB"/>
    <w:rsid w:val="00BB61A4"/>
    <w:rsid w:val="00BB6E00"/>
    <w:rsid w:val="00BB7227"/>
    <w:rsid w:val="00BB7412"/>
    <w:rsid w:val="00BC0912"/>
    <w:rsid w:val="00BC102B"/>
    <w:rsid w:val="00BC1B33"/>
    <w:rsid w:val="00BC1F9E"/>
    <w:rsid w:val="00BC20DF"/>
    <w:rsid w:val="00BC2793"/>
    <w:rsid w:val="00BC2EC8"/>
    <w:rsid w:val="00BC43D6"/>
    <w:rsid w:val="00BC5B93"/>
    <w:rsid w:val="00BC65B9"/>
    <w:rsid w:val="00BC671A"/>
    <w:rsid w:val="00BC7802"/>
    <w:rsid w:val="00BC796F"/>
    <w:rsid w:val="00BD0022"/>
    <w:rsid w:val="00BD01E9"/>
    <w:rsid w:val="00BD1C9E"/>
    <w:rsid w:val="00BD2D7B"/>
    <w:rsid w:val="00BD2FCE"/>
    <w:rsid w:val="00BD38CE"/>
    <w:rsid w:val="00BD3C30"/>
    <w:rsid w:val="00BD56A1"/>
    <w:rsid w:val="00BD589A"/>
    <w:rsid w:val="00BD7414"/>
    <w:rsid w:val="00BD77D3"/>
    <w:rsid w:val="00BE00C1"/>
    <w:rsid w:val="00BE0535"/>
    <w:rsid w:val="00BE09C1"/>
    <w:rsid w:val="00BE0DF2"/>
    <w:rsid w:val="00BE1709"/>
    <w:rsid w:val="00BE188C"/>
    <w:rsid w:val="00BE3703"/>
    <w:rsid w:val="00BE3C8D"/>
    <w:rsid w:val="00BE410F"/>
    <w:rsid w:val="00BE43D7"/>
    <w:rsid w:val="00BE5D51"/>
    <w:rsid w:val="00BE63D9"/>
    <w:rsid w:val="00BE6686"/>
    <w:rsid w:val="00BE6B04"/>
    <w:rsid w:val="00BF0428"/>
    <w:rsid w:val="00BF0468"/>
    <w:rsid w:val="00BF06B7"/>
    <w:rsid w:val="00BF0DAC"/>
    <w:rsid w:val="00BF129C"/>
    <w:rsid w:val="00BF1B5C"/>
    <w:rsid w:val="00BF2913"/>
    <w:rsid w:val="00BF32E0"/>
    <w:rsid w:val="00BF3939"/>
    <w:rsid w:val="00BF3A88"/>
    <w:rsid w:val="00BF3AE8"/>
    <w:rsid w:val="00BF4040"/>
    <w:rsid w:val="00BF406C"/>
    <w:rsid w:val="00BF4231"/>
    <w:rsid w:val="00BF4238"/>
    <w:rsid w:val="00BF47B8"/>
    <w:rsid w:val="00BF47CE"/>
    <w:rsid w:val="00BF5083"/>
    <w:rsid w:val="00BF54F8"/>
    <w:rsid w:val="00BF6023"/>
    <w:rsid w:val="00BF609D"/>
    <w:rsid w:val="00BF622E"/>
    <w:rsid w:val="00BF6BE3"/>
    <w:rsid w:val="00BF74A3"/>
    <w:rsid w:val="00BF7986"/>
    <w:rsid w:val="00BF7B2C"/>
    <w:rsid w:val="00C015BB"/>
    <w:rsid w:val="00C03D8D"/>
    <w:rsid w:val="00C052A1"/>
    <w:rsid w:val="00C052C7"/>
    <w:rsid w:val="00C05E7D"/>
    <w:rsid w:val="00C063CF"/>
    <w:rsid w:val="00C06550"/>
    <w:rsid w:val="00C06579"/>
    <w:rsid w:val="00C06E0B"/>
    <w:rsid w:val="00C074D0"/>
    <w:rsid w:val="00C075BB"/>
    <w:rsid w:val="00C07F7F"/>
    <w:rsid w:val="00C10280"/>
    <w:rsid w:val="00C102F7"/>
    <w:rsid w:val="00C10527"/>
    <w:rsid w:val="00C105EE"/>
    <w:rsid w:val="00C10702"/>
    <w:rsid w:val="00C113BB"/>
    <w:rsid w:val="00C11514"/>
    <w:rsid w:val="00C12683"/>
    <w:rsid w:val="00C12A99"/>
    <w:rsid w:val="00C12C4C"/>
    <w:rsid w:val="00C13891"/>
    <w:rsid w:val="00C13D0D"/>
    <w:rsid w:val="00C162E2"/>
    <w:rsid w:val="00C1703E"/>
    <w:rsid w:val="00C1722A"/>
    <w:rsid w:val="00C177C1"/>
    <w:rsid w:val="00C2062C"/>
    <w:rsid w:val="00C22324"/>
    <w:rsid w:val="00C22557"/>
    <w:rsid w:val="00C23272"/>
    <w:rsid w:val="00C23464"/>
    <w:rsid w:val="00C2394B"/>
    <w:rsid w:val="00C24574"/>
    <w:rsid w:val="00C24D4E"/>
    <w:rsid w:val="00C25672"/>
    <w:rsid w:val="00C25E5B"/>
    <w:rsid w:val="00C25F0C"/>
    <w:rsid w:val="00C2622C"/>
    <w:rsid w:val="00C26618"/>
    <w:rsid w:val="00C266FC"/>
    <w:rsid w:val="00C269A9"/>
    <w:rsid w:val="00C26AA7"/>
    <w:rsid w:val="00C272EE"/>
    <w:rsid w:val="00C2790C"/>
    <w:rsid w:val="00C308EF"/>
    <w:rsid w:val="00C316F6"/>
    <w:rsid w:val="00C3183A"/>
    <w:rsid w:val="00C3183B"/>
    <w:rsid w:val="00C31AF9"/>
    <w:rsid w:val="00C320D2"/>
    <w:rsid w:val="00C34190"/>
    <w:rsid w:val="00C34887"/>
    <w:rsid w:val="00C3488E"/>
    <w:rsid w:val="00C34B97"/>
    <w:rsid w:val="00C34CB4"/>
    <w:rsid w:val="00C34E1C"/>
    <w:rsid w:val="00C3596E"/>
    <w:rsid w:val="00C35D9A"/>
    <w:rsid w:val="00C361E7"/>
    <w:rsid w:val="00C3672D"/>
    <w:rsid w:val="00C36888"/>
    <w:rsid w:val="00C403A1"/>
    <w:rsid w:val="00C406D7"/>
    <w:rsid w:val="00C407C6"/>
    <w:rsid w:val="00C413F5"/>
    <w:rsid w:val="00C41D2C"/>
    <w:rsid w:val="00C421D0"/>
    <w:rsid w:val="00C43813"/>
    <w:rsid w:val="00C43B29"/>
    <w:rsid w:val="00C43D46"/>
    <w:rsid w:val="00C43E5E"/>
    <w:rsid w:val="00C43FC5"/>
    <w:rsid w:val="00C44CBE"/>
    <w:rsid w:val="00C454A2"/>
    <w:rsid w:val="00C46610"/>
    <w:rsid w:val="00C46647"/>
    <w:rsid w:val="00C466D4"/>
    <w:rsid w:val="00C4709B"/>
    <w:rsid w:val="00C47E18"/>
    <w:rsid w:val="00C51DDE"/>
    <w:rsid w:val="00C522F2"/>
    <w:rsid w:val="00C52555"/>
    <w:rsid w:val="00C52BDA"/>
    <w:rsid w:val="00C53426"/>
    <w:rsid w:val="00C5369A"/>
    <w:rsid w:val="00C53CC4"/>
    <w:rsid w:val="00C54024"/>
    <w:rsid w:val="00C545ED"/>
    <w:rsid w:val="00C54B5A"/>
    <w:rsid w:val="00C55F18"/>
    <w:rsid w:val="00C5641D"/>
    <w:rsid w:val="00C567D7"/>
    <w:rsid w:val="00C56882"/>
    <w:rsid w:val="00C57C1A"/>
    <w:rsid w:val="00C619F3"/>
    <w:rsid w:val="00C63097"/>
    <w:rsid w:val="00C636A0"/>
    <w:rsid w:val="00C63744"/>
    <w:rsid w:val="00C63CD6"/>
    <w:rsid w:val="00C63E5F"/>
    <w:rsid w:val="00C646B6"/>
    <w:rsid w:val="00C658E1"/>
    <w:rsid w:val="00C66C55"/>
    <w:rsid w:val="00C66EFF"/>
    <w:rsid w:val="00C6737B"/>
    <w:rsid w:val="00C679D9"/>
    <w:rsid w:val="00C70B52"/>
    <w:rsid w:val="00C713F9"/>
    <w:rsid w:val="00C717F2"/>
    <w:rsid w:val="00C72448"/>
    <w:rsid w:val="00C726AF"/>
    <w:rsid w:val="00C73045"/>
    <w:rsid w:val="00C73B0F"/>
    <w:rsid w:val="00C744BD"/>
    <w:rsid w:val="00C74C1B"/>
    <w:rsid w:val="00C7515C"/>
    <w:rsid w:val="00C7526C"/>
    <w:rsid w:val="00C757C7"/>
    <w:rsid w:val="00C7582E"/>
    <w:rsid w:val="00C762A0"/>
    <w:rsid w:val="00C77E45"/>
    <w:rsid w:val="00C80388"/>
    <w:rsid w:val="00C813AC"/>
    <w:rsid w:val="00C82295"/>
    <w:rsid w:val="00C826C7"/>
    <w:rsid w:val="00C82BE0"/>
    <w:rsid w:val="00C82D04"/>
    <w:rsid w:val="00C8329E"/>
    <w:rsid w:val="00C833BB"/>
    <w:rsid w:val="00C8344F"/>
    <w:rsid w:val="00C83BF9"/>
    <w:rsid w:val="00C83FE8"/>
    <w:rsid w:val="00C8459B"/>
    <w:rsid w:val="00C84ACA"/>
    <w:rsid w:val="00C84DA3"/>
    <w:rsid w:val="00C863DF"/>
    <w:rsid w:val="00C870C4"/>
    <w:rsid w:val="00C87F95"/>
    <w:rsid w:val="00C905C1"/>
    <w:rsid w:val="00C917FB"/>
    <w:rsid w:val="00C921E1"/>
    <w:rsid w:val="00C93008"/>
    <w:rsid w:val="00C93187"/>
    <w:rsid w:val="00C93C70"/>
    <w:rsid w:val="00C93DCF"/>
    <w:rsid w:val="00C9421D"/>
    <w:rsid w:val="00C94DC7"/>
    <w:rsid w:val="00C95C51"/>
    <w:rsid w:val="00C95D20"/>
    <w:rsid w:val="00C9638D"/>
    <w:rsid w:val="00C96F8B"/>
    <w:rsid w:val="00C9783D"/>
    <w:rsid w:val="00CA0408"/>
    <w:rsid w:val="00CA0CE2"/>
    <w:rsid w:val="00CA1054"/>
    <w:rsid w:val="00CA23F3"/>
    <w:rsid w:val="00CA26F9"/>
    <w:rsid w:val="00CA2812"/>
    <w:rsid w:val="00CA2BA4"/>
    <w:rsid w:val="00CA2FEC"/>
    <w:rsid w:val="00CA34C6"/>
    <w:rsid w:val="00CA3F20"/>
    <w:rsid w:val="00CA3FD0"/>
    <w:rsid w:val="00CA4159"/>
    <w:rsid w:val="00CA4D22"/>
    <w:rsid w:val="00CA521D"/>
    <w:rsid w:val="00CA5366"/>
    <w:rsid w:val="00CA541A"/>
    <w:rsid w:val="00CA5658"/>
    <w:rsid w:val="00CA5894"/>
    <w:rsid w:val="00CA5B99"/>
    <w:rsid w:val="00CA7743"/>
    <w:rsid w:val="00CB0CC6"/>
    <w:rsid w:val="00CB16F3"/>
    <w:rsid w:val="00CB1A3A"/>
    <w:rsid w:val="00CB1C10"/>
    <w:rsid w:val="00CB1F6C"/>
    <w:rsid w:val="00CB26AB"/>
    <w:rsid w:val="00CB3ACF"/>
    <w:rsid w:val="00CB5B99"/>
    <w:rsid w:val="00CB5FAF"/>
    <w:rsid w:val="00CB66B9"/>
    <w:rsid w:val="00CC1F56"/>
    <w:rsid w:val="00CC2A52"/>
    <w:rsid w:val="00CC2B33"/>
    <w:rsid w:val="00CC2F22"/>
    <w:rsid w:val="00CC4659"/>
    <w:rsid w:val="00CC537B"/>
    <w:rsid w:val="00CC5850"/>
    <w:rsid w:val="00CC6257"/>
    <w:rsid w:val="00CC739C"/>
    <w:rsid w:val="00CC7549"/>
    <w:rsid w:val="00CC78C5"/>
    <w:rsid w:val="00CD00DB"/>
    <w:rsid w:val="00CD0202"/>
    <w:rsid w:val="00CD046D"/>
    <w:rsid w:val="00CD116F"/>
    <w:rsid w:val="00CD12D0"/>
    <w:rsid w:val="00CD12EB"/>
    <w:rsid w:val="00CD14F4"/>
    <w:rsid w:val="00CD2368"/>
    <w:rsid w:val="00CD2B45"/>
    <w:rsid w:val="00CD3AC4"/>
    <w:rsid w:val="00CD488B"/>
    <w:rsid w:val="00CD4995"/>
    <w:rsid w:val="00CD4EF0"/>
    <w:rsid w:val="00CD4EFC"/>
    <w:rsid w:val="00CD53CD"/>
    <w:rsid w:val="00CD5961"/>
    <w:rsid w:val="00CD5DDE"/>
    <w:rsid w:val="00CD687F"/>
    <w:rsid w:val="00CD69F4"/>
    <w:rsid w:val="00CD69FA"/>
    <w:rsid w:val="00CD7505"/>
    <w:rsid w:val="00CD76B6"/>
    <w:rsid w:val="00CD7A83"/>
    <w:rsid w:val="00CD7D1D"/>
    <w:rsid w:val="00CD7E2C"/>
    <w:rsid w:val="00CE0014"/>
    <w:rsid w:val="00CE04EC"/>
    <w:rsid w:val="00CE223A"/>
    <w:rsid w:val="00CE2613"/>
    <w:rsid w:val="00CE2C51"/>
    <w:rsid w:val="00CE2D3A"/>
    <w:rsid w:val="00CE371D"/>
    <w:rsid w:val="00CE3CDB"/>
    <w:rsid w:val="00CE3F8B"/>
    <w:rsid w:val="00CE450D"/>
    <w:rsid w:val="00CE46DF"/>
    <w:rsid w:val="00CE473F"/>
    <w:rsid w:val="00CE4F34"/>
    <w:rsid w:val="00CE5245"/>
    <w:rsid w:val="00CE56A9"/>
    <w:rsid w:val="00CE5980"/>
    <w:rsid w:val="00CE5D1B"/>
    <w:rsid w:val="00CE6EF1"/>
    <w:rsid w:val="00CE7947"/>
    <w:rsid w:val="00CE7E7E"/>
    <w:rsid w:val="00CF045E"/>
    <w:rsid w:val="00CF07AF"/>
    <w:rsid w:val="00CF1548"/>
    <w:rsid w:val="00CF2303"/>
    <w:rsid w:val="00CF26E2"/>
    <w:rsid w:val="00CF290F"/>
    <w:rsid w:val="00CF4009"/>
    <w:rsid w:val="00CF412C"/>
    <w:rsid w:val="00CF4D37"/>
    <w:rsid w:val="00CF4D9E"/>
    <w:rsid w:val="00CF50F7"/>
    <w:rsid w:val="00CF5394"/>
    <w:rsid w:val="00CF5A9A"/>
    <w:rsid w:val="00CF5AB0"/>
    <w:rsid w:val="00CF6E20"/>
    <w:rsid w:val="00CF6F8C"/>
    <w:rsid w:val="00CF7205"/>
    <w:rsid w:val="00CF7AA6"/>
    <w:rsid w:val="00CF7E7A"/>
    <w:rsid w:val="00D00102"/>
    <w:rsid w:val="00D014B7"/>
    <w:rsid w:val="00D02897"/>
    <w:rsid w:val="00D02CDD"/>
    <w:rsid w:val="00D02E2B"/>
    <w:rsid w:val="00D03076"/>
    <w:rsid w:val="00D03114"/>
    <w:rsid w:val="00D0389B"/>
    <w:rsid w:val="00D04E85"/>
    <w:rsid w:val="00D055F3"/>
    <w:rsid w:val="00D056A3"/>
    <w:rsid w:val="00D05A9C"/>
    <w:rsid w:val="00D06281"/>
    <w:rsid w:val="00D063CC"/>
    <w:rsid w:val="00D0688A"/>
    <w:rsid w:val="00D07227"/>
    <w:rsid w:val="00D072FA"/>
    <w:rsid w:val="00D07BC2"/>
    <w:rsid w:val="00D10275"/>
    <w:rsid w:val="00D102AA"/>
    <w:rsid w:val="00D1077C"/>
    <w:rsid w:val="00D10D85"/>
    <w:rsid w:val="00D1135E"/>
    <w:rsid w:val="00D11486"/>
    <w:rsid w:val="00D11FBE"/>
    <w:rsid w:val="00D12215"/>
    <w:rsid w:val="00D12902"/>
    <w:rsid w:val="00D12A5B"/>
    <w:rsid w:val="00D13285"/>
    <w:rsid w:val="00D145EE"/>
    <w:rsid w:val="00D1474A"/>
    <w:rsid w:val="00D147C6"/>
    <w:rsid w:val="00D14815"/>
    <w:rsid w:val="00D1501F"/>
    <w:rsid w:val="00D15805"/>
    <w:rsid w:val="00D15A0B"/>
    <w:rsid w:val="00D1768A"/>
    <w:rsid w:val="00D17ECF"/>
    <w:rsid w:val="00D17F19"/>
    <w:rsid w:val="00D207BF"/>
    <w:rsid w:val="00D20D38"/>
    <w:rsid w:val="00D20D3A"/>
    <w:rsid w:val="00D20E17"/>
    <w:rsid w:val="00D210C4"/>
    <w:rsid w:val="00D21A82"/>
    <w:rsid w:val="00D22488"/>
    <w:rsid w:val="00D22837"/>
    <w:rsid w:val="00D22923"/>
    <w:rsid w:val="00D22E1E"/>
    <w:rsid w:val="00D24F6D"/>
    <w:rsid w:val="00D25186"/>
    <w:rsid w:val="00D27223"/>
    <w:rsid w:val="00D27237"/>
    <w:rsid w:val="00D27A54"/>
    <w:rsid w:val="00D308DF"/>
    <w:rsid w:val="00D31B7D"/>
    <w:rsid w:val="00D321AC"/>
    <w:rsid w:val="00D32523"/>
    <w:rsid w:val="00D329A1"/>
    <w:rsid w:val="00D3304A"/>
    <w:rsid w:val="00D334D4"/>
    <w:rsid w:val="00D338BA"/>
    <w:rsid w:val="00D338BF"/>
    <w:rsid w:val="00D339A8"/>
    <w:rsid w:val="00D34478"/>
    <w:rsid w:val="00D35876"/>
    <w:rsid w:val="00D3703D"/>
    <w:rsid w:val="00D37E07"/>
    <w:rsid w:val="00D4173C"/>
    <w:rsid w:val="00D41A93"/>
    <w:rsid w:val="00D41F21"/>
    <w:rsid w:val="00D42971"/>
    <w:rsid w:val="00D42FF9"/>
    <w:rsid w:val="00D43829"/>
    <w:rsid w:val="00D43AF0"/>
    <w:rsid w:val="00D44059"/>
    <w:rsid w:val="00D44343"/>
    <w:rsid w:val="00D44539"/>
    <w:rsid w:val="00D4515F"/>
    <w:rsid w:val="00D45D1F"/>
    <w:rsid w:val="00D45D5D"/>
    <w:rsid w:val="00D45F3F"/>
    <w:rsid w:val="00D4644C"/>
    <w:rsid w:val="00D46627"/>
    <w:rsid w:val="00D466D4"/>
    <w:rsid w:val="00D46D21"/>
    <w:rsid w:val="00D470F2"/>
    <w:rsid w:val="00D50552"/>
    <w:rsid w:val="00D509EF"/>
    <w:rsid w:val="00D50DD7"/>
    <w:rsid w:val="00D50E1E"/>
    <w:rsid w:val="00D50E55"/>
    <w:rsid w:val="00D5177E"/>
    <w:rsid w:val="00D51C54"/>
    <w:rsid w:val="00D530D7"/>
    <w:rsid w:val="00D539BA"/>
    <w:rsid w:val="00D53B77"/>
    <w:rsid w:val="00D542DF"/>
    <w:rsid w:val="00D562B7"/>
    <w:rsid w:val="00D5646A"/>
    <w:rsid w:val="00D56AFD"/>
    <w:rsid w:val="00D57B21"/>
    <w:rsid w:val="00D57B52"/>
    <w:rsid w:val="00D60A38"/>
    <w:rsid w:val="00D614D5"/>
    <w:rsid w:val="00D6166F"/>
    <w:rsid w:val="00D618DC"/>
    <w:rsid w:val="00D61E8C"/>
    <w:rsid w:val="00D62F3C"/>
    <w:rsid w:val="00D6551D"/>
    <w:rsid w:val="00D65817"/>
    <w:rsid w:val="00D66719"/>
    <w:rsid w:val="00D66C6F"/>
    <w:rsid w:val="00D67265"/>
    <w:rsid w:val="00D67F90"/>
    <w:rsid w:val="00D7087F"/>
    <w:rsid w:val="00D70953"/>
    <w:rsid w:val="00D7097A"/>
    <w:rsid w:val="00D70A27"/>
    <w:rsid w:val="00D7104F"/>
    <w:rsid w:val="00D7128C"/>
    <w:rsid w:val="00D714BC"/>
    <w:rsid w:val="00D7170C"/>
    <w:rsid w:val="00D71C28"/>
    <w:rsid w:val="00D71E1D"/>
    <w:rsid w:val="00D72DF8"/>
    <w:rsid w:val="00D72F0A"/>
    <w:rsid w:val="00D73027"/>
    <w:rsid w:val="00D735EF"/>
    <w:rsid w:val="00D73A59"/>
    <w:rsid w:val="00D74F2D"/>
    <w:rsid w:val="00D74F7A"/>
    <w:rsid w:val="00D76276"/>
    <w:rsid w:val="00D7653F"/>
    <w:rsid w:val="00D7677F"/>
    <w:rsid w:val="00D76CEB"/>
    <w:rsid w:val="00D778ED"/>
    <w:rsid w:val="00D77B27"/>
    <w:rsid w:val="00D80261"/>
    <w:rsid w:val="00D810EC"/>
    <w:rsid w:val="00D811F9"/>
    <w:rsid w:val="00D8124F"/>
    <w:rsid w:val="00D81C57"/>
    <w:rsid w:val="00D81F47"/>
    <w:rsid w:val="00D82241"/>
    <w:rsid w:val="00D8250D"/>
    <w:rsid w:val="00D82EA2"/>
    <w:rsid w:val="00D8475A"/>
    <w:rsid w:val="00D85095"/>
    <w:rsid w:val="00D854A2"/>
    <w:rsid w:val="00D854E7"/>
    <w:rsid w:val="00D85A1F"/>
    <w:rsid w:val="00D85E67"/>
    <w:rsid w:val="00D86BA2"/>
    <w:rsid w:val="00D86D99"/>
    <w:rsid w:val="00D9065A"/>
    <w:rsid w:val="00D91392"/>
    <w:rsid w:val="00D91680"/>
    <w:rsid w:val="00D9184D"/>
    <w:rsid w:val="00D94923"/>
    <w:rsid w:val="00D94A78"/>
    <w:rsid w:val="00D94AAF"/>
    <w:rsid w:val="00D94D01"/>
    <w:rsid w:val="00D95517"/>
    <w:rsid w:val="00D95D08"/>
    <w:rsid w:val="00D96A3C"/>
    <w:rsid w:val="00D96AD6"/>
    <w:rsid w:val="00D96B74"/>
    <w:rsid w:val="00D97139"/>
    <w:rsid w:val="00D971AF"/>
    <w:rsid w:val="00D9729D"/>
    <w:rsid w:val="00D97569"/>
    <w:rsid w:val="00D97D29"/>
    <w:rsid w:val="00DA1423"/>
    <w:rsid w:val="00DA19E3"/>
    <w:rsid w:val="00DA215D"/>
    <w:rsid w:val="00DA3351"/>
    <w:rsid w:val="00DA4945"/>
    <w:rsid w:val="00DA4DA4"/>
    <w:rsid w:val="00DA5829"/>
    <w:rsid w:val="00DA6532"/>
    <w:rsid w:val="00DA65EA"/>
    <w:rsid w:val="00DA6649"/>
    <w:rsid w:val="00DA66FD"/>
    <w:rsid w:val="00DA6AD8"/>
    <w:rsid w:val="00DA6CBB"/>
    <w:rsid w:val="00DB08D2"/>
    <w:rsid w:val="00DB0FA1"/>
    <w:rsid w:val="00DB1909"/>
    <w:rsid w:val="00DB2306"/>
    <w:rsid w:val="00DB2CA1"/>
    <w:rsid w:val="00DB5596"/>
    <w:rsid w:val="00DB5937"/>
    <w:rsid w:val="00DB60DA"/>
    <w:rsid w:val="00DB63A4"/>
    <w:rsid w:val="00DB7AAB"/>
    <w:rsid w:val="00DB7BC7"/>
    <w:rsid w:val="00DB7DC9"/>
    <w:rsid w:val="00DC03A9"/>
    <w:rsid w:val="00DC095C"/>
    <w:rsid w:val="00DC0A2E"/>
    <w:rsid w:val="00DC0C78"/>
    <w:rsid w:val="00DC1385"/>
    <w:rsid w:val="00DC15A1"/>
    <w:rsid w:val="00DC2F74"/>
    <w:rsid w:val="00DC4D1D"/>
    <w:rsid w:val="00DC511E"/>
    <w:rsid w:val="00DC5F23"/>
    <w:rsid w:val="00DC6822"/>
    <w:rsid w:val="00DC6978"/>
    <w:rsid w:val="00DC730A"/>
    <w:rsid w:val="00DC7D1C"/>
    <w:rsid w:val="00DD05BE"/>
    <w:rsid w:val="00DD092A"/>
    <w:rsid w:val="00DD2214"/>
    <w:rsid w:val="00DD2634"/>
    <w:rsid w:val="00DD26D7"/>
    <w:rsid w:val="00DD270E"/>
    <w:rsid w:val="00DD2762"/>
    <w:rsid w:val="00DD3521"/>
    <w:rsid w:val="00DD3A29"/>
    <w:rsid w:val="00DD3B9F"/>
    <w:rsid w:val="00DD4C10"/>
    <w:rsid w:val="00DD4E14"/>
    <w:rsid w:val="00DD6368"/>
    <w:rsid w:val="00DD6B07"/>
    <w:rsid w:val="00DD6EC8"/>
    <w:rsid w:val="00DD7FF9"/>
    <w:rsid w:val="00DE0294"/>
    <w:rsid w:val="00DE0435"/>
    <w:rsid w:val="00DE0E33"/>
    <w:rsid w:val="00DE0FB2"/>
    <w:rsid w:val="00DE17D5"/>
    <w:rsid w:val="00DE1EF0"/>
    <w:rsid w:val="00DE2288"/>
    <w:rsid w:val="00DE245D"/>
    <w:rsid w:val="00DE332F"/>
    <w:rsid w:val="00DE3E35"/>
    <w:rsid w:val="00DE45BB"/>
    <w:rsid w:val="00DE47AF"/>
    <w:rsid w:val="00DE514E"/>
    <w:rsid w:val="00DE524C"/>
    <w:rsid w:val="00DE549A"/>
    <w:rsid w:val="00DE6110"/>
    <w:rsid w:val="00DE669E"/>
    <w:rsid w:val="00DE69EE"/>
    <w:rsid w:val="00DE6D93"/>
    <w:rsid w:val="00DE7F90"/>
    <w:rsid w:val="00DF06DA"/>
    <w:rsid w:val="00DF07FA"/>
    <w:rsid w:val="00DF0BEC"/>
    <w:rsid w:val="00DF1C6D"/>
    <w:rsid w:val="00DF1C88"/>
    <w:rsid w:val="00DF1D00"/>
    <w:rsid w:val="00DF2C73"/>
    <w:rsid w:val="00DF300A"/>
    <w:rsid w:val="00DF383B"/>
    <w:rsid w:val="00DF3E4D"/>
    <w:rsid w:val="00DF4ACB"/>
    <w:rsid w:val="00DF55B7"/>
    <w:rsid w:val="00DF567B"/>
    <w:rsid w:val="00DF5C7B"/>
    <w:rsid w:val="00E0030D"/>
    <w:rsid w:val="00E007F7"/>
    <w:rsid w:val="00E00BD0"/>
    <w:rsid w:val="00E00DBF"/>
    <w:rsid w:val="00E00DEE"/>
    <w:rsid w:val="00E01253"/>
    <w:rsid w:val="00E01A53"/>
    <w:rsid w:val="00E01A64"/>
    <w:rsid w:val="00E01B26"/>
    <w:rsid w:val="00E01C25"/>
    <w:rsid w:val="00E01CAB"/>
    <w:rsid w:val="00E01D0F"/>
    <w:rsid w:val="00E0278F"/>
    <w:rsid w:val="00E02F53"/>
    <w:rsid w:val="00E03462"/>
    <w:rsid w:val="00E03E62"/>
    <w:rsid w:val="00E048AA"/>
    <w:rsid w:val="00E053FC"/>
    <w:rsid w:val="00E065C8"/>
    <w:rsid w:val="00E073D8"/>
    <w:rsid w:val="00E07B42"/>
    <w:rsid w:val="00E10E6D"/>
    <w:rsid w:val="00E1145A"/>
    <w:rsid w:val="00E11A2C"/>
    <w:rsid w:val="00E11FF7"/>
    <w:rsid w:val="00E127B8"/>
    <w:rsid w:val="00E127BD"/>
    <w:rsid w:val="00E1483C"/>
    <w:rsid w:val="00E1523E"/>
    <w:rsid w:val="00E16360"/>
    <w:rsid w:val="00E1693D"/>
    <w:rsid w:val="00E1721A"/>
    <w:rsid w:val="00E176BC"/>
    <w:rsid w:val="00E2021C"/>
    <w:rsid w:val="00E206B7"/>
    <w:rsid w:val="00E21046"/>
    <w:rsid w:val="00E2191D"/>
    <w:rsid w:val="00E2196B"/>
    <w:rsid w:val="00E21EAE"/>
    <w:rsid w:val="00E22058"/>
    <w:rsid w:val="00E22228"/>
    <w:rsid w:val="00E223C4"/>
    <w:rsid w:val="00E22615"/>
    <w:rsid w:val="00E228AA"/>
    <w:rsid w:val="00E22AEA"/>
    <w:rsid w:val="00E22EFF"/>
    <w:rsid w:val="00E22F12"/>
    <w:rsid w:val="00E2365D"/>
    <w:rsid w:val="00E241CD"/>
    <w:rsid w:val="00E24533"/>
    <w:rsid w:val="00E255ED"/>
    <w:rsid w:val="00E25A17"/>
    <w:rsid w:val="00E25D97"/>
    <w:rsid w:val="00E25E3A"/>
    <w:rsid w:val="00E2613B"/>
    <w:rsid w:val="00E26325"/>
    <w:rsid w:val="00E27016"/>
    <w:rsid w:val="00E3113C"/>
    <w:rsid w:val="00E3141B"/>
    <w:rsid w:val="00E316D2"/>
    <w:rsid w:val="00E317FF"/>
    <w:rsid w:val="00E3202E"/>
    <w:rsid w:val="00E32483"/>
    <w:rsid w:val="00E33518"/>
    <w:rsid w:val="00E33A7C"/>
    <w:rsid w:val="00E33CE0"/>
    <w:rsid w:val="00E33F90"/>
    <w:rsid w:val="00E3456A"/>
    <w:rsid w:val="00E3457E"/>
    <w:rsid w:val="00E350E6"/>
    <w:rsid w:val="00E35431"/>
    <w:rsid w:val="00E359D6"/>
    <w:rsid w:val="00E35A18"/>
    <w:rsid w:val="00E360A3"/>
    <w:rsid w:val="00E36A7C"/>
    <w:rsid w:val="00E36AFB"/>
    <w:rsid w:val="00E372EF"/>
    <w:rsid w:val="00E37411"/>
    <w:rsid w:val="00E40936"/>
    <w:rsid w:val="00E40DFE"/>
    <w:rsid w:val="00E41773"/>
    <w:rsid w:val="00E41A11"/>
    <w:rsid w:val="00E41C97"/>
    <w:rsid w:val="00E42C8C"/>
    <w:rsid w:val="00E43916"/>
    <w:rsid w:val="00E44B00"/>
    <w:rsid w:val="00E44B6B"/>
    <w:rsid w:val="00E4579F"/>
    <w:rsid w:val="00E469F9"/>
    <w:rsid w:val="00E46CF8"/>
    <w:rsid w:val="00E474E7"/>
    <w:rsid w:val="00E50968"/>
    <w:rsid w:val="00E51FC0"/>
    <w:rsid w:val="00E52C53"/>
    <w:rsid w:val="00E538F4"/>
    <w:rsid w:val="00E54066"/>
    <w:rsid w:val="00E54227"/>
    <w:rsid w:val="00E54B49"/>
    <w:rsid w:val="00E55087"/>
    <w:rsid w:val="00E560B7"/>
    <w:rsid w:val="00E562FC"/>
    <w:rsid w:val="00E569EB"/>
    <w:rsid w:val="00E573EA"/>
    <w:rsid w:val="00E57989"/>
    <w:rsid w:val="00E60053"/>
    <w:rsid w:val="00E60111"/>
    <w:rsid w:val="00E601A6"/>
    <w:rsid w:val="00E60A47"/>
    <w:rsid w:val="00E60CAA"/>
    <w:rsid w:val="00E617FF"/>
    <w:rsid w:val="00E61E09"/>
    <w:rsid w:val="00E62183"/>
    <w:rsid w:val="00E62CC4"/>
    <w:rsid w:val="00E6423F"/>
    <w:rsid w:val="00E648E4"/>
    <w:rsid w:val="00E649A3"/>
    <w:rsid w:val="00E6557B"/>
    <w:rsid w:val="00E655BB"/>
    <w:rsid w:val="00E65A4F"/>
    <w:rsid w:val="00E65C29"/>
    <w:rsid w:val="00E6611D"/>
    <w:rsid w:val="00E66296"/>
    <w:rsid w:val="00E6658D"/>
    <w:rsid w:val="00E67256"/>
    <w:rsid w:val="00E67340"/>
    <w:rsid w:val="00E67D5C"/>
    <w:rsid w:val="00E70489"/>
    <w:rsid w:val="00E711F6"/>
    <w:rsid w:val="00E71475"/>
    <w:rsid w:val="00E71B3E"/>
    <w:rsid w:val="00E72102"/>
    <w:rsid w:val="00E72665"/>
    <w:rsid w:val="00E73619"/>
    <w:rsid w:val="00E737EB"/>
    <w:rsid w:val="00E74072"/>
    <w:rsid w:val="00E74964"/>
    <w:rsid w:val="00E74D08"/>
    <w:rsid w:val="00E74F41"/>
    <w:rsid w:val="00E75133"/>
    <w:rsid w:val="00E7558C"/>
    <w:rsid w:val="00E7621D"/>
    <w:rsid w:val="00E809BD"/>
    <w:rsid w:val="00E80F9E"/>
    <w:rsid w:val="00E82559"/>
    <w:rsid w:val="00E82BF0"/>
    <w:rsid w:val="00E8370C"/>
    <w:rsid w:val="00E838EC"/>
    <w:rsid w:val="00E842D2"/>
    <w:rsid w:val="00E85477"/>
    <w:rsid w:val="00E8572F"/>
    <w:rsid w:val="00E862B7"/>
    <w:rsid w:val="00E868DA"/>
    <w:rsid w:val="00E87335"/>
    <w:rsid w:val="00E87AB0"/>
    <w:rsid w:val="00E87CCC"/>
    <w:rsid w:val="00E90750"/>
    <w:rsid w:val="00E91470"/>
    <w:rsid w:val="00E9173A"/>
    <w:rsid w:val="00E917FE"/>
    <w:rsid w:val="00E91BF5"/>
    <w:rsid w:val="00E91DB3"/>
    <w:rsid w:val="00E92228"/>
    <w:rsid w:val="00E92353"/>
    <w:rsid w:val="00E92521"/>
    <w:rsid w:val="00E93036"/>
    <w:rsid w:val="00E939FE"/>
    <w:rsid w:val="00E94D91"/>
    <w:rsid w:val="00E959E9"/>
    <w:rsid w:val="00E96724"/>
    <w:rsid w:val="00E96A94"/>
    <w:rsid w:val="00E97102"/>
    <w:rsid w:val="00E977F9"/>
    <w:rsid w:val="00E97D74"/>
    <w:rsid w:val="00EA01D6"/>
    <w:rsid w:val="00EA0848"/>
    <w:rsid w:val="00EA09B0"/>
    <w:rsid w:val="00EA0DE5"/>
    <w:rsid w:val="00EA1A2C"/>
    <w:rsid w:val="00EA24C9"/>
    <w:rsid w:val="00EA26C5"/>
    <w:rsid w:val="00EA27B0"/>
    <w:rsid w:val="00EA28BD"/>
    <w:rsid w:val="00EA3522"/>
    <w:rsid w:val="00EA3B6F"/>
    <w:rsid w:val="00EA3D47"/>
    <w:rsid w:val="00EA3E8A"/>
    <w:rsid w:val="00EA3F14"/>
    <w:rsid w:val="00EA48C4"/>
    <w:rsid w:val="00EA50E5"/>
    <w:rsid w:val="00EA6210"/>
    <w:rsid w:val="00EA7AD3"/>
    <w:rsid w:val="00EB11CF"/>
    <w:rsid w:val="00EB1BD5"/>
    <w:rsid w:val="00EB3384"/>
    <w:rsid w:val="00EB38EB"/>
    <w:rsid w:val="00EB3B00"/>
    <w:rsid w:val="00EB421F"/>
    <w:rsid w:val="00EB4318"/>
    <w:rsid w:val="00EB4AE1"/>
    <w:rsid w:val="00EB4F68"/>
    <w:rsid w:val="00EB54F6"/>
    <w:rsid w:val="00EB68CB"/>
    <w:rsid w:val="00EB7C99"/>
    <w:rsid w:val="00EC04EE"/>
    <w:rsid w:val="00EC06B0"/>
    <w:rsid w:val="00EC07BC"/>
    <w:rsid w:val="00EC0B74"/>
    <w:rsid w:val="00EC0ECE"/>
    <w:rsid w:val="00EC0FEE"/>
    <w:rsid w:val="00EC1C4C"/>
    <w:rsid w:val="00EC1E86"/>
    <w:rsid w:val="00EC1F31"/>
    <w:rsid w:val="00EC2618"/>
    <w:rsid w:val="00EC27AC"/>
    <w:rsid w:val="00EC3523"/>
    <w:rsid w:val="00EC354D"/>
    <w:rsid w:val="00EC3ACC"/>
    <w:rsid w:val="00EC3CBA"/>
    <w:rsid w:val="00EC407E"/>
    <w:rsid w:val="00EC46A8"/>
    <w:rsid w:val="00EC5243"/>
    <w:rsid w:val="00EC5783"/>
    <w:rsid w:val="00EC5B5C"/>
    <w:rsid w:val="00EC60FE"/>
    <w:rsid w:val="00EC66FA"/>
    <w:rsid w:val="00EC6D3A"/>
    <w:rsid w:val="00EC6F46"/>
    <w:rsid w:val="00EC7118"/>
    <w:rsid w:val="00EC7233"/>
    <w:rsid w:val="00EC7EC5"/>
    <w:rsid w:val="00ED0948"/>
    <w:rsid w:val="00ED0BB1"/>
    <w:rsid w:val="00ED1018"/>
    <w:rsid w:val="00ED1C9A"/>
    <w:rsid w:val="00ED2321"/>
    <w:rsid w:val="00ED2879"/>
    <w:rsid w:val="00ED2B4C"/>
    <w:rsid w:val="00ED3E31"/>
    <w:rsid w:val="00ED4315"/>
    <w:rsid w:val="00ED57E5"/>
    <w:rsid w:val="00ED77E9"/>
    <w:rsid w:val="00ED7CA1"/>
    <w:rsid w:val="00EE0ED5"/>
    <w:rsid w:val="00EE16CF"/>
    <w:rsid w:val="00EE1D39"/>
    <w:rsid w:val="00EE208E"/>
    <w:rsid w:val="00EE2685"/>
    <w:rsid w:val="00EE28F4"/>
    <w:rsid w:val="00EE2D63"/>
    <w:rsid w:val="00EE33B0"/>
    <w:rsid w:val="00EE422F"/>
    <w:rsid w:val="00EE4548"/>
    <w:rsid w:val="00EE4D97"/>
    <w:rsid w:val="00EE558A"/>
    <w:rsid w:val="00EE59E7"/>
    <w:rsid w:val="00EE6516"/>
    <w:rsid w:val="00EE668E"/>
    <w:rsid w:val="00EE7DA4"/>
    <w:rsid w:val="00EF0719"/>
    <w:rsid w:val="00EF1310"/>
    <w:rsid w:val="00EF213D"/>
    <w:rsid w:val="00EF2163"/>
    <w:rsid w:val="00EF2416"/>
    <w:rsid w:val="00EF3638"/>
    <w:rsid w:val="00EF3870"/>
    <w:rsid w:val="00EF3BD9"/>
    <w:rsid w:val="00EF3FA2"/>
    <w:rsid w:val="00EF4260"/>
    <w:rsid w:val="00EF4264"/>
    <w:rsid w:val="00EF46DC"/>
    <w:rsid w:val="00EF4845"/>
    <w:rsid w:val="00EF4972"/>
    <w:rsid w:val="00EF4CEE"/>
    <w:rsid w:val="00EF5141"/>
    <w:rsid w:val="00EF5841"/>
    <w:rsid w:val="00EF587F"/>
    <w:rsid w:val="00EF5F95"/>
    <w:rsid w:val="00EF66FF"/>
    <w:rsid w:val="00EF690C"/>
    <w:rsid w:val="00EF6A85"/>
    <w:rsid w:val="00EF6DFD"/>
    <w:rsid w:val="00F00C68"/>
    <w:rsid w:val="00F014A4"/>
    <w:rsid w:val="00F0159E"/>
    <w:rsid w:val="00F01CE0"/>
    <w:rsid w:val="00F020AD"/>
    <w:rsid w:val="00F02274"/>
    <w:rsid w:val="00F0280D"/>
    <w:rsid w:val="00F031E4"/>
    <w:rsid w:val="00F0397D"/>
    <w:rsid w:val="00F03EAC"/>
    <w:rsid w:val="00F0440E"/>
    <w:rsid w:val="00F04456"/>
    <w:rsid w:val="00F047BE"/>
    <w:rsid w:val="00F051FF"/>
    <w:rsid w:val="00F070BC"/>
    <w:rsid w:val="00F07299"/>
    <w:rsid w:val="00F102EC"/>
    <w:rsid w:val="00F114CC"/>
    <w:rsid w:val="00F11C80"/>
    <w:rsid w:val="00F11CC7"/>
    <w:rsid w:val="00F11D99"/>
    <w:rsid w:val="00F128C8"/>
    <w:rsid w:val="00F12E82"/>
    <w:rsid w:val="00F13610"/>
    <w:rsid w:val="00F137C5"/>
    <w:rsid w:val="00F16BBE"/>
    <w:rsid w:val="00F17D2F"/>
    <w:rsid w:val="00F17F14"/>
    <w:rsid w:val="00F20463"/>
    <w:rsid w:val="00F212F4"/>
    <w:rsid w:val="00F21538"/>
    <w:rsid w:val="00F216C8"/>
    <w:rsid w:val="00F21E9F"/>
    <w:rsid w:val="00F2336A"/>
    <w:rsid w:val="00F24035"/>
    <w:rsid w:val="00F2483D"/>
    <w:rsid w:val="00F2631C"/>
    <w:rsid w:val="00F27E1E"/>
    <w:rsid w:val="00F30938"/>
    <w:rsid w:val="00F32044"/>
    <w:rsid w:val="00F32B03"/>
    <w:rsid w:val="00F3391F"/>
    <w:rsid w:val="00F33A04"/>
    <w:rsid w:val="00F33CEF"/>
    <w:rsid w:val="00F33FF6"/>
    <w:rsid w:val="00F34E8C"/>
    <w:rsid w:val="00F34FAF"/>
    <w:rsid w:val="00F35B1C"/>
    <w:rsid w:val="00F361A5"/>
    <w:rsid w:val="00F36500"/>
    <w:rsid w:val="00F36D95"/>
    <w:rsid w:val="00F37122"/>
    <w:rsid w:val="00F3754B"/>
    <w:rsid w:val="00F4113F"/>
    <w:rsid w:val="00F41848"/>
    <w:rsid w:val="00F42690"/>
    <w:rsid w:val="00F42CBE"/>
    <w:rsid w:val="00F430BD"/>
    <w:rsid w:val="00F43939"/>
    <w:rsid w:val="00F43A54"/>
    <w:rsid w:val="00F43D3E"/>
    <w:rsid w:val="00F43F29"/>
    <w:rsid w:val="00F44260"/>
    <w:rsid w:val="00F4441B"/>
    <w:rsid w:val="00F444B5"/>
    <w:rsid w:val="00F4463B"/>
    <w:rsid w:val="00F44FE9"/>
    <w:rsid w:val="00F45092"/>
    <w:rsid w:val="00F4552A"/>
    <w:rsid w:val="00F4598C"/>
    <w:rsid w:val="00F46BCB"/>
    <w:rsid w:val="00F47965"/>
    <w:rsid w:val="00F47CC2"/>
    <w:rsid w:val="00F50280"/>
    <w:rsid w:val="00F5036D"/>
    <w:rsid w:val="00F522C3"/>
    <w:rsid w:val="00F52A50"/>
    <w:rsid w:val="00F52AF4"/>
    <w:rsid w:val="00F53DBA"/>
    <w:rsid w:val="00F541F0"/>
    <w:rsid w:val="00F5435C"/>
    <w:rsid w:val="00F54662"/>
    <w:rsid w:val="00F549B1"/>
    <w:rsid w:val="00F54A06"/>
    <w:rsid w:val="00F561AC"/>
    <w:rsid w:val="00F56FA0"/>
    <w:rsid w:val="00F57DD5"/>
    <w:rsid w:val="00F601D2"/>
    <w:rsid w:val="00F60C50"/>
    <w:rsid w:val="00F60FA3"/>
    <w:rsid w:val="00F61A83"/>
    <w:rsid w:val="00F61B8A"/>
    <w:rsid w:val="00F61FAB"/>
    <w:rsid w:val="00F620DE"/>
    <w:rsid w:val="00F63660"/>
    <w:rsid w:val="00F639E7"/>
    <w:rsid w:val="00F63CEB"/>
    <w:rsid w:val="00F642F7"/>
    <w:rsid w:val="00F64F49"/>
    <w:rsid w:val="00F65349"/>
    <w:rsid w:val="00F65A13"/>
    <w:rsid w:val="00F65AFF"/>
    <w:rsid w:val="00F70CD1"/>
    <w:rsid w:val="00F70DEF"/>
    <w:rsid w:val="00F710ED"/>
    <w:rsid w:val="00F71EB3"/>
    <w:rsid w:val="00F72094"/>
    <w:rsid w:val="00F724BB"/>
    <w:rsid w:val="00F7260D"/>
    <w:rsid w:val="00F73082"/>
    <w:rsid w:val="00F730A7"/>
    <w:rsid w:val="00F73237"/>
    <w:rsid w:val="00F74C18"/>
    <w:rsid w:val="00F750E8"/>
    <w:rsid w:val="00F758D3"/>
    <w:rsid w:val="00F75908"/>
    <w:rsid w:val="00F75E0E"/>
    <w:rsid w:val="00F7616A"/>
    <w:rsid w:val="00F76A6A"/>
    <w:rsid w:val="00F77556"/>
    <w:rsid w:val="00F77766"/>
    <w:rsid w:val="00F777C6"/>
    <w:rsid w:val="00F777F5"/>
    <w:rsid w:val="00F8010A"/>
    <w:rsid w:val="00F802DF"/>
    <w:rsid w:val="00F80505"/>
    <w:rsid w:val="00F80716"/>
    <w:rsid w:val="00F80F64"/>
    <w:rsid w:val="00F81072"/>
    <w:rsid w:val="00F814A0"/>
    <w:rsid w:val="00F81EEC"/>
    <w:rsid w:val="00F82901"/>
    <w:rsid w:val="00F82C66"/>
    <w:rsid w:val="00F82C78"/>
    <w:rsid w:val="00F82DE9"/>
    <w:rsid w:val="00F83AAB"/>
    <w:rsid w:val="00F83D83"/>
    <w:rsid w:val="00F8407F"/>
    <w:rsid w:val="00F840D0"/>
    <w:rsid w:val="00F84235"/>
    <w:rsid w:val="00F8471D"/>
    <w:rsid w:val="00F84AD2"/>
    <w:rsid w:val="00F85109"/>
    <w:rsid w:val="00F85B4E"/>
    <w:rsid w:val="00F869AF"/>
    <w:rsid w:val="00F87168"/>
    <w:rsid w:val="00F871A1"/>
    <w:rsid w:val="00F878FF"/>
    <w:rsid w:val="00F9034F"/>
    <w:rsid w:val="00F9043D"/>
    <w:rsid w:val="00F90FFE"/>
    <w:rsid w:val="00F91C17"/>
    <w:rsid w:val="00F91ED9"/>
    <w:rsid w:val="00F92BFB"/>
    <w:rsid w:val="00F938B4"/>
    <w:rsid w:val="00F9394E"/>
    <w:rsid w:val="00F93A4C"/>
    <w:rsid w:val="00F94332"/>
    <w:rsid w:val="00F94D42"/>
    <w:rsid w:val="00F94D85"/>
    <w:rsid w:val="00F95D65"/>
    <w:rsid w:val="00F9603D"/>
    <w:rsid w:val="00F962E3"/>
    <w:rsid w:val="00F964D3"/>
    <w:rsid w:val="00F965B4"/>
    <w:rsid w:val="00F969C2"/>
    <w:rsid w:val="00F96A8B"/>
    <w:rsid w:val="00F97742"/>
    <w:rsid w:val="00FA0F13"/>
    <w:rsid w:val="00FA0FD4"/>
    <w:rsid w:val="00FA12D4"/>
    <w:rsid w:val="00FA13AA"/>
    <w:rsid w:val="00FA1904"/>
    <w:rsid w:val="00FA5884"/>
    <w:rsid w:val="00FA5E7F"/>
    <w:rsid w:val="00FA6360"/>
    <w:rsid w:val="00FA6A99"/>
    <w:rsid w:val="00FA6AFA"/>
    <w:rsid w:val="00FA718F"/>
    <w:rsid w:val="00FA7EB4"/>
    <w:rsid w:val="00FB1262"/>
    <w:rsid w:val="00FB13D0"/>
    <w:rsid w:val="00FB1743"/>
    <w:rsid w:val="00FB2B09"/>
    <w:rsid w:val="00FB3090"/>
    <w:rsid w:val="00FB32FA"/>
    <w:rsid w:val="00FB338A"/>
    <w:rsid w:val="00FB39FC"/>
    <w:rsid w:val="00FB3A49"/>
    <w:rsid w:val="00FB3B24"/>
    <w:rsid w:val="00FB44B3"/>
    <w:rsid w:val="00FB6071"/>
    <w:rsid w:val="00FB6917"/>
    <w:rsid w:val="00FB71AE"/>
    <w:rsid w:val="00FB76EE"/>
    <w:rsid w:val="00FC0179"/>
    <w:rsid w:val="00FC02D5"/>
    <w:rsid w:val="00FC0ECA"/>
    <w:rsid w:val="00FC10A1"/>
    <w:rsid w:val="00FC118A"/>
    <w:rsid w:val="00FC2030"/>
    <w:rsid w:val="00FC23F4"/>
    <w:rsid w:val="00FC31F6"/>
    <w:rsid w:val="00FC38F1"/>
    <w:rsid w:val="00FC3B63"/>
    <w:rsid w:val="00FC3B85"/>
    <w:rsid w:val="00FC3F74"/>
    <w:rsid w:val="00FC4D8C"/>
    <w:rsid w:val="00FC570A"/>
    <w:rsid w:val="00FC5C69"/>
    <w:rsid w:val="00FC6C59"/>
    <w:rsid w:val="00FC6CFE"/>
    <w:rsid w:val="00FC7502"/>
    <w:rsid w:val="00FD0470"/>
    <w:rsid w:val="00FD13A6"/>
    <w:rsid w:val="00FD24E5"/>
    <w:rsid w:val="00FD32AD"/>
    <w:rsid w:val="00FD4AAB"/>
    <w:rsid w:val="00FD4C39"/>
    <w:rsid w:val="00FD5351"/>
    <w:rsid w:val="00FD6D82"/>
    <w:rsid w:val="00FD74E4"/>
    <w:rsid w:val="00FD79A9"/>
    <w:rsid w:val="00FE0096"/>
    <w:rsid w:val="00FE01AA"/>
    <w:rsid w:val="00FE0255"/>
    <w:rsid w:val="00FE0734"/>
    <w:rsid w:val="00FE1F8F"/>
    <w:rsid w:val="00FE2778"/>
    <w:rsid w:val="00FE2BB6"/>
    <w:rsid w:val="00FE3A3D"/>
    <w:rsid w:val="00FE3C33"/>
    <w:rsid w:val="00FE520C"/>
    <w:rsid w:val="00FE5623"/>
    <w:rsid w:val="00FE572A"/>
    <w:rsid w:val="00FE5D03"/>
    <w:rsid w:val="00FF0163"/>
    <w:rsid w:val="00FF03E8"/>
    <w:rsid w:val="00FF0472"/>
    <w:rsid w:val="00FF06CD"/>
    <w:rsid w:val="00FF0789"/>
    <w:rsid w:val="00FF19E2"/>
    <w:rsid w:val="00FF1CA2"/>
    <w:rsid w:val="00FF1E2D"/>
    <w:rsid w:val="00FF2E25"/>
    <w:rsid w:val="00FF3071"/>
    <w:rsid w:val="00FF3E71"/>
    <w:rsid w:val="00FF4A18"/>
    <w:rsid w:val="00FF4C3E"/>
    <w:rsid w:val="00FF507B"/>
    <w:rsid w:val="00FF5327"/>
    <w:rsid w:val="00FF588F"/>
    <w:rsid w:val="00FF5973"/>
    <w:rsid w:val="00FF5D48"/>
    <w:rsid w:val="00FF5E8D"/>
    <w:rsid w:val="00FF5EE3"/>
    <w:rsid w:val="00FF639F"/>
    <w:rsid w:val="00FF6754"/>
    <w:rsid w:val="00FF7067"/>
    <w:rsid w:val="00FF7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fc,#3cc,#3cc4c4,#ddd,#eaeaea,#f8f8f8,#6f9,#dbd9b9"/>
    </o:shapedefaults>
    <o:shapelayout v:ext="edit">
      <o:idmap v:ext="edit" data="1"/>
    </o:shapelayout>
  </w:shapeDefaults>
  <w:decimalSymbol w:val="."/>
  <w:listSeparator w:val=","/>
  <w14:docId w14:val="0E1A72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6D4"/>
    <w:pPr>
      <w:spacing w:before="120" w:after="120"/>
    </w:pPr>
    <w:rPr>
      <w:rFonts w:ascii="Verdana" w:hAnsi="Verdana" w:cs="Arial"/>
    </w:rPr>
  </w:style>
  <w:style w:type="paragraph" w:styleId="Heading1">
    <w:name w:val="heading 1"/>
    <w:basedOn w:val="Heading2"/>
    <w:next w:val="Normal"/>
    <w:link w:val="Heading1Char"/>
    <w:qFormat/>
    <w:rsid w:val="00D466D4"/>
    <w:pPr>
      <w:outlineLvl w:val="0"/>
    </w:pPr>
    <w:rPr>
      <w:b w:val="0"/>
      <w:bCs w:val="0"/>
      <w:i/>
      <w:color w:val="000000"/>
      <w:kern w:val="32"/>
      <w:szCs w:val="32"/>
    </w:rPr>
  </w:style>
  <w:style w:type="paragraph" w:styleId="Heading2">
    <w:name w:val="heading 2"/>
    <w:basedOn w:val="Normal"/>
    <w:next w:val="Normal"/>
    <w:link w:val="Heading2Char"/>
    <w:qFormat/>
    <w:rsid w:val="004344CA"/>
    <w:pPr>
      <w:keepNext/>
      <w:spacing w:before="0"/>
      <w:outlineLvl w:val="1"/>
    </w:pPr>
    <w:rPr>
      <w:b/>
      <w:bCs/>
      <w:iCs/>
      <w:color w:val="17365D"/>
      <w:sz w:val="28"/>
      <w:szCs w:val="12"/>
    </w:rPr>
  </w:style>
  <w:style w:type="paragraph" w:styleId="Heading3">
    <w:name w:val="heading 3"/>
    <w:next w:val="Normal"/>
    <w:autoRedefine/>
    <w:qFormat/>
    <w:rsid w:val="00B4733C"/>
    <w:pPr>
      <w:keepNext/>
      <w:spacing w:before="240" w:after="120"/>
      <w:outlineLvl w:val="2"/>
    </w:pPr>
    <w:rPr>
      <w:rFonts w:ascii="Arial" w:hAnsi="Arial" w:cs="Arial"/>
      <w:b/>
      <w:bCs/>
      <w:color w:val="800000"/>
      <w:sz w:val="24"/>
      <w:szCs w:val="26"/>
    </w:rPr>
  </w:style>
  <w:style w:type="paragraph" w:styleId="Heading4">
    <w:name w:val="heading 4"/>
    <w:basedOn w:val="Normal"/>
    <w:next w:val="Normal"/>
    <w:qFormat/>
    <w:rsid w:val="00D466D4"/>
    <w:pPr>
      <w:keepNext/>
      <w:spacing w:before="240" w:after="60"/>
      <w:outlineLvl w:val="3"/>
    </w:pPr>
    <w:rPr>
      <w:b/>
      <w:bCs/>
      <w:sz w:val="32"/>
      <w:szCs w:val="28"/>
    </w:rPr>
  </w:style>
  <w:style w:type="paragraph" w:styleId="Heading5">
    <w:name w:val="heading 5"/>
    <w:basedOn w:val="Normal"/>
    <w:next w:val="Normal"/>
    <w:qFormat/>
    <w:pPr>
      <w:keepNext/>
      <w:ind w:firstLine="720"/>
      <w:outlineLvl w:val="4"/>
    </w:pPr>
    <w:rPr>
      <w:b/>
      <w:bCs/>
    </w:rPr>
  </w:style>
  <w:style w:type="paragraph" w:styleId="Heading6">
    <w:name w:val="heading 6"/>
    <w:basedOn w:val="Normal"/>
    <w:next w:val="Normal"/>
    <w:qFormat/>
    <w:pPr>
      <w:keepNext/>
      <w:outlineLvl w:val="5"/>
    </w:pPr>
    <w:rPr>
      <w:b/>
      <w:bCs/>
      <w:color w:val="FF0000"/>
      <w:u w:val="single"/>
    </w:rPr>
  </w:style>
  <w:style w:type="paragraph" w:styleId="Heading7">
    <w:name w:val="heading 7"/>
    <w:basedOn w:val="Normal"/>
    <w:next w:val="Normal"/>
    <w:qFormat/>
    <w:pPr>
      <w:keepNext/>
      <w:outlineLvl w:val="6"/>
    </w:pPr>
    <w:rPr>
      <w:b/>
      <w:bCs/>
      <w:sz w:val="16"/>
    </w:rPr>
  </w:style>
  <w:style w:type="paragraph" w:styleId="Heading8">
    <w:name w:val="heading 8"/>
    <w:basedOn w:val="Normal"/>
    <w:next w:val="Normal"/>
    <w:qFormat/>
    <w:pPr>
      <w:keepNext/>
      <w:outlineLvl w:val="7"/>
    </w:pPr>
    <w:rPr>
      <w:b/>
      <w:bCs/>
      <w:color w:val="FF0000"/>
    </w:rPr>
  </w:style>
  <w:style w:type="paragraph" w:styleId="Heading9">
    <w:name w:val="heading 9"/>
    <w:basedOn w:val="Normal"/>
    <w:next w:val="Normal"/>
    <w:qFormat/>
    <w:pPr>
      <w:keepNext/>
      <w:outlineLvl w:val="8"/>
    </w:pPr>
    <w:rPr>
      <w:b/>
      <w:bCs/>
      <w:color w:val="333399"/>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D466D4"/>
    <w:pPr>
      <w:spacing w:before="100" w:beforeAutospacing="1" w:after="100" w:afterAutospacing="1"/>
    </w:pPr>
    <w:rPr>
      <w:rFonts w:eastAsia="Arial Unicode MS" w:cs="Arial Unicode MS"/>
      <w:color w:val="000000"/>
      <w:sz w:val="18"/>
      <w:szCs w:val="18"/>
    </w:rPr>
  </w:style>
  <w:style w:type="character" w:styleId="Emphasis">
    <w:name w:val="Emphasis"/>
    <w:qFormat/>
    <w:rPr>
      <w:i/>
      <w:iCs/>
    </w:rPr>
  </w:style>
  <w:style w:type="character" w:styleId="Strong">
    <w:name w:val="Strong"/>
    <w:qFormat/>
    <w:rsid w:val="00D466D4"/>
    <w:rPr>
      <w:rFonts w:ascii="Verdana" w:hAnsi="Verdana"/>
      <w:b/>
      <w:bCs/>
      <w:sz w:val="20"/>
    </w:rPr>
  </w:style>
  <w:style w:type="paragraph" w:styleId="Header">
    <w:name w:val="header"/>
    <w:basedOn w:val="Normal"/>
    <w:link w:val="HeaderChar"/>
    <w:rsid w:val="00D466D4"/>
    <w:pPr>
      <w:tabs>
        <w:tab w:val="center" w:pos="4320"/>
        <w:tab w:val="right" w:pos="8640"/>
      </w:tabs>
    </w:pPr>
  </w:style>
  <w:style w:type="paragraph" w:styleId="BodyTextIndent2">
    <w:name w:val="Body Text Indent 2"/>
    <w:basedOn w:val="Normal"/>
    <w:pPr>
      <w:ind w:left="720"/>
    </w:pPr>
  </w:style>
  <w:style w:type="paragraph" w:customStyle="1" w:styleId="directions">
    <w:name w:val="directions"/>
    <w:basedOn w:val="BodyText"/>
    <w:link w:val="directionsChar"/>
    <w:qFormat/>
    <w:rsid w:val="00C744BD"/>
    <w:rPr>
      <w:rFonts w:cs="Times New Roman"/>
      <w:b/>
      <w:color w:val="943634"/>
      <w:szCs w:val="20"/>
    </w:rPr>
  </w:style>
  <w:style w:type="paragraph" w:customStyle="1" w:styleId="Numbers">
    <w:name w:val="Numbers"/>
    <w:pPr>
      <w:numPr>
        <w:numId w:val="1"/>
      </w:numPr>
      <w:spacing w:before="120"/>
    </w:pPr>
    <w:rPr>
      <w:sz w:val="24"/>
    </w:rPr>
  </w:style>
  <w:style w:type="paragraph" w:customStyle="1" w:styleId="H4">
    <w:name w:val="H4"/>
    <w:basedOn w:val="Normal"/>
    <w:next w:val="Normal"/>
    <w:pPr>
      <w:keepNext/>
      <w:spacing w:before="100" w:after="100"/>
      <w:outlineLvl w:val="4"/>
    </w:pPr>
    <w:rPr>
      <w:b/>
      <w:snapToGrid w:val="0"/>
    </w:rPr>
  </w:style>
  <w:style w:type="paragraph" w:customStyle="1" w:styleId="Bullet1">
    <w:name w:val="Bullet 1"/>
    <w:basedOn w:val="Normal"/>
    <w:pPr>
      <w:numPr>
        <w:numId w:val="2"/>
      </w:numPr>
      <w:tabs>
        <w:tab w:val="clear" w:pos="432"/>
        <w:tab w:val="num" w:pos="720"/>
      </w:tabs>
      <w:ind w:left="720"/>
    </w:pPr>
  </w:style>
  <w:style w:type="paragraph" w:styleId="BodyText3">
    <w:name w:val="Body Text 3"/>
    <w:basedOn w:val="Normal"/>
    <w:link w:val="BodyText3Char"/>
    <w:rPr>
      <w:b/>
      <w:sz w:val="17"/>
    </w:rPr>
  </w:style>
  <w:style w:type="paragraph" w:styleId="BodyTextIndent">
    <w:name w:val="Body Text Indent"/>
    <w:basedOn w:val="Normal"/>
    <w:link w:val="BodyTextIndentChar"/>
    <w:pPr>
      <w:ind w:left="1080"/>
    </w:pPr>
  </w:style>
  <w:style w:type="paragraph" w:styleId="BodyText">
    <w:name w:val="Body Text"/>
    <w:aliases w:val="Body Text Char"/>
    <w:basedOn w:val="Normal"/>
    <w:link w:val="BodyTextChar1"/>
    <w:qFormat/>
    <w:rsid w:val="00D466D4"/>
    <w:rPr>
      <w:color w:val="000000"/>
      <w:szCs w:val="12"/>
    </w:r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rsid w:val="00D466D4"/>
    <w:pPr>
      <w:tabs>
        <w:tab w:val="center" w:pos="4320"/>
        <w:tab w:val="right" w:pos="8640"/>
      </w:tabs>
      <w:spacing w:before="0" w:after="0"/>
    </w:pPr>
    <w:rPr>
      <w:sz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customStyle="1" w:styleId="topnavs1">
    <w:name w:val="topnavs1"/>
    <w:rPr>
      <w:rFonts w:ascii="Arial" w:hAnsi="Arial" w:cs="Arial" w:hint="default"/>
      <w:i w:val="0"/>
      <w:iCs w:val="0"/>
      <w:color w:val="808080"/>
      <w:sz w:val="15"/>
      <w:szCs w:val="15"/>
    </w:rPr>
  </w:style>
  <w:style w:type="character" w:styleId="Hyperlink">
    <w:name w:val="Hyperlink"/>
    <w:qFormat/>
    <w:rsid w:val="00D466D4"/>
    <w:rPr>
      <w:rFonts w:ascii="Verdana" w:hAnsi="Verdana"/>
      <w:b/>
      <w:color w:val="4F81BD"/>
      <w:sz w:val="20"/>
      <w:u w:val="single"/>
    </w:rPr>
  </w:style>
  <w:style w:type="character" w:styleId="PageNumber">
    <w:name w:val="page number"/>
    <w:rsid w:val="00D466D4"/>
  </w:style>
  <w:style w:type="paragraph" w:customStyle="1" w:styleId="RolloverBullet">
    <w:name w:val="Rollover Bullet"/>
    <w:basedOn w:val="TextBullet1"/>
    <w:link w:val="RolloverBulletChar"/>
    <w:autoRedefine/>
    <w:qFormat/>
    <w:rsid w:val="00D466D4"/>
    <w:pPr>
      <w:numPr>
        <w:numId w:val="8"/>
      </w:numPr>
      <w:ind w:left="1080"/>
    </w:pPr>
    <w:rPr>
      <w:color w:val="0000FF"/>
    </w:rPr>
  </w:style>
  <w:style w:type="paragraph" w:styleId="BlockText">
    <w:name w:val="Block Text"/>
    <w:basedOn w:val="Normal"/>
    <w:rsid w:val="00D466D4"/>
    <w:pPr>
      <w:ind w:left="720" w:right="-1440"/>
    </w:pPr>
    <w:rPr>
      <w:color w:val="40458C"/>
      <w:sz w:val="28"/>
      <w:szCs w:val="12"/>
    </w:rPr>
  </w:style>
  <w:style w:type="paragraph" w:customStyle="1" w:styleId="TableofContentsText">
    <w:name w:val="Table of Contents Text"/>
    <w:rsid w:val="00D466D4"/>
    <w:pPr>
      <w:spacing w:after="120"/>
    </w:pPr>
    <w:rPr>
      <w:rFonts w:ascii="Arial" w:hAnsi="Arial" w:cs="Arial"/>
      <w:color w:val="000000"/>
      <w:szCs w:val="24"/>
    </w:rPr>
  </w:style>
  <w:style w:type="paragraph" w:customStyle="1" w:styleId="ProgrammerNotes">
    <w:name w:val="Programmer Notes"/>
    <w:rsid w:val="00D466D4"/>
    <w:rPr>
      <w:rFonts w:ascii="Arial" w:hAnsi="Arial" w:cs="Arial"/>
      <w:color w:val="800080"/>
      <w:kern w:val="32"/>
      <w:sz w:val="24"/>
    </w:rPr>
  </w:style>
  <w:style w:type="paragraph" w:customStyle="1" w:styleId="RolloverHeading">
    <w:name w:val="Rollover Heading"/>
    <w:link w:val="RolloverHeadingChar"/>
    <w:qFormat/>
    <w:rsid w:val="00D466D4"/>
    <w:pPr>
      <w:spacing w:before="120" w:after="120"/>
    </w:pPr>
    <w:rPr>
      <w:rFonts w:ascii="Verdana" w:hAnsi="Verdana" w:cs="Arial"/>
      <w:b/>
      <w:color w:val="0000FF"/>
    </w:rPr>
  </w:style>
  <w:style w:type="paragraph" w:customStyle="1" w:styleId="RolloverText">
    <w:name w:val="Rollover Text"/>
    <w:link w:val="RolloverTextChar"/>
    <w:qFormat/>
    <w:rsid w:val="00D466D4"/>
    <w:pPr>
      <w:spacing w:before="120" w:after="120"/>
    </w:pPr>
    <w:rPr>
      <w:rFonts w:ascii="Verdana" w:hAnsi="Verdana" w:cs="Arial"/>
      <w:color w:val="0000FF"/>
    </w:rPr>
  </w:style>
  <w:style w:type="paragraph" w:customStyle="1" w:styleId="TextBullet1">
    <w:name w:val="Text Bullet 1"/>
    <w:basedOn w:val="Normal"/>
    <w:rsid w:val="00D466D4"/>
    <w:pPr>
      <w:numPr>
        <w:numId w:val="6"/>
      </w:numPr>
    </w:pPr>
  </w:style>
  <w:style w:type="paragraph" w:customStyle="1" w:styleId="TextBullet2">
    <w:name w:val="Text Bullet 2"/>
    <w:rsid w:val="00542237"/>
    <w:pPr>
      <w:numPr>
        <w:numId w:val="3"/>
      </w:numPr>
      <w:tabs>
        <w:tab w:val="clear" w:pos="1800"/>
      </w:tabs>
      <w:spacing w:after="240"/>
    </w:pPr>
    <w:rPr>
      <w:rFonts w:ascii="Verdana" w:hAnsi="Verdana" w:cs="Arial"/>
      <w:color w:val="000000"/>
    </w:rPr>
  </w:style>
  <w:style w:type="paragraph" w:customStyle="1" w:styleId="ReviewQuestions">
    <w:name w:val="Review Questions"/>
    <w:basedOn w:val="Normal"/>
    <w:link w:val="ReviewQuestionsChar"/>
    <w:qFormat/>
    <w:rsid w:val="00D466D4"/>
    <w:pPr>
      <w:numPr>
        <w:numId w:val="7"/>
      </w:numPr>
      <w:spacing w:before="0"/>
    </w:pPr>
    <w:rPr>
      <w:b/>
    </w:rPr>
  </w:style>
  <w:style w:type="paragraph" w:customStyle="1" w:styleId="TextNumbering">
    <w:name w:val="Text Numbering"/>
    <w:rsid w:val="00D466D4"/>
    <w:pPr>
      <w:numPr>
        <w:numId w:val="5"/>
      </w:numPr>
      <w:spacing w:after="240"/>
    </w:pPr>
    <w:rPr>
      <w:rFonts w:ascii="Arial" w:hAnsi="Arial" w:cs="Arial"/>
      <w:bCs/>
      <w:color w:val="000000"/>
      <w:szCs w:val="32"/>
    </w:rPr>
  </w:style>
  <w:style w:type="character" w:customStyle="1" w:styleId="Heading3Char">
    <w:name w:val="Heading 3 Char"/>
    <w:rPr>
      <w:rFonts w:ascii="Arial" w:hAnsi="Arial" w:cs="Arial"/>
      <w:b/>
      <w:bCs/>
      <w:color w:val="000080"/>
      <w:sz w:val="26"/>
      <w:szCs w:val="26"/>
      <w:lang w:val="en-US" w:eastAsia="en-US" w:bidi="ar-SA"/>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title1">
    <w:name w:val="title1"/>
    <w:rPr>
      <w:rFonts w:ascii="Arial" w:hAnsi="Arial" w:cs="Arial" w:hint="default"/>
      <w:b/>
      <w:bCs/>
      <w:color w:val="333366"/>
      <w:sz w:val="24"/>
      <w:szCs w:val="24"/>
    </w:rPr>
  </w:style>
  <w:style w:type="character" w:customStyle="1" w:styleId="bodyblue1">
    <w:name w:val="bodyblue1"/>
    <w:rPr>
      <w:rFonts w:ascii="Arial" w:hAnsi="Arial" w:cs="Arial" w:hint="default"/>
      <w:b w:val="0"/>
      <w:bCs w:val="0"/>
      <w:i w:val="0"/>
      <w:iCs w:val="0"/>
      <w:color w:val="000080"/>
      <w:sz w:val="18"/>
      <w:szCs w:val="18"/>
    </w:rPr>
  </w:style>
  <w:style w:type="paragraph" w:customStyle="1" w:styleId="disclaimer">
    <w:name w:val="disclaimer"/>
    <w:basedOn w:val="Normal"/>
    <w:pPr>
      <w:pBdr>
        <w:top w:val="double" w:sz="6" w:space="8" w:color="9E9E6F"/>
        <w:left w:val="double" w:sz="6" w:space="8" w:color="9E9E6F"/>
        <w:bottom w:val="double" w:sz="6" w:space="8" w:color="9E9E6F"/>
        <w:right w:val="double" w:sz="6" w:space="8" w:color="9E9E6F"/>
      </w:pBdr>
      <w:spacing w:before="30" w:after="30"/>
      <w:ind w:left="30" w:right="30"/>
    </w:pPr>
    <w:rPr>
      <w:color w:val="000000"/>
      <w:sz w:val="15"/>
      <w:szCs w:val="15"/>
    </w:rPr>
  </w:style>
  <w:style w:type="paragraph" w:styleId="BodyText2">
    <w:name w:val="Body Text 2"/>
    <w:basedOn w:val="Normal"/>
    <w:rPr>
      <w:b/>
      <w:color w:val="0000FF"/>
    </w:rPr>
  </w:style>
  <w:style w:type="character" w:styleId="FollowedHyperlink">
    <w:name w:val="FollowedHyperlink"/>
    <w:rPr>
      <w:color w:val="800080"/>
      <w:u w:val="single"/>
    </w:rPr>
  </w:style>
  <w:style w:type="paragraph" w:styleId="TOC1">
    <w:name w:val="toc 1"/>
    <w:basedOn w:val="Normal"/>
    <w:next w:val="Normal"/>
    <w:autoRedefine/>
    <w:semiHidden/>
    <w:pPr>
      <w:spacing w:before="240"/>
    </w:pPr>
    <w:rPr>
      <w:rFonts w:ascii="Times New Roman" w:hAnsi="Times New Roman"/>
      <w:b/>
      <w:bCs/>
    </w:rPr>
  </w:style>
  <w:style w:type="paragraph" w:styleId="TOC2">
    <w:name w:val="toc 2"/>
    <w:basedOn w:val="Normal"/>
    <w:next w:val="Normal"/>
    <w:autoRedefine/>
    <w:semiHidden/>
    <w:pPr>
      <w:ind w:left="240"/>
    </w:pPr>
    <w:rPr>
      <w:rFonts w:ascii="Times New Roman" w:hAnsi="Times New Roman"/>
      <w:i/>
      <w:iCs/>
    </w:rPr>
  </w:style>
  <w:style w:type="paragraph" w:styleId="TOC3">
    <w:name w:val="toc 3"/>
    <w:basedOn w:val="Normal"/>
    <w:next w:val="Normal"/>
    <w:autoRedefine/>
    <w:semiHidden/>
    <w:pPr>
      <w:ind w:left="480"/>
    </w:pPr>
    <w:rPr>
      <w:rFonts w:ascii="Times New Roman" w:hAnsi="Times New Roman"/>
    </w:rPr>
  </w:style>
  <w:style w:type="paragraph" w:styleId="TOC4">
    <w:name w:val="toc 4"/>
    <w:basedOn w:val="Normal"/>
    <w:next w:val="Normal"/>
    <w:autoRedefine/>
    <w:semiHidden/>
    <w:pPr>
      <w:ind w:left="720"/>
    </w:pPr>
    <w:rPr>
      <w:rFonts w:ascii="Times New Roman" w:hAnsi="Times New Roman"/>
    </w:rPr>
  </w:style>
  <w:style w:type="paragraph" w:styleId="TOC5">
    <w:name w:val="toc 5"/>
    <w:basedOn w:val="Normal"/>
    <w:next w:val="Normal"/>
    <w:autoRedefine/>
    <w:semiHidden/>
    <w:pPr>
      <w:ind w:left="960"/>
    </w:pPr>
    <w:rPr>
      <w:rFonts w:ascii="Times New Roman" w:hAnsi="Times New Roman"/>
    </w:rPr>
  </w:style>
  <w:style w:type="paragraph" w:styleId="TOC6">
    <w:name w:val="toc 6"/>
    <w:basedOn w:val="Normal"/>
    <w:next w:val="Normal"/>
    <w:autoRedefine/>
    <w:semiHidden/>
    <w:pPr>
      <w:ind w:left="1200"/>
    </w:pPr>
    <w:rPr>
      <w:rFonts w:ascii="Times New Roman" w:hAnsi="Times New Roman"/>
    </w:rPr>
  </w:style>
  <w:style w:type="paragraph" w:styleId="TOC7">
    <w:name w:val="toc 7"/>
    <w:basedOn w:val="Normal"/>
    <w:next w:val="Normal"/>
    <w:autoRedefine/>
    <w:semiHidden/>
    <w:pPr>
      <w:ind w:left="1440"/>
    </w:pPr>
    <w:rPr>
      <w:rFonts w:ascii="Times New Roman" w:hAnsi="Times New Roman"/>
    </w:rPr>
  </w:style>
  <w:style w:type="paragraph" w:styleId="TOC8">
    <w:name w:val="toc 8"/>
    <w:basedOn w:val="Normal"/>
    <w:next w:val="Normal"/>
    <w:autoRedefine/>
    <w:semiHidden/>
    <w:pPr>
      <w:ind w:left="1680"/>
    </w:pPr>
    <w:rPr>
      <w:rFonts w:ascii="Times New Roman" w:hAnsi="Times New Roman"/>
    </w:rPr>
  </w:style>
  <w:style w:type="paragraph" w:styleId="TOC9">
    <w:name w:val="toc 9"/>
    <w:basedOn w:val="Normal"/>
    <w:next w:val="Normal"/>
    <w:autoRedefine/>
    <w:semiHidden/>
    <w:pPr>
      <w:ind w:left="1920"/>
    </w:pPr>
    <w:rPr>
      <w:rFonts w:ascii="Times New Roman" w:hAnsi="Times New Roman"/>
    </w:rPr>
  </w:style>
  <w:style w:type="paragraph" w:styleId="BodyTextIndent3">
    <w:name w:val="Body Text Indent 3"/>
    <w:basedOn w:val="Normal"/>
    <w:link w:val="BodyTextIndent3Char"/>
    <w:pPr>
      <w:ind w:left="720"/>
    </w:pPr>
    <w:rPr>
      <w:i/>
      <w:iCs/>
    </w:rPr>
  </w:style>
  <w:style w:type="character" w:customStyle="1" w:styleId="tagline">
    <w:name w:val="tagline"/>
    <w:basedOn w:val="DefaultParagraphFont"/>
  </w:style>
  <w:style w:type="character" w:customStyle="1" w:styleId="directionsChar">
    <w:name w:val="directions Char"/>
    <w:link w:val="directions"/>
    <w:rsid w:val="00C744BD"/>
    <w:rPr>
      <w:rFonts w:ascii="Verdana" w:hAnsi="Verdana"/>
      <w:b/>
      <w:color w:val="943634"/>
    </w:rPr>
  </w:style>
  <w:style w:type="paragraph" w:customStyle="1" w:styleId="default">
    <w:name w:val="default"/>
    <w:basedOn w:val="Normal"/>
    <w:rsid w:val="00D91392"/>
    <w:pPr>
      <w:spacing w:before="100" w:beforeAutospacing="1" w:after="100" w:afterAutospacing="1"/>
    </w:pPr>
  </w:style>
  <w:style w:type="character" w:customStyle="1" w:styleId="Heading1Char">
    <w:name w:val="Heading 1 Char"/>
    <w:link w:val="Heading1"/>
    <w:rsid w:val="00B276F8"/>
    <w:rPr>
      <w:rFonts w:ascii="Verdana" w:hAnsi="Verdana" w:cs="Arial"/>
      <w:bCs/>
      <w:i/>
      <w:iCs/>
      <w:color w:val="000000"/>
      <w:kern w:val="32"/>
      <w:sz w:val="28"/>
      <w:szCs w:val="32"/>
    </w:rPr>
  </w:style>
  <w:style w:type="paragraph" w:styleId="z-TopofForm">
    <w:name w:val="HTML Top of Form"/>
    <w:basedOn w:val="Normal"/>
    <w:next w:val="Normal"/>
    <w:hidden/>
    <w:rsid w:val="00530E3C"/>
    <w:pPr>
      <w:pBdr>
        <w:bottom w:val="single" w:sz="6" w:space="1" w:color="auto"/>
      </w:pBdr>
      <w:jc w:val="center"/>
    </w:pPr>
    <w:rPr>
      <w:vanish/>
      <w:sz w:val="16"/>
      <w:szCs w:val="16"/>
    </w:rPr>
  </w:style>
  <w:style w:type="paragraph" w:styleId="z-BottomofForm">
    <w:name w:val="HTML Bottom of Form"/>
    <w:basedOn w:val="Normal"/>
    <w:next w:val="Normal"/>
    <w:hidden/>
    <w:rsid w:val="00530E3C"/>
    <w:pPr>
      <w:pBdr>
        <w:top w:val="single" w:sz="6" w:space="1" w:color="auto"/>
      </w:pBdr>
      <w:jc w:val="center"/>
    </w:pPr>
    <w:rPr>
      <w:vanish/>
      <w:sz w:val="16"/>
      <w:szCs w:val="16"/>
    </w:rPr>
  </w:style>
  <w:style w:type="table" w:styleId="TableGrid">
    <w:name w:val="Table Grid"/>
    <w:basedOn w:val="TableNormal"/>
    <w:uiPriority w:val="59"/>
    <w:rsid w:val="00D466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olloverTextChar">
    <w:name w:val="Rollover Text Char"/>
    <w:link w:val="RolloverText"/>
    <w:rsid w:val="00D466D4"/>
    <w:rPr>
      <w:rFonts w:ascii="Verdana" w:hAnsi="Verdana" w:cs="Arial"/>
      <w:color w:val="0000FF"/>
    </w:rPr>
  </w:style>
  <w:style w:type="paragraph" w:styleId="DocumentMap">
    <w:name w:val="Document Map"/>
    <w:basedOn w:val="Normal"/>
    <w:semiHidden/>
    <w:rsid w:val="00472467"/>
    <w:pPr>
      <w:shd w:val="clear" w:color="auto" w:fill="000080"/>
    </w:pPr>
    <w:rPr>
      <w:rFonts w:ascii="Tahoma" w:hAnsi="Tahoma" w:cs="Tahoma"/>
    </w:rPr>
  </w:style>
  <w:style w:type="character" w:customStyle="1" w:styleId="BodyTextChar1">
    <w:name w:val="Body Text Char1"/>
    <w:aliases w:val="Body Text Char Char"/>
    <w:link w:val="BodyText"/>
    <w:rsid w:val="00AB5082"/>
    <w:rPr>
      <w:rFonts w:ascii="Verdana" w:hAnsi="Verdana" w:cs="Arial"/>
      <w:color w:val="000000"/>
      <w:szCs w:val="12"/>
    </w:rPr>
  </w:style>
  <w:style w:type="character" w:customStyle="1" w:styleId="ReviewQuestionsChar">
    <w:name w:val="Review Questions Char"/>
    <w:link w:val="ReviewQuestions"/>
    <w:rsid w:val="009A09D8"/>
    <w:rPr>
      <w:rFonts w:ascii="Verdana" w:hAnsi="Verdana" w:cs="Arial"/>
      <w:b/>
    </w:rPr>
  </w:style>
  <w:style w:type="paragraph" w:customStyle="1" w:styleId="ColorfulShading-Accent11">
    <w:name w:val="Colorful Shading - Accent 11"/>
    <w:hidden/>
    <w:uiPriority w:val="71"/>
    <w:rsid w:val="008A203D"/>
    <w:rPr>
      <w:rFonts w:ascii="Verdana" w:hAnsi="Verdana" w:cs="Arial"/>
    </w:rPr>
  </w:style>
  <w:style w:type="paragraph" w:styleId="Revision">
    <w:name w:val="Revision"/>
    <w:hidden/>
    <w:uiPriority w:val="99"/>
    <w:semiHidden/>
    <w:rsid w:val="00D74F7A"/>
    <w:rPr>
      <w:rFonts w:ascii="Verdana" w:hAnsi="Verdana" w:cs="Arial"/>
    </w:rPr>
  </w:style>
  <w:style w:type="character" w:customStyle="1" w:styleId="NormalWebChar">
    <w:name w:val="Normal (Web) Char"/>
    <w:link w:val="NormalWeb"/>
    <w:rsid w:val="00D466D4"/>
    <w:rPr>
      <w:rFonts w:ascii="Verdana" w:eastAsia="Arial Unicode MS" w:hAnsi="Verdana" w:cs="Arial Unicode MS"/>
      <w:color w:val="000000"/>
      <w:sz w:val="18"/>
      <w:szCs w:val="18"/>
    </w:rPr>
  </w:style>
  <w:style w:type="character" w:customStyle="1" w:styleId="CharChar3">
    <w:name w:val="Char Char3"/>
    <w:rsid w:val="00F91ED9"/>
    <w:rPr>
      <w:rFonts w:ascii="Arial" w:hAnsi="Arial"/>
      <w:color w:val="000000"/>
      <w:lang w:val="en-US" w:eastAsia="en-US" w:bidi="ar-SA"/>
    </w:rPr>
  </w:style>
  <w:style w:type="paragraph" w:customStyle="1" w:styleId="ReviewQuestionAnswerText">
    <w:name w:val="Review Question Answer Text"/>
    <w:basedOn w:val="BodyTextIndent3"/>
    <w:link w:val="ReviewQuestionAnswerTextChar"/>
    <w:rsid w:val="00104311"/>
    <w:pPr>
      <w:ind w:left="1890"/>
    </w:pPr>
    <w:rPr>
      <w:i w:val="0"/>
      <w:color w:val="0000FF"/>
    </w:rPr>
  </w:style>
  <w:style w:type="character" w:customStyle="1" w:styleId="BodyTextIndent3Char">
    <w:name w:val="Body Text Indent 3 Char"/>
    <w:link w:val="BodyTextIndent3"/>
    <w:rsid w:val="00E22F12"/>
    <w:rPr>
      <w:rFonts w:ascii="Arial" w:hAnsi="Arial"/>
      <w:i/>
      <w:iCs/>
      <w:sz w:val="24"/>
      <w:szCs w:val="24"/>
      <w:lang w:val="en-US" w:eastAsia="en-US" w:bidi="ar-SA"/>
    </w:rPr>
  </w:style>
  <w:style w:type="character" w:customStyle="1" w:styleId="ReviewQuestionAnswerTextChar">
    <w:name w:val="Review Question Answer Text Char"/>
    <w:link w:val="ReviewQuestionAnswerText"/>
    <w:rsid w:val="00E22F12"/>
    <w:rPr>
      <w:rFonts w:ascii="Arial" w:hAnsi="Arial" w:cs="Arial"/>
      <w:i/>
      <w:iCs/>
      <w:color w:val="0000FF"/>
      <w:sz w:val="24"/>
      <w:szCs w:val="24"/>
      <w:lang w:val="en-US" w:eastAsia="en-US" w:bidi="ar-SA"/>
    </w:rPr>
  </w:style>
  <w:style w:type="character" w:customStyle="1" w:styleId="BodyText3Char">
    <w:name w:val="Body Text 3 Char"/>
    <w:link w:val="BodyText3"/>
    <w:rsid w:val="008E42DF"/>
    <w:rPr>
      <w:rFonts w:ascii="Arial" w:hAnsi="Arial"/>
      <w:b/>
      <w:sz w:val="17"/>
      <w:szCs w:val="24"/>
      <w:lang w:val="en-US" w:eastAsia="en-US" w:bidi="ar-SA"/>
    </w:rPr>
  </w:style>
  <w:style w:type="paragraph" w:customStyle="1" w:styleId="ReviewAnswer">
    <w:name w:val="Review Answer"/>
    <w:qFormat/>
    <w:rsid w:val="00D466D4"/>
    <w:pPr>
      <w:spacing w:before="120" w:after="120"/>
      <w:ind w:left="1080"/>
    </w:pPr>
    <w:rPr>
      <w:rFonts w:ascii="Verdana" w:hAnsi="Verdana" w:cs="Arial"/>
      <w:color w:val="244061"/>
    </w:rPr>
  </w:style>
  <w:style w:type="paragraph" w:customStyle="1" w:styleId="BodyTextBoldRed">
    <w:name w:val="Body Text Bold Red"/>
    <w:autoRedefine/>
    <w:rsid w:val="00B37439"/>
    <w:rPr>
      <w:rFonts w:ascii="Verdana" w:hAnsi="Verdana"/>
      <w:b/>
      <w:color w:val="FF0000"/>
    </w:rPr>
  </w:style>
  <w:style w:type="paragraph" w:customStyle="1" w:styleId="Answer">
    <w:name w:val="Answer"/>
    <w:qFormat/>
    <w:rsid w:val="00D466D4"/>
    <w:rPr>
      <w:rFonts w:ascii="Verdana" w:hAnsi="Verdana" w:cs="Arial"/>
      <w:color w:val="244061"/>
    </w:rPr>
  </w:style>
  <w:style w:type="paragraph" w:customStyle="1" w:styleId="SubtitlesonPage">
    <w:name w:val="Subtitles on Page"/>
    <w:link w:val="SubtitlesonPageChar"/>
    <w:qFormat/>
    <w:rsid w:val="00D466D4"/>
    <w:pPr>
      <w:spacing w:after="60"/>
    </w:pPr>
    <w:rPr>
      <w:rFonts w:ascii="Verdana" w:hAnsi="Verdana" w:cs="Arial"/>
      <w:b/>
      <w:bCs/>
      <w:color w:val="1F497D"/>
      <w:sz w:val="22"/>
      <w:szCs w:val="26"/>
    </w:rPr>
  </w:style>
  <w:style w:type="character" w:customStyle="1" w:styleId="SubtitlesonPageChar">
    <w:name w:val="Subtitles on Page Char"/>
    <w:link w:val="SubtitlesonPage"/>
    <w:rsid w:val="00D466D4"/>
    <w:rPr>
      <w:rFonts w:ascii="Verdana" w:hAnsi="Verdana" w:cs="Arial"/>
      <w:b/>
      <w:bCs/>
      <w:color w:val="1F497D"/>
      <w:sz w:val="22"/>
      <w:szCs w:val="26"/>
    </w:rPr>
  </w:style>
  <w:style w:type="paragraph" w:customStyle="1" w:styleId="Sub-Headings">
    <w:name w:val="Sub-Headings"/>
    <w:link w:val="Sub-HeadingsChar"/>
    <w:qFormat/>
    <w:rsid w:val="00D466D4"/>
    <w:pPr>
      <w:spacing w:after="60"/>
    </w:pPr>
    <w:rPr>
      <w:rFonts w:ascii="Verdana" w:hAnsi="Verdana" w:cs="Arial"/>
      <w:b/>
      <w:bCs/>
      <w:color w:val="1F497D"/>
      <w:sz w:val="22"/>
      <w:szCs w:val="26"/>
    </w:rPr>
  </w:style>
  <w:style w:type="character" w:customStyle="1" w:styleId="Sub-HeadingsChar">
    <w:name w:val="Sub-Headings Char"/>
    <w:link w:val="Sub-Headings"/>
    <w:rsid w:val="00D466D4"/>
    <w:rPr>
      <w:rFonts w:ascii="Verdana" w:hAnsi="Verdana" w:cs="Arial"/>
      <w:b/>
      <w:bCs/>
      <w:color w:val="1F497D"/>
      <w:sz w:val="22"/>
      <w:szCs w:val="26"/>
    </w:rPr>
  </w:style>
  <w:style w:type="paragraph" w:customStyle="1" w:styleId="Objectives">
    <w:name w:val="Objectives"/>
    <w:basedOn w:val="Heading3"/>
    <w:link w:val="ObjectivesChar"/>
    <w:qFormat/>
    <w:rsid w:val="00D466D4"/>
    <w:pPr>
      <w:spacing w:after="60"/>
    </w:pPr>
    <w:rPr>
      <w:rFonts w:ascii="Verdana" w:hAnsi="Verdana"/>
      <w:color w:val="1F497D"/>
      <w:sz w:val="22"/>
    </w:rPr>
  </w:style>
  <w:style w:type="character" w:customStyle="1" w:styleId="ObjectivesChar">
    <w:name w:val="Objectives Char"/>
    <w:link w:val="Objectives"/>
    <w:rsid w:val="00D466D4"/>
    <w:rPr>
      <w:rFonts w:ascii="Verdana" w:hAnsi="Verdana" w:cs="Arial"/>
      <w:b/>
      <w:bCs/>
      <w:color w:val="1F497D"/>
      <w:sz w:val="22"/>
      <w:szCs w:val="26"/>
    </w:rPr>
  </w:style>
  <w:style w:type="paragraph" w:customStyle="1" w:styleId="FirstPageTitleText">
    <w:name w:val="First Page Title Text"/>
    <w:basedOn w:val="Normal"/>
    <w:qFormat/>
    <w:rsid w:val="00D466D4"/>
    <w:rPr>
      <w:rFonts w:ascii="Trebuchet MS" w:hAnsi="Trebuchet MS"/>
      <w:b/>
      <w:color w:val="183864"/>
      <w:sz w:val="44"/>
      <w:szCs w:val="72"/>
    </w:rPr>
  </w:style>
  <w:style w:type="character" w:customStyle="1" w:styleId="RolloverHeadingChar">
    <w:name w:val="Rollover Heading Char"/>
    <w:link w:val="RolloverHeading"/>
    <w:rsid w:val="00D466D4"/>
    <w:rPr>
      <w:rFonts w:ascii="Verdana" w:hAnsi="Verdana" w:cs="Arial"/>
      <w:b/>
      <w:color w:val="0000FF"/>
    </w:rPr>
  </w:style>
  <w:style w:type="character" w:customStyle="1" w:styleId="RolloverBulletChar">
    <w:name w:val="Rollover Bullet Char"/>
    <w:link w:val="RolloverBullet"/>
    <w:rsid w:val="00D466D4"/>
    <w:rPr>
      <w:rFonts w:ascii="Verdana" w:hAnsi="Verdana" w:cs="Arial"/>
      <w:color w:val="0000FF"/>
    </w:rPr>
  </w:style>
  <w:style w:type="paragraph" w:customStyle="1" w:styleId="ColorfulShading-Accent110">
    <w:name w:val="Colorful Shading - Accent 11"/>
    <w:hidden/>
    <w:uiPriority w:val="99"/>
    <w:semiHidden/>
    <w:rsid w:val="00380776"/>
    <w:rPr>
      <w:rFonts w:ascii="Verdana" w:hAnsi="Verdana" w:cs="Arial"/>
    </w:rPr>
  </w:style>
  <w:style w:type="character" w:customStyle="1" w:styleId="HeaderChar">
    <w:name w:val="Header Char"/>
    <w:link w:val="Header"/>
    <w:rsid w:val="00380776"/>
    <w:rPr>
      <w:rFonts w:ascii="Verdana" w:hAnsi="Verdana" w:cs="Arial"/>
    </w:rPr>
  </w:style>
  <w:style w:type="character" w:customStyle="1" w:styleId="Heading2Char">
    <w:name w:val="Heading 2 Char"/>
    <w:link w:val="Heading2"/>
    <w:rsid w:val="004344CA"/>
    <w:rPr>
      <w:rFonts w:ascii="Verdana" w:hAnsi="Verdana" w:cs="Arial"/>
      <w:b/>
      <w:bCs/>
      <w:iCs/>
      <w:color w:val="17365D"/>
      <w:sz w:val="28"/>
      <w:szCs w:val="12"/>
    </w:rPr>
  </w:style>
  <w:style w:type="character" w:customStyle="1" w:styleId="style11">
    <w:name w:val="style11"/>
    <w:rsid w:val="00C2790C"/>
    <w:rPr>
      <w:b/>
      <w:bCs/>
      <w:color w:val="FF0000"/>
    </w:rPr>
  </w:style>
  <w:style w:type="paragraph" w:customStyle="1" w:styleId="Heading-StudyTip">
    <w:name w:val="Heading - Study Tip"/>
    <w:qFormat/>
    <w:rsid w:val="00606109"/>
    <w:pPr>
      <w:keepNext/>
      <w:spacing w:before="120" w:after="60"/>
      <w:outlineLvl w:val="2"/>
    </w:pPr>
    <w:rPr>
      <w:rFonts w:ascii="Verdana" w:hAnsi="Verdana"/>
      <w:b/>
      <w:bCs/>
      <w:color w:val="993300"/>
    </w:rPr>
  </w:style>
  <w:style w:type="paragraph" w:customStyle="1" w:styleId="Bullet3">
    <w:name w:val="Bullet 3"/>
    <w:basedOn w:val="Normal"/>
    <w:rsid w:val="00DF0BEC"/>
    <w:pPr>
      <w:spacing w:before="0" w:after="0"/>
    </w:pPr>
    <w:rPr>
      <w:rFonts w:ascii="Arial" w:hAnsi="Arial" w:cs="Times New Roman"/>
      <w:sz w:val="24"/>
      <w:szCs w:val="24"/>
    </w:rPr>
  </w:style>
  <w:style w:type="paragraph" w:styleId="EndnoteText">
    <w:name w:val="endnote text"/>
    <w:basedOn w:val="Normal"/>
    <w:link w:val="EndnoteTextChar"/>
    <w:rsid w:val="00AC40A8"/>
    <w:rPr>
      <w:sz w:val="24"/>
      <w:szCs w:val="24"/>
    </w:rPr>
  </w:style>
  <w:style w:type="character" w:customStyle="1" w:styleId="EndnoteTextChar">
    <w:name w:val="Endnote Text Char"/>
    <w:link w:val="EndnoteText"/>
    <w:rsid w:val="00AC40A8"/>
    <w:rPr>
      <w:rFonts w:ascii="Verdana" w:hAnsi="Verdana" w:cs="Arial"/>
      <w:sz w:val="24"/>
      <w:szCs w:val="24"/>
    </w:rPr>
  </w:style>
  <w:style w:type="character" w:styleId="EndnoteReference">
    <w:name w:val="endnote reference"/>
    <w:rsid w:val="00AC40A8"/>
    <w:rPr>
      <w:vertAlign w:val="superscript"/>
    </w:rPr>
  </w:style>
  <w:style w:type="character" w:customStyle="1" w:styleId="FooterChar">
    <w:name w:val="Footer Char"/>
    <w:link w:val="Footer"/>
    <w:uiPriority w:val="99"/>
    <w:locked/>
    <w:rsid w:val="00A36D91"/>
    <w:rPr>
      <w:rFonts w:ascii="Verdana" w:hAnsi="Verdana" w:cs="Arial"/>
      <w:sz w:val="16"/>
    </w:rPr>
  </w:style>
  <w:style w:type="character" w:customStyle="1" w:styleId="BodyTextIndentChar">
    <w:name w:val="Body Text Indent Char"/>
    <w:link w:val="BodyTextIndent"/>
    <w:rsid w:val="00A8161C"/>
    <w:rPr>
      <w:rFonts w:ascii="Verdana" w:hAnsi="Verdana" w:cs="Arial"/>
    </w:rPr>
  </w:style>
  <w:style w:type="paragraph" w:styleId="ListParagraph">
    <w:name w:val="List Paragraph"/>
    <w:basedOn w:val="Normal"/>
    <w:uiPriority w:val="34"/>
    <w:qFormat/>
    <w:rsid w:val="00FE2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68858">
      <w:bodyDiv w:val="1"/>
      <w:marLeft w:val="0"/>
      <w:marRight w:val="0"/>
      <w:marTop w:val="0"/>
      <w:marBottom w:val="0"/>
      <w:divBdr>
        <w:top w:val="none" w:sz="0" w:space="0" w:color="auto"/>
        <w:left w:val="none" w:sz="0" w:space="0" w:color="auto"/>
        <w:bottom w:val="none" w:sz="0" w:space="0" w:color="auto"/>
        <w:right w:val="none" w:sz="0" w:space="0" w:color="auto"/>
      </w:divBdr>
      <w:divsChild>
        <w:div w:id="8927340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2669515">
              <w:marLeft w:val="0"/>
              <w:marRight w:val="0"/>
              <w:marTop w:val="0"/>
              <w:marBottom w:val="0"/>
              <w:divBdr>
                <w:top w:val="none" w:sz="0" w:space="0" w:color="auto"/>
                <w:left w:val="none" w:sz="0" w:space="0" w:color="auto"/>
                <w:bottom w:val="none" w:sz="0" w:space="0" w:color="auto"/>
                <w:right w:val="none" w:sz="0" w:space="0" w:color="auto"/>
              </w:divBdr>
              <w:divsChild>
                <w:div w:id="974916223">
                  <w:marLeft w:val="0"/>
                  <w:marRight w:val="0"/>
                  <w:marTop w:val="0"/>
                  <w:marBottom w:val="0"/>
                  <w:divBdr>
                    <w:top w:val="none" w:sz="0" w:space="0" w:color="auto"/>
                    <w:left w:val="none" w:sz="0" w:space="0" w:color="auto"/>
                    <w:bottom w:val="none" w:sz="0" w:space="0" w:color="auto"/>
                    <w:right w:val="none" w:sz="0" w:space="0" w:color="auto"/>
                  </w:divBdr>
                  <w:divsChild>
                    <w:div w:id="489907625">
                      <w:marLeft w:val="0"/>
                      <w:marRight w:val="0"/>
                      <w:marTop w:val="0"/>
                      <w:marBottom w:val="0"/>
                      <w:divBdr>
                        <w:top w:val="none" w:sz="0" w:space="0" w:color="auto"/>
                        <w:left w:val="none" w:sz="0" w:space="0" w:color="auto"/>
                        <w:bottom w:val="none" w:sz="0" w:space="0" w:color="auto"/>
                        <w:right w:val="none" w:sz="0" w:space="0" w:color="auto"/>
                      </w:divBdr>
                      <w:divsChild>
                        <w:div w:id="887842971">
                          <w:marLeft w:val="0"/>
                          <w:marRight w:val="0"/>
                          <w:marTop w:val="0"/>
                          <w:marBottom w:val="0"/>
                          <w:divBdr>
                            <w:top w:val="none" w:sz="0" w:space="0" w:color="auto"/>
                            <w:left w:val="none" w:sz="0" w:space="0" w:color="auto"/>
                            <w:bottom w:val="none" w:sz="0" w:space="0" w:color="auto"/>
                            <w:right w:val="none" w:sz="0" w:space="0" w:color="auto"/>
                          </w:divBdr>
                          <w:divsChild>
                            <w:div w:id="1372068520">
                              <w:marLeft w:val="0"/>
                              <w:marRight w:val="0"/>
                              <w:marTop w:val="0"/>
                              <w:marBottom w:val="0"/>
                              <w:divBdr>
                                <w:top w:val="none" w:sz="0" w:space="0" w:color="auto"/>
                                <w:left w:val="none" w:sz="0" w:space="0" w:color="auto"/>
                                <w:bottom w:val="none" w:sz="0" w:space="0" w:color="auto"/>
                                <w:right w:val="none" w:sz="0" w:space="0" w:color="auto"/>
                              </w:divBdr>
                              <w:divsChild>
                                <w:div w:id="1563101156">
                                  <w:marLeft w:val="0"/>
                                  <w:marRight w:val="0"/>
                                  <w:marTop w:val="0"/>
                                  <w:marBottom w:val="0"/>
                                  <w:divBdr>
                                    <w:top w:val="none" w:sz="0" w:space="0" w:color="auto"/>
                                    <w:left w:val="none" w:sz="0" w:space="0" w:color="auto"/>
                                    <w:bottom w:val="none" w:sz="0" w:space="0" w:color="auto"/>
                                    <w:right w:val="none" w:sz="0" w:space="0" w:color="auto"/>
                                  </w:divBdr>
                                  <w:divsChild>
                                    <w:div w:id="1943563774">
                                      <w:marLeft w:val="0"/>
                                      <w:marRight w:val="0"/>
                                      <w:marTop w:val="0"/>
                                      <w:marBottom w:val="0"/>
                                      <w:divBdr>
                                        <w:top w:val="none" w:sz="0" w:space="0" w:color="auto"/>
                                        <w:left w:val="none" w:sz="0" w:space="0" w:color="auto"/>
                                        <w:bottom w:val="none" w:sz="0" w:space="0" w:color="auto"/>
                                        <w:right w:val="none" w:sz="0" w:space="0" w:color="auto"/>
                                      </w:divBdr>
                                      <w:divsChild>
                                        <w:div w:id="1841312561">
                                          <w:marLeft w:val="0"/>
                                          <w:marRight w:val="0"/>
                                          <w:marTop w:val="0"/>
                                          <w:marBottom w:val="0"/>
                                          <w:divBdr>
                                            <w:top w:val="none" w:sz="0" w:space="0" w:color="auto"/>
                                            <w:left w:val="none" w:sz="0" w:space="0" w:color="auto"/>
                                            <w:bottom w:val="none" w:sz="0" w:space="0" w:color="auto"/>
                                            <w:right w:val="none" w:sz="0" w:space="0" w:color="auto"/>
                                          </w:divBdr>
                                          <w:divsChild>
                                            <w:div w:id="2953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070839">
      <w:bodyDiv w:val="1"/>
      <w:marLeft w:val="0"/>
      <w:marRight w:val="0"/>
      <w:marTop w:val="0"/>
      <w:marBottom w:val="0"/>
      <w:divBdr>
        <w:top w:val="none" w:sz="0" w:space="0" w:color="auto"/>
        <w:left w:val="none" w:sz="0" w:space="0" w:color="auto"/>
        <w:bottom w:val="none" w:sz="0" w:space="0" w:color="auto"/>
        <w:right w:val="none" w:sz="0" w:space="0" w:color="auto"/>
      </w:divBdr>
      <w:divsChild>
        <w:div w:id="430050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5999686">
              <w:marLeft w:val="0"/>
              <w:marRight w:val="0"/>
              <w:marTop w:val="0"/>
              <w:marBottom w:val="0"/>
              <w:divBdr>
                <w:top w:val="none" w:sz="0" w:space="0" w:color="auto"/>
                <w:left w:val="none" w:sz="0" w:space="0" w:color="auto"/>
                <w:bottom w:val="none" w:sz="0" w:space="0" w:color="auto"/>
                <w:right w:val="none" w:sz="0" w:space="0" w:color="auto"/>
              </w:divBdr>
              <w:divsChild>
                <w:div w:id="1700277504">
                  <w:marLeft w:val="0"/>
                  <w:marRight w:val="0"/>
                  <w:marTop w:val="0"/>
                  <w:marBottom w:val="0"/>
                  <w:divBdr>
                    <w:top w:val="none" w:sz="0" w:space="0" w:color="auto"/>
                    <w:left w:val="none" w:sz="0" w:space="0" w:color="auto"/>
                    <w:bottom w:val="none" w:sz="0" w:space="0" w:color="auto"/>
                    <w:right w:val="none" w:sz="0" w:space="0" w:color="auto"/>
                  </w:divBdr>
                  <w:divsChild>
                    <w:div w:id="13971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14854">
      <w:bodyDiv w:val="1"/>
      <w:marLeft w:val="0"/>
      <w:marRight w:val="0"/>
      <w:marTop w:val="0"/>
      <w:marBottom w:val="0"/>
      <w:divBdr>
        <w:top w:val="none" w:sz="0" w:space="0" w:color="auto"/>
        <w:left w:val="none" w:sz="0" w:space="0" w:color="auto"/>
        <w:bottom w:val="none" w:sz="0" w:space="0" w:color="auto"/>
        <w:right w:val="none" w:sz="0" w:space="0" w:color="auto"/>
      </w:divBdr>
      <w:divsChild>
        <w:div w:id="19647285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6182587">
              <w:marLeft w:val="0"/>
              <w:marRight w:val="0"/>
              <w:marTop w:val="0"/>
              <w:marBottom w:val="0"/>
              <w:divBdr>
                <w:top w:val="none" w:sz="0" w:space="0" w:color="auto"/>
                <w:left w:val="none" w:sz="0" w:space="0" w:color="auto"/>
                <w:bottom w:val="none" w:sz="0" w:space="0" w:color="auto"/>
                <w:right w:val="none" w:sz="0" w:space="0" w:color="auto"/>
              </w:divBdr>
              <w:divsChild>
                <w:div w:id="1172913548">
                  <w:marLeft w:val="0"/>
                  <w:marRight w:val="0"/>
                  <w:marTop w:val="0"/>
                  <w:marBottom w:val="0"/>
                  <w:divBdr>
                    <w:top w:val="none" w:sz="0" w:space="0" w:color="auto"/>
                    <w:left w:val="none" w:sz="0" w:space="0" w:color="auto"/>
                    <w:bottom w:val="none" w:sz="0" w:space="0" w:color="auto"/>
                    <w:right w:val="none" w:sz="0" w:space="0" w:color="auto"/>
                  </w:divBdr>
                  <w:divsChild>
                    <w:div w:id="493766309">
                      <w:marLeft w:val="0"/>
                      <w:marRight w:val="0"/>
                      <w:marTop w:val="0"/>
                      <w:marBottom w:val="0"/>
                      <w:divBdr>
                        <w:top w:val="none" w:sz="0" w:space="0" w:color="auto"/>
                        <w:left w:val="none" w:sz="0" w:space="0" w:color="auto"/>
                        <w:bottom w:val="none" w:sz="0" w:space="0" w:color="auto"/>
                        <w:right w:val="none" w:sz="0" w:space="0" w:color="auto"/>
                      </w:divBdr>
                      <w:divsChild>
                        <w:div w:id="519583395">
                          <w:marLeft w:val="0"/>
                          <w:marRight w:val="0"/>
                          <w:marTop w:val="0"/>
                          <w:marBottom w:val="0"/>
                          <w:divBdr>
                            <w:top w:val="none" w:sz="0" w:space="0" w:color="auto"/>
                            <w:left w:val="none" w:sz="0" w:space="0" w:color="auto"/>
                            <w:bottom w:val="none" w:sz="0" w:space="0" w:color="auto"/>
                            <w:right w:val="none" w:sz="0" w:space="0" w:color="auto"/>
                          </w:divBdr>
                          <w:divsChild>
                            <w:div w:id="929506694">
                              <w:marLeft w:val="0"/>
                              <w:marRight w:val="0"/>
                              <w:marTop w:val="0"/>
                              <w:marBottom w:val="0"/>
                              <w:divBdr>
                                <w:top w:val="none" w:sz="0" w:space="0" w:color="auto"/>
                                <w:left w:val="none" w:sz="0" w:space="0" w:color="auto"/>
                                <w:bottom w:val="none" w:sz="0" w:space="0" w:color="auto"/>
                                <w:right w:val="none" w:sz="0" w:space="0" w:color="auto"/>
                              </w:divBdr>
                              <w:divsChild>
                                <w:div w:id="2091076281">
                                  <w:marLeft w:val="0"/>
                                  <w:marRight w:val="0"/>
                                  <w:marTop w:val="0"/>
                                  <w:marBottom w:val="0"/>
                                  <w:divBdr>
                                    <w:top w:val="none" w:sz="0" w:space="0" w:color="auto"/>
                                    <w:left w:val="none" w:sz="0" w:space="0" w:color="auto"/>
                                    <w:bottom w:val="none" w:sz="0" w:space="0" w:color="auto"/>
                                    <w:right w:val="none" w:sz="0" w:space="0" w:color="auto"/>
                                  </w:divBdr>
                                  <w:divsChild>
                                    <w:div w:id="1463228127">
                                      <w:marLeft w:val="0"/>
                                      <w:marRight w:val="0"/>
                                      <w:marTop w:val="0"/>
                                      <w:marBottom w:val="0"/>
                                      <w:divBdr>
                                        <w:top w:val="none" w:sz="0" w:space="0" w:color="auto"/>
                                        <w:left w:val="none" w:sz="0" w:space="0" w:color="auto"/>
                                        <w:bottom w:val="none" w:sz="0" w:space="0" w:color="auto"/>
                                        <w:right w:val="none" w:sz="0" w:space="0" w:color="auto"/>
                                      </w:divBdr>
                                      <w:divsChild>
                                        <w:div w:id="419912789">
                                          <w:marLeft w:val="0"/>
                                          <w:marRight w:val="0"/>
                                          <w:marTop w:val="0"/>
                                          <w:marBottom w:val="0"/>
                                          <w:divBdr>
                                            <w:top w:val="none" w:sz="0" w:space="0" w:color="auto"/>
                                            <w:left w:val="none" w:sz="0" w:space="0" w:color="auto"/>
                                            <w:bottom w:val="none" w:sz="0" w:space="0" w:color="auto"/>
                                            <w:right w:val="none" w:sz="0" w:space="0" w:color="auto"/>
                                          </w:divBdr>
                                          <w:divsChild>
                                            <w:div w:id="1101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144902">
      <w:bodyDiv w:val="1"/>
      <w:marLeft w:val="0"/>
      <w:marRight w:val="0"/>
      <w:marTop w:val="0"/>
      <w:marBottom w:val="0"/>
      <w:divBdr>
        <w:top w:val="none" w:sz="0" w:space="0" w:color="auto"/>
        <w:left w:val="none" w:sz="0" w:space="0" w:color="auto"/>
        <w:bottom w:val="none" w:sz="0" w:space="0" w:color="auto"/>
        <w:right w:val="none" w:sz="0" w:space="0" w:color="auto"/>
      </w:divBdr>
      <w:divsChild>
        <w:div w:id="2016760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1320030">
              <w:marLeft w:val="0"/>
              <w:marRight w:val="0"/>
              <w:marTop w:val="0"/>
              <w:marBottom w:val="0"/>
              <w:divBdr>
                <w:top w:val="none" w:sz="0" w:space="0" w:color="auto"/>
                <w:left w:val="none" w:sz="0" w:space="0" w:color="auto"/>
                <w:bottom w:val="none" w:sz="0" w:space="0" w:color="auto"/>
                <w:right w:val="none" w:sz="0" w:space="0" w:color="auto"/>
              </w:divBdr>
              <w:divsChild>
                <w:div w:id="2005157540">
                  <w:marLeft w:val="0"/>
                  <w:marRight w:val="0"/>
                  <w:marTop w:val="0"/>
                  <w:marBottom w:val="0"/>
                  <w:divBdr>
                    <w:top w:val="none" w:sz="0" w:space="0" w:color="auto"/>
                    <w:left w:val="none" w:sz="0" w:space="0" w:color="auto"/>
                    <w:bottom w:val="none" w:sz="0" w:space="0" w:color="auto"/>
                    <w:right w:val="none" w:sz="0" w:space="0" w:color="auto"/>
                  </w:divBdr>
                  <w:divsChild>
                    <w:div w:id="6924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069150">
      <w:bodyDiv w:val="1"/>
      <w:marLeft w:val="0"/>
      <w:marRight w:val="0"/>
      <w:marTop w:val="0"/>
      <w:marBottom w:val="0"/>
      <w:divBdr>
        <w:top w:val="none" w:sz="0" w:space="0" w:color="auto"/>
        <w:left w:val="none" w:sz="0" w:space="0" w:color="auto"/>
        <w:bottom w:val="none" w:sz="0" w:space="0" w:color="auto"/>
        <w:right w:val="none" w:sz="0" w:space="0" w:color="auto"/>
      </w:divBdr>
      <w:divsChild>
        <w:div w:id="14402221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5275237">
              <w:marLeft w:val="0"/>
              <w:marRight w:val="0"/>
              <w:marTop w:val="0"/>
              <w:marBottom w:val="0"/>
              <w:divBdr>
                <w:top w:val="none" w:sz="0" w:space="0" w:color="auto"/>
                <w:left w:val="none" w:sz="0" w:space="0" w:color="auto"/>
                <w:bottom w:val="none" w:sz="0" w:space="0" w:color="auto"/>
                <w:right w:val="none" w:sz="0" w:space="0" w:color="auto"/>
              </w:divBdr>
              <w:divsChild>
                <w:div w:id="640306217">
                  <w:marLeft w:val="0"/>
                  <w:marRight w:val="0"/>
                  <w:marTop w:val="0"/>
                  <w:marBottom w:val="0"/>
                  <w:divBdr>
                    <w:top w:val="none" w:sz="0" w:space="0" w:color="auto"/>
                    <w:left w:val="none" w:sz="0" w:space="0" w:color="auto"/>
                    <w:bottom w:val="none" w:sz="0" w:space="0" w:color="auto"/>
                    <w:right w:val="none" w:sz="0" w:space="0" w:color="auto"/>
                  </w:divBdr>
                  <w:divsChild>
                    <w:div w:id="6958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431414">
      <w:bodyDiv w:val="1"/>
      <w:marLeft w:val="0"/>
      <w:marRight w:val="0"/>
      <w:marTop w:val="0"/>
      <w:marBottom w:val="0"/>
      <w:divBdr>
        <w:top w:val="none" w:sz="0" w:space="0" w:color="auto"/>
        <w:left w:val="none" w:sz="0" w:space="0" w:color="auto"/>
        <w:bottom w:val="none" w:sz="0" w:space="0" w:color="auto"/>
        <w:right w:val="none" w:sz="0" w:space="0" w:color="auto"/>
      </w:divBdr>
      <w:divsChild>
        <w:div w:id="2026324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7155">
      <w:bodyDiv w:val="1"/>
      <w:marLeft w:val="0"/>
      <w:marRight w:val="0"/>
      <w:marTop w:val="0"/>
      <w:marBottom w:val="0"/>
      <w:divBdr>
        <w:top w:val="none" w:sz="0" w:space="0" w:color="auto"/>
        <w:left w:val="none" w:sz="0" w:space="0" w:color="auto"/>
        <w:bottom w:val="none" w:sz="0" w:space="0" w:color="auto"/>
        <w:right w:val="none" w:sz="0" w:space="0" w:color="auto"/>
      </w:divBdr>
    </w:div>
    <w:div w:id="1301809669">
      <w:bodyDiv w:val="1"/>
      <w:marLeft w:val="0"/>
      <w:marRight w:val="0"/>
      <w:marTop w:val="0"/>
      <w:marBottom w:val="0"/>
      <w:divBdr>
        <w:top w:val="none" w:sz="0" w:space="0" w:color="auto"/>
        <w:left w:val="none" w:sz="0" w:space="0" w:color="auto"/>
        <w:bottom w:val="none" w:sz="0" w:space="0" w:color="auto"/>
        <w:right w:val="none" w:sz="0" w:space="0" w:color="auto"/>
      </w:divBdr>
      <w:divsChild>
        <w:div w:id="511196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00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6355">
      <w:bodyDiv w:val="1"/>
      <w:marLeft w:val="0"/>
      <w:marRight w:val="0"/>
      <w:marTop w:val="0"/>
      <w:marBottom w:val="0"/>
      <w:divBdr>
        <w:top w:val="none" w:sz="0" w:space="0" w:color="auto"/>
        <w:left w:val="none" w:sz="0" w:space="0" w:color="auto"/>
        <w:bottom w:val="none" w:sz="0" w:space="0" w:color="auto"/>
        <w:right w:val="none" w:sz="0" w:space="0" w:color="auto"/>
      </w:divBdr>
      <w:divsChild>
        <w:div w:id="375785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0723733">
              <w:marLeft w:val="0"/>
              <w:marRight w:val="0"/>
              <w:marTop w:val="0"/>
              <w:marBottom w:val="0"/>
              <w:divBdr>
                <w:top w:val="none" w:sz="0" w:space="0" w:color="auto"/>
                <w:left w:val="none" w:sz="0" w:space="0" w:color="auto"/>
                <w:bottom w:val="none" w:sz="0" w:space="0" w:color="auto"/>
                <w:right w:val="none" w:sz="0" w:space="0" w:color="auto"/>
              </w:divBdr>
              <w:divsChild>
                <w:div w:id="1933313987">
                  <w:marLeft w:val="0"/>
                  <w:marRight w:val="0"/>
                  <w:marTop w:val="0"/>
                  <w:marBottom w:val="0"/>
                  <w:divBdr>
                    <w:top w:val="none" w:sz="0" w:space="0" w:color="auto"/>
                    <w:left w:val="none" w:sz="0" w:space="0" w:color="auto"/>
                    <w:bottom w:val="none" w:sz="0" w:space="0" w:color="auto"/>
                    <w:right w:val="none" w:sz="0" w:space="0" w:color="auto"/>
                  </w:divBdr>
                  <w:divsChild>
                    <w:div w:id="1606376741">
                      <w:marLeft w:val="0"/>
                      <w:marRight w:val="0"/>
                      <w:marTop w:val="0"/>
                      <w:marBottom w:val="0"/>
                      <w:divBdr>
                        <w:top w:val="none" w:sz="0" w:space="0" w:color="auto"/>
                        <w:left w:val="none" w:sz="0" w:space="0" w:color="auto"/>
                        <w:bottom w:val="none" w:sz="0" w:space="0" w:color="auto"/>
                        <w:right w:val="none" w:sz="0" w:space="0" w:color="auto"/>
                      </w:divBdr>
                      <w:divsChild>
                        <w:div w:id="1009060991">
                          <w:marLeft w:val="0"/>
                          <w:marRight w:val="0"/>
                          <w:marTop w:val="0"/>
                          <w:marBottom w:val="0"/>
                          <w:divBdr>
                            <w:top w:val="none" w:sz="0" w:space="0" w:color="auto"/>
                            <w:left w:val="none" w:sz="0" w:space="0" w:color="auto"/>
                            <w:bottom w:val="none" w:sz="0" w:space="0" w:color="auto"/>
                            <w:right w:val="none" w:sz="0" w:space="0" w:color="auto"/>
                          </w:divBdr>
                          <w:divsChild>
                            <w:div w:id="1508791543">
                              <w:marLeft w:val="0"/>
                              <w:marRight w:val="0"/>
                              <w:marTop w:val="0"/>
                              <w:marBottom w:val="0"/>
                              <w:divBdr>
                                <w:top w:val="none" w:sz="0" w:space="0" w:color="auto"/>
                                <w:left w:val="none" w:sz="0" w:space="0" w:color="auto"/>
                                <w:bottom w:val="none" w:sz="0" w:space="0" w:color="auto"/>
                                <w:right w:val="none" w:sz="0" w:space="0" w:color="auto"/>
                              </w:divBdr>
                              <w:divsChild>
                                <w:div w:id="1063068109">
                                  <w:marLeft w:val="0"/>
                                  <w:marRight w:val="0"/>
                                  <w:marTop w:val="0"/>
                                  <w:marBottom w:val="0"/>
                                  <w:divBdr>
                                    <w:top w:val="none" w:sz="0" w:space="0" w:color="auto"/>
                                    <w:left w:val="none" w:sz="0" w:space="0" w:color="auto"/>
                                    <w:bottom w:val="none" w:sz="0" w:space="0" w:color="auto"/>
                                    <w:right w:val="none" w:sz="0" w:space="0" w:color="auto"/>
                                  </w:divBdr>
                                  <w:divsChild>
                                    <w:div w:id="1478643616">
                                      <w:marLeft w:val="0"/>
                                      <w:marRight w:val="0"/>
                                      <w:marTop w:val="0"/>
                                      <w:marBottom w:val="0"/>
                                      <w:divBdr>
                                        <w:top w:val="none" w:sz="0" w:space="0" w:color="auto"/>
                                        <w:left w:val="none" w:sz="0" w:space="0" w:color="auto"/>
                                        <w:bottom w:val="none" w:sz="0" w:space="0" w:color="auto"/>
                                        <w:right w:val="none" w:sz="0" w:space="0" w:color="auto"/>
                                      </w:divBdr>
                                      <w:divsChild>
                                        <w:div w:id="369380016">
                                          <w:marLeft w:val="0"/>
                                          <w:marRight w:val="0"/>
                                          <w:marTop w:val="0"/>
                                          <w:marBottom w:val="0"/>
                                          <w:divBdr>
                                            <w:top w:val="none" w:sz="0" w:space="0" w:color="auto"/>
                                            <w:left w:val="none" w:sz="0" w:space="0" w:color="auto"/>
                                            <w:bottom w:val="none" w:sz="0" w:space="0" w:color="auto"/>
                                            <w:right w:val="none" w:sz="0" w:space="0" w:color="auto"/>
                                          </w:divBdr>
                                          <w:divsChild>
                                            <w:div w:id="9339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9210000">
      <w:bodyDiv w:val="1"/>
      <w:marLeft w:val="0"/>
      <w:marRight w:val="0"/>
      <w:marTop w:val="0"/>
      <w:marBottom w:val="0"/>
      <w:divBdr>
        <w:top w:val="none" w:sz="0" w:space="0" w:color="auto"/>
        <w:left w:val="none" w:sz="0" w:space="0" w:color="auto"/>
        <w:bottom w:val="none" w:sz="0" w:space="0" w:color="auto"/>
        <w:right w:val="none" w:sz="0" w:space="0" w:color="auto"/>
      </w:divBdr>
      <w:divsChild>
        <w:div w:id="191989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984809">
      <w:bodyDiv w:val="1"/>
      <w:marLeft w:val="0"/>
      <w:marRight w:val="0"/>
      <w:marTop w:val="0"/>
      <w:marBottom w:val="0"/>
      <w:divBdr>
        <w:top w:val="none" w:sz="0" w:space="0" w:color="auto"/>
        <w:left w:val="none" w:sz="0" w:space="0" w:color="auto"/>
        <w:bottom w:val="none" w:sz="0" w:space="0" w:color="auto"/>
        <w:right w:val="none" w:sz="0" w:space="0" w:color="auto"/>
      </w:divBdr>
      <w:divsChild>
        <w:div w:id="1755390857">
          <w:marLeft w:val="0"/>
          <w:marRight w:val="0"/>
          <w:marTop w:val="0"/>
          <w:marBottom w:val="0"/>
          <w:divBdr>
            <w:top w:val="none" w:sz="0" w:space="0" w:color="auto"/>
            <w:left w:val="none" w:sz="0" w:space="0" w:color="auto"/>
            <w:bottom w:val="none" w:sz="0" w:space="0" w:color="auto"/>
            <w:right w:val="none" w:sz="0" w:space="0" w:color="auto"/>
          </w:divBdr>
          <w:divsChild>
            <w:div w:id="316693380">
              <w:marLeft w:val="0"/>
              <w:marRight w:val="0"/>
              <w:marTop w:val="0"/>
              <w:marBottom w:val="0"/>
              <w:divBdr>
                <w:top w:val="none" w:sz="0" w:space="0" w:color="auto"/>
                <w:left w:val="none" w:sz="0" w:space="0" w:color="auto"/>
                <w:bottom w:val="none" w:sz="0" w:space="0" w:color="auto"/>
                <w:right w:val="none" w:sz="0" w:space="0" w:color="auto"/>
              </w:divBdr>
              <w:divsChild>
                <w:div w:id="19866581">
                  <w:marLeft w:val="0"/>
                  <w:marRight w:val="0"/>
                  <w:marTop w:val="0"/>
                  <w:marBottom w:val="0"/>
                  <w:divBdr>
                    <w:top w:val="none" w:sz="0" w:space="0" w:color="auto"/>
                    <w:left w:val="none" w:sz="0" w:space="0" w:color="auto"/>
                    <w:bottom w:val="none" w:sz="0" w:space="0" w:color="auto"/>
                    <w:right w:val="none" w:sz="0" w:space="0" w:color="auto"/>
                  </w:divBdr>
                  <w:divsChild>
                    <w:div w:id="1875575281">
                      <w:marLeft w:val="0"/>
                      <w:marRight w:val="0"/>
                      <w:marTop w:val="0"/>
                      <w:marBottom w:val="0"/>
                      <w:divBdr>
                        <w:top w:val="none" w:sz="0" w:space="0" w:color="auto"/>
                        <w:left w:val="none" w:sz="0" w:space="0" w:color="auto"/>
                        <w:bottom w:val="none" w:sz="0" w:space="0" w:color="auto"/>
                        <w:right w:val="none" w:sz="0" w:space="0" w:color="auto"/>
                      </w:divBdr>
                    </w:div>
                  </w:divsChild>
                </w:div>
                <w:div w:id="75786285">
                  <w:marLeft w:val="0"/>
                  <w:marRight w:val="0"/>
                  <w:marTop w:val="0"/>
                  <w:marBottom w:val="0"/>
                  <w:divBdr>
                    <w:top w:val="none" w:sz="0" w:space="0" w:color="auto"/>
                    <w:left w:val="none" w:sz="0" w:space="0" w:color="auto"/>
                    <w:bottom w:val="none" w:sz="0" w:space="0" w:color="auto"/>
                    <w:right w:val="none" w:sz="0" w:space="0" w:color="auto"/>
                  </w:divBdr>
                  <w:divsChild>
                    <w:div w:id="1581018383">
                      <w:marLeft w:val="0"/>
                      <w:marRight w:val="0"/>
                      <w:marTop w:val="0"/>
                      <w:marBottom w:val="0"/>
                      <w:divBdr>
                        <w:top w:val="none" w:sz="0" w:space="0" w:color="auto"/>
                        <w:left w:val="none" w:sz="0" w:space="0" w:color="auto"/>
                        <w:bottom w:val="none" w:sz="0" w:space="0" w:color="auto"/>
                        <w:right w:val="none" w:sz="0" w:space="0" w:color="auto"/>
                      </w:divBdr>
                    </w:div>
                  </w:divsChild>
                </w:div>
                <w:div w:id="78672542">
                  <w:marLeft w:val="0"/>
                  <w:marRight w:val="0"/>
                  <w:marTop w:val="0"/>
                  <w:marBottom w:val="0"/>
                  <w:divBdr>
                    <w:top w:val="none" w:sz="0" w:space="0" w:color="auto"/>
                    <w:left w:val="none" w:sz="0" w:space="0" w:color="auto"/>
                    <w:bottom w:val="none" w:sz="0" w:space="0" w:color="auto"/>
                    <w:right w:val="none" w:sz="0" w:space="0" w:color="auto"/>
                  </w:divBdr>
                  <w:divsChild>
                    <w:div w:id="1881362137">
                      <w:marLeft w:val="0"/>
                      <w:marRight w:val="0"/>
                      <w:marTop w:val="0"/>
                      <w:marBottom w:val="0"/>
                      <w:divBdr>
                        <w:top w:val="none" w:sz="0" w:space="0" w:color="auto"/>
                        <w:left w:val="none" w:sz="0" w:space="0" w:color="auto"/>
                        <w:bottom w:val="none" w:sz="0" w:space="0" w:color="auto"/>
                        <w:right w:val="none" w:sz="0" w:space="0" w:color="auto"/>
                      </w:divBdr>
                    </w:div>
                  </w:divsChild>
                </w:div>
                <w:div w:id="113325946">
                  <w:marLeft w:val="0"/>
                  <w:marRight w:val="0"/>
                  <w:marTop w:val="0"/>
                  <w:marBottom w:val="0"/>
                  <w:divBdr>
                    <w:top w:val="none" w:sz="0" w:space="0" w:color="auto"/>
                    <w:left w:val="none" w:sz="0" w:space="0" w:color="auto"/>
                    <w:bottom w:val="none" w:sz="0" w:space="0" w:color="auto"/>
                    <w:right w:val="none" w:sz="0" w:space="0" w:color="auto"/>
                  </w:divBdr>
                  <w:divsChild>
                    <w:div w:id="2140881685">
                      <w:marLeft w:val="0"/>
                      <w:marRight w:val="0"/>
                      <w:marTop w:val="0"/>
                      <w:marBottom w:val="0"/>
                      <w:divBdr>
                        <w:top w:val="none" w:sz="0" w:space="0" w:color="auto"/>
                        <w:left w:val="none" w:sz="0" w:space="0" w:color="auto"/>
                        <w:bottom w:val="none" w:sz="0" w:space="0" w:color="auto"/>
                        <w:right w:val="none" w:sz="0" w:space="0" w:color="auto"/>
                      </w:divBdr>
                    </w:div>
                  </w:divsChild>
                </w:div>
                <w:div w:id="135877524">
                  <w:marLeft w:val="0"/>
                  <w:marRight w:val="0"/>
                  <w:marTop w:val="0"/>
                  <w:marBottom w:val="0"/>
                  <w:divBdr>
                    <w:top w:val="none" w:sz="0" w:space="0" w:color="auto"/>
                    <w:left w:val="none" w:sz="0" w:space="0" w:color="auto"/>
                    <w:bottom w:val="none" w:sz="0" w:space="0" w:color="auto"/>
                    <w:right w:val="none" w:sz="0" w:space="0" w:color="auto"/>
                  </w:divBdr>
                  <w:divsChild>
                    <w:div w:id="1266038374">
                      <w:marLeft w:val="0"/>
                      <w:marRight w:val="0"/>
                      <w:marTop w:val="0"/>
                      <w:marBottom w:val="0"/>
                      <w:divBdr>
                        <w:top w:val="none" w:sz="0" w:space="0" w:color="auto"/>
                        <w:left w:val="none" w:sz="0" w:space="0" w:color="auto"/>
                        <w:bottom w:val="none" w:sz="0" w:space="0" w:color="auto"/>
                        <w:right w:val="none" w:sz="0" w:space="0" w:color="auto"/>
                      </w:divBdr>
                    </w:div>
                  </w:divsChild>
                </w:div>
                <w:div w:id="137503990">
                  <w:marLeft w:val="0"/>
                  <w:marRight w:val="0"/>
                  <w:marTop w:val="0"/>
                  <w:marBottom w:val="0"/>
                  <w:divBdr>
                    <w:top w:val="none" w:sz="0" w:space="0" w:color="auto"/>
                    <w:left w:val="none" w:sz="0" w:space="0" w:color="auto"/>
                    <w:bottom w:val="none" w:sz="0" w:space="0" w:color="auto"/>
                    <w:right w:val="none" w:sz="0" w:space="0" w:color="auto"/>
                  </w:divBdr>
                  <w:divsChild>
                    <w:div w:id="1331105883">
                      <w:marLeft w:val="0"/>
                      <w:marRight w:val="0"/>
                      <w:marTop w:val="0"/>
                      <w:marBottom w:val="0"/>
                      <w:divBdr>
                        <w:top w:val="none" w:sz="0" w:space="0" w:color="auto"/>
                        <w:left w:val="none" w:sz="0" w:space="0" w:color="auto"/>
                        <w:bottom w:val="none" w:sz="0" w:space="0" w:color="auto"/>
                        <w:right w:val="none" w:sz="0" w:space="0" w:color="auto"/>
                      </w:divBdr>
                    </w:div>
                  </w:divsChild>
                </w:div>
                <w:div w:id="142358866">
                  <w:marLeft w:val="0"/>
                  <w:marRight w:val="0"/>
                  <w:marTop w:val="0"/>
                  <w:marBottom w:val="0"/>
                  <w:divBdr>
                    <w:top w:val="none" w:sz="0" w:space="0" w:color="auto"/>
                    <w:left w:val="none" w:sz="0" w:space="0" w:color="auto"/>
                    <w:bottom w:val="none" w:sz="0" w:space="0" w:color="auto"/>
                    <w:right w:val="none" w:sz="0" w:space="0" w:color="auto"/>
                  </w:divBdr>
                  <w:divsChild>
                    <w:div w:id="2083870996">
                      <w:marLeft w:val="0"/>
                      <w:marRight w:val="0"/>
                      <w:marTop w:val="0"/>
                      <w:marBottom w:val="0"/>
                      <w:divBdr>
                        <w:top w:val="none" w:sz="0" w:space="0" w:color="auto"/>
                        <w:left w:val="none" w:sz="0" w:space="0" w:color="auto"/>
                        <w:bottom w:val="none" w:sz="0" w:space="0" w:color="auto"/>
                        <w:right w:val="none" w:sz="0" w:space="0" w:color="auto"/>
                      </w:divBdr>
                    </w:div>
                  </w:divsChild>
                </w:div>
                <w:div w:id="142934871">
                  <w:marLeft w:val="0"/>
                  <w:marRight w:val="0"/>
                  <w:marTop w:val="0"/>
                  <w:marBottom w:val="0"/>
                  <w:divBdr>
                    <w:top w:val="none" w:sz="0" w:space="0" w:color="auto"/>
                    <w:left w:val="none" w:sz="0" w:space="0" w:color="auto"/>
                    <w:bottom w:val="none" w:sz="0" w:space="0" w:color="auto"/>
                    <w:right w:val="none" w:sz="0" w:space="0" w:color="auto"/>
                  </w:divBdr>
                  <w:divsChild>
                    <w:div w:id="1228766057">
                      <w:marLeft w:val="0"/>
                      <w:marRight w:val="0"/>
                      <w:marTop w:val="0"/>
                      <w:marBottom w:val="0"/>
                      <w:divBdr>
                        <w:top w:val="none" w:sz="0" w:space="0" w:color="auto"/>
                        <w:left w:val="none" w:sz="0" w:space="0" w:color="auto"/>
                        <w:bottom w:val="none" w:sz="0" w:space="0" w:color="auto"/>
                        <w:right w:val="none" w:sz="0" w:space="0" w:color="auto"/>
                      </w:divBdr>
                    </w:div>
                  </w:divsChild>
                </w:div>
                <w:div w:id="176384873">
                  <w:marLeft w:val="0"/>
                  <w:marRight w:val="0"/>
                  <w:marTop w:val="0"/>
                  <w:marBottom w:val="0"/>
                  <w:divBdr>
                    <w:top w:val="none" w:sz="0" w:space="0" w:color="auto"/>
                    <w:left w:val="none" w:sz="0" w:space="0" w:color="auto"/>
                    <w:bottom w:val="none" w:sz="0" w:space="0" w:color="auto"/>
                    <w:right w:val="none" w:sz="0" w:space="0" w:color="auto"/>
                  </w:divBdr>
                  <w:divsChild>
                    <w:div w:id="13002579">
                      <w:marLeft w:val="0"/>
                      <w:marRight w:val="0"/>
                      <w:marTop w:val="0"/>
                      <w:marBottom w:val="0"/>
                      <w:divBdr>
                        <w:top w:val="none" w:sz="0" w:space="0" w:color="auto"/>
                        <w:left w:val="none" w:sz="0" w:space="0" w:color="auto"/>
                        <w:bottom w:val="none" w:sz="0" w:space="0" w:color="auto"/>
                        <w:right w:val="none" w:sz="0" w:space="0" w:color="auto"/>
                      </w:divBdr>
                    </w:div>
                  </w:divsChild>
                </w:div>
                <w:div w:id="253823232">
                  <w:marLeft w:val="0"/>
                  <w:marRight w:val="0"/>
                  <w:marTop w:val="0"/>
                  <w:marBottom w:val="0"/>
                  <w:divBdr>
                    <w:top w:val="none" w:sz="0" w:space="0" w:color="auto"/>
                    <w:left w:val="none" w:sz="0" w:space="0" w:color="auto"/>
                    <w:bottom w:val="none" w:sz="0" w:space="0" w:color="auto"/>
                    <w:right w:val="none" w:sz="0" w:space="0" w:color="auto"/>
                  </w:divBdr>
                  <w:divsChild>
                    <w:div w:id="45185843">
                      <w:marLeft w:val="0"/>
                      <w:marRight w:val="0"/>
                      <w:marTop w:val="0"/>
                      <w:marBottom w:val="0"/>
                      <w:divBdr>
                        <w:top w:val="none" w:sz="0" w:space="0" w:color="auto"/>
                        <w:left w:val="none" w:sz="0" w:space="0" w:color="auto"/>
                        <w:bottom w:val="none" w:sz="0" w:space="0" w:color="auto"/>
                        <w:right w:val="none" w:sz="0" w:space="0" w:color="auto"/>
                      </w:divBdr>
                    </w:div>
                  </w:divsChild>
                </w:div>
                <w:div w:id="282152184">
                  <w:marLeft w:val="0"/>
                  <w:marRight w:val="0"/>
                  <w:marTop w:val="0"/>
                  <w:marBottom w:val="0"/>
                  <w:divBdr>
                    <w:top w:val="none" w:sz="0" w:space="0" w:color="auto"/>
                    <w:left w:val="none" w:sz="0" w:space="0" w:color="auto"/>
                    <w:bottom w:val="none" w:sz="0" w:space="0" w:color="auto"/>
                    <w:right w:val="none" w:sz="0" w:space="0" w:color="auto"/>
                  </w:divBdr>
                  <w:divsChild>
                    <w:div w:id="1141656815">
                      <w:marLeft w:val="0"/>
                      <w:marRight w:val="0"/>
                      <w:marTop w:val="0"/>
                      <w:marBottom w:val="0"/>
                      <w:divBdr>
                        <w:top w:val="none" w:sz="0" w:space="0" w:color="auto"/>
                        <w:left w:val="none" w:sz="0" w:space="0" w:color="auto"/>
                        <w:bottom w:val="none" w:sz="0" w:space="0" w:color="auto"/>
                        <w:right w:val="none" w:sz="0" w:space="0" w:color="auto"/>
                      </w:divBdr>
                    </w:div>
                  </w:divsChild>
                </w:div>
                <w:div w:id="314797151">
                  <w:marLeft w:val="0"/>
                  <w:marRight w:val="0"/>
                  <w:marTop w:val="0"/>
                  <w:marBottom w:val="0"/>
                  <w:divBdr>
                    <w:top w:val="none" w:sz="0" w:space="0" w:color="auto"/>
                    <w:left w:val="none" w:sz="0" w:space="0" w:color="auto"/>
                    <w:bottom w:val="none" w:sz="0" w:space="0" w:color="auto"/>
                    <w:right w:val="none" w:sz="0" w:space="0" w:color="auto"/>
                  </w:divBdr>
                  <w:divsChild>
                    <w:div w:id="849098990">
                      <w:marLeft w:val="0"/>
                      <w:marRight w:val="0"/>
                      <w:marTop w:val="0"/>
                      <w:marBottom w:val="0"/>
                      <w:divBdr>
                        <w:top w:val="none" w:sz="0" w:space="0" w:color="auto"/>
                        <w:left w:val="none" w:sz="0" w:space="0" w:color="auto"/>
                        <w:bottom w:val="none" w:sz="0" w:space="0" w:color="auto"/>
                        <w:right w:val="none" w:sz="0" w:space="0" w:color="auto"/>
                      </w:divBdr>
                    </w:div>
                  </w:divsChild>
                </w:div>
                <w:div w:id="341590722">
                  <w:marLeft w:val="0"/>
                  <w:marRight w:val="0"/>
                  <w:marTop w:val="0"/>
                  <w:marBottom w:val="0"/>
                  <w:divBdr>
                    <w:top w:val="none" w:sz="0" w:space="0" w:color="auto"/>
                    <w:left w:val="none" w:sz="0" w:space="0" w:color="auto"/>
                    <w:bottom w:val="none" w:sz="0" w:space="0" w:color="auto"/>
                    <w:right w:val="none" w:sz="0" w:space="0" w:color="auto"/>
                  </w:divBdr>
                  <w:divsChild>
                    <w:div w:id="1226648056">
                      <w:marLeft w:val="0"/>
                      <w:marRight w:val="0"/>
                      <w:marTop w:val="0"/>
                      <w:marBottom w:val="0"/>
                      <w:divBdr>
                        <w:top w:val="none" w:sz="0" w:space="0" w:color="auto"/>
                        <w:left w:val="none" w:sz="0" w:space="0" w:color="auto"/>
                        <w:bottom w:val="none" w:sz="0" w:space="0" w:color="auto"/>
                        <w:right w:val="none" w:sz="0" w:space="0" w:color="auto"/>
                      </w:divBdr>
                    </w:div>
                  </w:divsChild>
                </w:div>
                <w:div w:id="361976516">
                  <w:marLeft w:val="0"/>
                  <w:marRight w:val="0"/>
                  <w:marTop w:val="0"/>
                  <w:marBottom w:val="0"/>
                  <w:divBdr>
                    <w:top w:val="none" w:sz="0" w:space="0" w:color="auto"/>
                    <w:left w:val="none" w:sz="0" w:space="0" w:color="auto"/>
                    <w:bottom w:val="none" w:sz="0" w:space="0" w:color="auto"/>
                    <w:right w:val="none" w:sz="0" w:space="0" w:color="auto"/>
                  </w:divBdr>
                  <w:divsChild>
                    <w:div w:id="495925553">
                      <w:marLeft w:val="0"/>
                      <w:marRight w:val="0"/>
                      <w:marTop w:val="0"/>
                      <w:marBottom w:val="0"/>
                      <w:divBdr>
                        <w:top w:val="none" w:sz="0" w:space="0" w:color="auto"/>
                        <w:left w:val="none" w:sz="0" w:space="0" w:color="auto"/>
                        <w:bottom w:val="none" w:sz="0" w:space="0" w:color="auto"/>
                        <w:right w:val="none" w:sz="0" w:space="0" w:color="auto"/>
                      </w:divBdr>
                    </w:div>
                  </w:divsChild>
                </w:div>
                <w:div w:id="383141387">
                  <w:marLeft w:val="0"/>
                  <w:marRight w:val="0"/>
                  <w:marTop w:val="0"/>
                  <w:marBottom w:val="0"/>
                  <w:divBdr>
                    <w:top w:val="none" w:sz="0" w:space="0" w:color="auto"/>
                    <w:left w:val="none" w:sz="0" w:space="0" w:color="auto"/>
                    <w:bottom w:val="none" w:sz="0" w:space="0" w:color="auto"/>
                    <w:right w:val="none" w:sz="0" w:space="0" w:color="auto"/>
                  </w:divBdr>
                  <w:divsChild>
                    <w:div w:id="223954276">
                      <w:marLeft w:val="0"/>
                      <w:marRight w:val="0"/>
                      <w:marTop w:val="0"/>
                      <w:marBottom w:val="0"/>
                      <w:divBdr>
                        <w:top w:val="none" w:sz="0" w:space="0" w:color="auto"/>
                        <w:left w:val="none" w:sz="0" w:space="0" w:color="auto"/>
                        <w:bottom w:val="none" w:sz="0" w:space="0" w:color="auto"/>
                        <w:right w:val="none" w:sz="0" w:space="0" w:color="auto"/>
                      </w:divBdr>
                    </w:div>
                  </w:divsChild>
                </w:div>
                <w:div w:id="389235210">
                  <w:marLeft w:val="0"/>
                  <w:marRight w:val="0"/>
                  <w:marTop w:val="0"/>
                  <w:marBottom w:val="0"/>
                  <w:divBdr>
                    <w:top w:val="none" w:sz="0" w:space="0" w:color="auto"/>
                    <w:left w:val="none" w:sz="0" w:space="0" w:color="auto"/>
                    <w:bottom w:val="none" w:sz="0" w:space="0" w:color="auto"/>
                    <w:right w:val="none" w:sz="0" w:space="0" w:color="auto"/>
                  </w:divBdr>
                  <w:divsChild>
                    <w:div w:id="1120491073">
                      <w:marLeft w:val="0"/>
                      <w:marRight w:val="0"/>
                      <w:marTop w:val="0"/>
                      <w:marBottom w:val="0"/>
                      <w:divBdr>
                        <w:top w:val="none" w:sz="0" w:space="0" w:color="auto"/>
                        <w:left w:val="none" w:sz="0" w:space="0" w:color="auto"/>
                        <w:bottom w:val="none" w:sz="0" w:space="0" w:color="auto"/>
                        <w:right w:val="none" w:sz="0" w:space="0" w:color="auto"/>
                      </w:divBdr>
                    </w:div>
                  </w:divsChild>
                </w:div>
                <w:div w:id="390882822">
                  <w:marLeft w:val="0"/>
                  <w:marRight w:val="0"/>
                  <w:marTop w:val="0"/>
                  <w:marBottom w:val="0"/>
                  <w:divBdr>
                    <w:top w:val="none" w:sz="0" w:space="0" w:color="auto"/>
                    <w:left w:val="none" w:sz="0" w:space="0" w:color="auto"/>
                    <w:bottom w:val="none" w:sz="0" w:space="0" w:color="auto"/>
                    <w:right w:val="none" w:sz="0" w:space="0" w:color="auto"/>
                  </w:divBdr>
                  <w:divsChild>
                    <w:div w:id="2056809190">
                      <w:marLeft w:val="0"/>
                      <w:marRight w:val="0"/>
                      <w:marTop w:val="0"/>
                      <w:marBottom w:val="0"/>
                      <w:divBdr>
                        <w:top w:val="none" w:sz="0" w:space="0" w:color="auto"/>
                        <w:left w:val="none" w:sz="0" w:space="0" w:color="auto"/>
                        <w:bottom w:val="none" w:sz="0" w:space="0" w:color="auto"/>
                        <w:right w:val="none" w:sz="0" w:space="0" w:color="auto"/>
                      </w:divBdr>
                    </w:div>
                  </w:divsChild>
                </w:div>
                <w:div w:id="401176718">
                  <w:marLeft w:val="0"/>
                  <w:marRight w:val="0"/>
                  <w:marTop w:val="0"/>
                  <w:marBottom w:val="0"/>
                  <w:divBdr>
                    <w:top w:val="none" w:sz="0" w:space="0" w:color="auto"/>
                    <w:left w:val="none" w:sz="0" w:space="0" w:color="auto"/>
                    <w:bottom w:val="none" w:sz="0" w:space="0" w:color="auto"/>
                    <w:right w:val="none" w:sz="0" w:space="0" w:color="auto"/>
                  </w:divBdr>
                  <w:divsChild>
                    <w:div w:id="1614482653">
                      <w:marLeft w:val="0"/>
                      <w:marRight w:val="0"/>
                      <w:marTop w:val="0"/>
                      <w:marBottom w:val="0"/>
                      <w:divBdr>
                        <w:top w:val="none" w:sz="0" w:space="0" w:color="auto"/>
                        <w:left w:val="none" w:sz="0" w:space="0" w:color="auto"/>
                        <w:bottom w:val="none" w:sz="0" w:space="0" w:color="auto"/>
                        <w:right w:val="none" w:sz="0" w:space="0" w:color="auto"/>
                      </w:divBdr>
                    </w:div>
                  </w:divsChild>
                </w:div>
                <w:div w:id="403063656">
                  <w:marLeft w:val="0"/>
                  <w:marRight w:val="0"/>
                  <w:marTop w:val="0"/>
                  <w:marBottom w:val="0"/>
                  <w:divBdr>
                    <w:top w:val="none" w:sz="0" w:space="0" w:color="auto"/>
                    <w:left w:val="none" w:sz="0" w:space="0" w:color="auto"/>
                    <w:bottom w:val="none" w:sz="0" w:space="0" w:color="auto"/>
                    <w:right w:val="none" w:sz="0" w:space="0" w:color="auto"/>
                  </w:divBdr>
                  <w:divsChild>
                    <w:div w:id="745960130">
                      <w:marLeft w:val="0"/>
                      <w:marRight w:val="0"/>
                      <w:marTop w:val="0"/>
                      <w:marBottom w:val="0"/>
                      <w:divBdr>
                        <w:top w:val="none" w:sz="0" w:space="0" w:color="auto"/>
                        <w:left w:val="none" w:sz="0" w:space="0" w:color="auto"/>
                        <w:bottom w:val="none" w:sz="0" w:space="0" w:color="auto"/>
                        <w:right w:val="none" w:sz="0" w:space="0" w:color="auto"/>
                      </w:divBdr>
                    </w:div>
                  </w:divsChild>
                </w:div>
                <w:div w:id="412053133">
                  <w:marLeft w:val="0"/>
                  <w:marRight w:val="0"/>
                  <w:marTop w:val="0"/>
                  <w:marBottom w:val="0"/>
                  <w:divBdr>
                    <w:top w:val="none" w:sz="0" w:space="0" w:color="auto"/>
                    <w:left w:val="none" w:sz="0" w:space="0" w:color="auto"/>
                    <w:bottom w:val="none" w:sz="0" w:space="0" w:color="auto"/>
                    <w:right w:val="none" w:sz="0" w:space="0" w:color="auto"/>
                  </w:divBdr>
                  <w:divsChild>
                    <w:div w:id="1100101940">
                      <w:marLeft w:val="0"/>
                      <w:marRight w:val="0"/>
                      <w:marTop w:val="0"/>
                      <w:marBottom w:val="0"/>
                      <w:divBdr>
                        <w:top w:val="none" w:sz="0" w:space="0" w:color="auto"/>
                        <w:left w:val="none" w:sz="0" w:space="0" w:color="auto"/>
                        <w:bottom w:val="none" w:sz="0" w:space="0" w:color="auto"/>
                        <w:right w:val="none" w:sz="0" w:space="0" w:color="auto"/>
                      </w:divBdr>
                    </w:div>
                  </w:divsChild>
                </w:div>
                <w:div w:id="448595898">
                  <w:marLeft w:val="0"/>
                  <w:marRight w:val="0"/>
                  <w:marTop w:val="0"/>
                  <w:marBottom w:val="0"/>
                  <w:divBdr>
                    <w:top w:val="none" w:sz="0" w:space="0" w:color="auto"/>
                    <w:left w:val="none" w:sz="0" w:space="0" w:color="auto"/>
                    <w:bottom w:val="none" w:sz="0" w:space="0" w:color="auto"/>
                    <w:right w:val="none" w:sz="0" w:space="0" w:color="auto"/>
                  </w:divBdr>
                  <w:divsChild>
                    <w:div w:id="2002273205">
                      <w:marLeft w:val="0"/>
                      <w:marRight w:val="0"/>
                      <w:marTop w:val="0"/>
                      <w:marBottom w:val="0"/>
                      <w:divBdr>
                        <w:top w:val="none" w:sz="0" w:space="0" w:color="auto"/>
                        <w:left w:val="none" w:sz="0" w:space="0" w:color="auto"/>
                        <w:bottom w:val="none" w:sz="0" w:space="0" w:color="auto"/>
                        <w:right w:val="none" w:sz="0" w:space="0" w:color="auto"/>
                      </w:divBdr>
                    </w:div>
                  </w:divsChild>
                </w:div>
                <w:div w:id="469520257">
                  <w:marLeft w:val="0"/>
                  <w:marRight w:val="0"/>
                  <w:marTop w:val="0"/>
                  <w:marBottom w:val="0"/>
                  <w:divBdr>
                    <w:top w:val="none" w:sz="0" w:space="0" w:color="auto"/>
                    <w:left w:val="none" w:sz="0" w:space="0" w:color="auto"/>
                    <w:bottom w:val="none" w:sz="0" w:space="0" w:color="auto"/>
                    <w:right w:val="none" w:sz="0" w:space="0" w:color="auto"/>
                  </w:divBdr>
                  <w:divsChild>
                    <w:div w:id="1983197471">
                      <w:marLeft w:val="0"/>
                      <w:marRight w:val="0"/>
                      <w:marTop w:val="0"/>
                      <w:marBottom w:val="0"/>
                      <w:divBdr>
                        <w:top w:val="none" w:sz="0" w:space="0" w:color="auto"/>
                        <w:left w:val="none" w:sz="0" w:space="0" w:color="auto"/>
                        <w:bottom w:val="none" w:sz="0" w:space="0" w:color="auto"/>
                        <w:right w:val="none" w:sz="0" w:space="0" w:color="auto"/>
                      </w:divBdr>
                    </w:div>
                  </w:divsChild>
                </w:div>
                <w:div w:id="488641641">
                  <w:marLeft w:val="0"/>
                  <w:marRight w:val="0"/>
                  <w:marTop w:val="0"/>
                  <w:marBottom w:val="0"/>
                  <w:divBdr>
                    <w:top w:val="none" w:sz="0" w:space="0" w:color="auto"/>
                    <w:left w:val="none" w:sz="0" w:space="0" w:color="auto"/>
                    <w:bottom w:val="none" w:sz="0" w:space="0" w:color="auto"/>
                    <w:right w:val="none" w:sz="0" w:space="0" w:color="auto"/>
                  </w:divBdr>
                  <w:divsChild>
                    <w:div w:id="908879133">
                      <w:marLeft w:val="0"/>
                      <w:marRight w:val="0"/>
                      <w:marTop w:val="0"/>
                      <w:marBottom w:val="0"/>
                      <w:divBdr>
                        <w:top w:val="none" w:sz="0" w:space="0" w:color="auto"/>
                        <w:left w:val="none" w:sz="0" w:space="0" w:color="auto"/>
                        <w:bottom w:val="none" w:sz="0" w:space="0" w:color="auto"/>
                        <w:right w:val="none" w:sz="0" w:space="0" w:color="auto"/>
                      </w:divBdr>
                    </w:div>
                  </w:divsChild>
                </w:div>
                <w:div w:id="510531954">
                  <w:marLeft w:val="0"/>
                  <w:marRight w:val="0"/>
                  <w:marTop w:val="0"/>
                  <w:marBottom w:val="0"/>
                  <w:divBdr>
                    <w:top w:val="none" w:sz="0" w:space="0" w:color="auto"/>
                    <w:left w:val="none" w:sz="0" w:space="0" w:color="auto"/>
                    <w:bottom w:val="none" w:sz="0" w:space="0" w:color="auto"/>
                    <w:right w:val="none" w:sz="0" w:space="0" w:color="auto"/>
                  </w:divBdr>
                  <w:divsChild>
                    <w:div w:id="1139415910">
                      <w:marLeft w:val="0"/>
                      <w:marRight w:val="0"/>
                      <w:marTop w:val="0"/>
                      <w:marBottom w:val="0"/>
                      <w:divBdr>
                        <w:top w:val="none" w:sz="0" w:space="0" w:color="auto"/>
                        <w:left w:val="none" w:sz="0" w:space="0" w:color="auto"/>
                        <w:bottom w:val="none" w:sz="0" w:space="0" w:color="auto"/>
                        <w:right w:val="none" w:sz="0" w:space="0" w:color="auto"/>
                      </w:divBdr>
                    </w:div>
                  </w:divsChild>
                </w:div>
                <w:div w:id="516848589">
                  <w:marLeft w:val="0"/>
                  <w:marRight w:val="0"/>
                  <w:marTop w:val="0"/>
                  <w:marBottom w:val="0"/>
                  <w:divBdr>
                    <w:top w:val="none" w:sz="0" w:space="0" w:color="auto"/>
                    <w:left w:val="none" w:sz="0" w:space="0" w:color="auto"/>
                    <w:bottom w:val="none" w:sz="0" w:space="0" w:color="auto"/>
                    <w:right w:val="none" w:sz="0" w:space="0" w:color="auto"/>
                  </w:divBdr>
                  <w:divsChild>
                    <w:div w:id="999238169">
                      <w:marLeft w:val="0"/>
                      <w:marRight w:val="0"/>
                      <w:marTop w:val="0"/>
                      <w:marBottom w:val="0"/>
                      <w:divBdr>
                        <w:top w:val="none" w:sz="0" w:space="0" w:color="auto"/>
                        <w:left w:val="none" w:sz="0" w:space="0" w:color="auto"/>
                        <w:bottom w:val="none" w:sz="0" w:space="0" w:color="auto"/>
                        <w:right w:val="none" w:sz="0" w:space="0" w:color="auto"/>
                      </w:divBdr>
                    </w:div>
                  </w:divsChild>
                </w:div>
                <w:div w:id="543324611">
                  <w:marLeft w:val="0"/>
                  <w:marRight w:val="0"/>
                  <w:marTop w:val="0"/>
                  <w:marBottom w:val="0"/>
                  <w:divBdr>
                    <w:top w:val="none" w:sz="0" w:space="0" w:color="auto"/>
                    <w:left w:val="none" w:sz="0" w:space="0" w:color="auto"/>
                    <w:bottom w:val="none" w:sz="0" w:space="0" w:color="auto"/>
                    <w:right w:val="none" w:sz="0" w:space="0" w:color="auto"/>
                  </w:divBdr>
                  <w:divsChild>
                    <w:div w:id="386757381">
                      <w:marLeft w:val="0"/>
                      <w:marRight w:val="0"/>
                      <w:marTop w:val="0"/>
                      <w:marBottom w:val="0"/>
                      <w:divBdr>
                        <w:top w:val="none" w:sz="0" w:space="0" w:color="auto"/>
                        <w:left w:val="none" w:sz="0" w:space="0" w:color="auto"/>
                        <w:bottom w:val="none" w:sz="0" w:space="0" w:color="auto"/>
                        <w:right w:val="none" w:sz="0" w:space="0" w:color="auto"/>
                      </w:divBdr>
                    </w:div>
                  </w:divsChild>
                </w:div>
                <w:div w:id="589698591">
                  <w:marLeft w:val="0"/>
                  <w:marRight w:val="0"/>
                  <w:marTop w:val="0"/>
                  <w:marBottom w:val="0"/>
                  <w:divBdr>
                    <w:top w:val="none" w:sz="0" w:space="0" w:color="auto"/>
                    <w:left w:val="none" w:sz="0" w:space="0" w:color="auto"/>
                    <w:bottom w:val="none" w:sz="0" w:space="0" w:color="auto"/>
                    <w:right w:val="none" w:sz="0" w:space="0" w:color="auto"/>
                  </w:divBdr>
                  <w:divsChild>
                    <w:div w:id="1052458346">
                      <w:marLeft w:val="0"/>
                      <w:marRight w:val="0"/>
                      <w:marTop w:val="0"/>
                      <w:marBottom w:val="0"/>
                      <w:divBdr>
                        <w:top w:val="none" w:sz="0" w:space="0" w:color="auto"/>
                        <w:left w:val="none" w:sz="0" w:space="0" w:color="auto"/>
                        <w:bottom w:val="none" w:sz="0" w:space="0" w:color="auto"/>
                        <w:right w:val="none" w:sz="0" w:space="0" w:color="auto"/>
                      </w:divBdr>
                    </w:div>
                  </w:divsChild>
                </w:div>
                <w:div w:id="621376541">
                  <w:marLeft w:val="0"/>
                  <w:marRight w:val="0"/>
                  <w:marTop w:val="0"/>
                  <w:marBottom w:val="0"/>
                  <w:divBdr>
                    <w:top w:val="none" w:sz="0" w:space="0" w:color="auto"/>
                    <w:left w:val="none" w:sz="0" w:space="0" w:color="auto"/>
                    <w:bottom w:val="none" w:sz="0" w:space="0" w:color="auto"/>
                    <w:right w:val="none" w:sz="0" w:space="0" w:color="auto"/>
                  </w:divBdr>
                  <w:divsChild>
                    <w:div w:id="1086419560">
                      <w:marLeft w:val="0"/>
                      <w:marRight w:val="0"/>
                      <w:marTop w:val="0"/>
                      <w:marBottom w:val="0"/>
                      <w:divBdr>
                        <w:top w:val="none" w:sz="0" w:space="0" w:color="auto"/>
                        <w:left w:val="none" w:sz="0" w:space="0" w:color="auto"/>
                        <w:bottom w:val="none" w:sz="0" w:space="0" w:color="auto"/>
                        <w:right w:val="none" w:sz="0" w:space="0" w:color="auto"/>
                      </w:divBdr>
                    </w:div>
                  </w:divsChild>
                </w:div>
                <w:div w:id="647443500">
                  <w:marLeft w:val="0"/>
                  <w:marRight w:val="0"/>
                  <w:marTop w:val="0"/>
                  <w:marBottom w:val="0"/>
                  <w:divBdr>
                    <w:top w:val="none" w:sz="0" w:space="0" w:color="auto"/>
                    <w:left w:val="none" w:sz="0" w:space="0" w:color="auto"/>
                    <w:bottom w:val="none" w:sz="0" w:space="0" w:color="auto"/>
                    <w:right w:val="none" w:sz="0" w:space="0" w:color="auto"/>
                  </w:divBdr>
                  <w:divsChild>
                    <w:div w:id="1648826270">
                      <w:marLeft w:val="0"/>
                      <w:marRight w:val="0"/>
                      <w:marTop w:val="0"/>
                      <w:marBottom w:val="0"/>
                      <w:divBdr>
                        <w:top w:val="none" w:sz="0" w:space="0" w:color="auto"/>
                        <w:left w:val="none" w:sz="0" w:space="0" w:color="auto"/>
                        <w:bottom w:val="none" w:sz="0" w:space="0" w:color="auto"/>
                        <w:right w:val="none" w:sz="0" w:space="0" w:color="auto"/>
                      </w:divBdr>
                    </w:div>
                  </w:divsChild>
                </w:div>
                <w:div w:id="654648119">
                  <w:marLeft w:val="0"/>
                  <w:marRight w:val="0"/>
                  <w:marTop w:val="0"/>
                  <w:marBottom w:val="0"/>
                  <w:divBdr>
                    <w:top w:val="none" w:sz="0" w:space="0" w:color="auto"/>
                    <w:left w:val="none" w:sz="0" w:space="0" w:color="auto"/>
                    <w:bottom w:val="none" w:sz="0" w:space="0" w:color="auto"/>
                    <w:right w:val="none" w:sz="0" w:space="0" w:color="auto"/>
                  </w:divBdr>
                  <w:divsChild>
                    <w:div w:id="888691779">
                      <w:marLeft w:val="0"/>
                      <w:marRight w:val="0"/>
                      <w:marTop w:val="0"/>
                      <w:marBottom w:val="0"/>
                      <w:divBdr>
                        <w:top w:val="none" w:sz="0" w:space="0" w:color="auto"/>
                        <w:left w:val="none" w:sz="0" w:space="0" w:color="auto"/>
                        <w:bottom w:val="none" w:sz="0" w:space="0" w:color="auto"/>
                        <w:right w:val="none" w:sz="0" w:space="0" w:color="auto"/>
                      </w:divBdr>
                    </w:div>
                  </w:divsChild>
                </w:div>
                <w:div w:id="660813607">
                  <w:marLeft w:val="0"/>
                  <w:marRight w:val="0"/>
                  <w:marTop w:val="0"/>
                  <w:marBottom w:val="0"/>
                  <w:divBdr>
                    <w:top w:val="none" w:sz="0" w:space="0" w:color="auto"/>
                    <w:left w:val="none" w:sz="0" w:space="0" w:color="auto"/>
                    <w:bottom w:val="none" w:sz="0" w:space="0" w:color="auto"/>
                    <w:right w:val="none" w:sz="0" w:space="0" w:color="auto"/>
                  </w:divBdr>
                  <w:divsChild>
                    <w:div w:id="329722353">
                      <w:marLeft w:val="0"/>
                      <w:marRight w:val="0"/>
                      <w:marTop w:val="0"/>
                      <w:marBottom w:val="0"/>
                      <w:divBdr>
                        <w:top w:val="none" w:sz="0" w:space="0" w:color="auto"/>
                        <w:left w:val="none" w:sz="0" w:space="0" w:color="auto"/>
                        <w:bottom w:val="none" w:sz="0" w:space="0" w:color="auto"/>
                        <w:right w:val="none" w:sz="0" w:space="0" w:color="auto"/>
                      </w:divBdr>
                    </w:div>
                  </w:divsChild>
                </w:div>
                <w:div w:id="663898784">
                  <w:marLeft w:val="0"/>
                  <w:marRight w:val="0"/>
                  <w:marTop w:val="0"/>
                  <w:marBottom w:val="0"/>
                  <w:divBdr>
                    <w:top w:val="none" w:sz="0" w:space="0" w:color="auto"/>
                    <w:left w:val="none" w:sz="0" w:space="0" w:color="auto"/>
                    <w:bottom w:val="none" w:sz="0" w:space="0" w:color="auto"/>
                    <w:right w:val="none" w:sz="0" w:space="0" w:color="auto"/>
                  </w:divBdr>
                  <w:divsChild>
                    <w:div w:id="660305809">
                      <w:marLeft w:val="0"/>
                      <w:marRight w:val="0"/>
                      <w:marTop w:val="0"/>
                      <w:marBottom w:val="0"/>
                      <w:divBdr>
                        <w:top w:val="none" w:sz="0" w:space="0" w:color="auto"/>
                        <w:left w:val="none" w:sz="0" w:space="0" w:color="auto"/>
                        <w:bottom w:val="none" w:sz="0" w:space="0" w:color="auto"/>
                        <w:right w:val="none" w:sz="0" w:space="0" w:color="auto"/>
                      </w:divBdr>
                    </w:div>
                  </w:divsChild>
                </w:div>
                <w:div w:id="729308519">
                  <w:marLeft w:val="0"/>
                  <w:marRight w:val="0"/>
                  <w:marTop w:val="0"/>
                  <w:marBottom w:val="0"/>
                  <w:divBdr>
                    <w:top w:val="none" w:sz="0" w:space="0" w:color="auto"/>
                    <w:left w:val="none" w:sz="0" w:space="0" w:color="auto"/>
                    <w:bottom w:val="none" w:sz="0" w:space="0" w:color="auto"/>
                    <w:right w:val="none" w:sz="0" w:space="0" w:color="auto"/>
                  </w:divBdr>
                  <w:divsChild>
                    <w:div w:id="1502426767">
                      <w:marLeft w:val="0"/>
                      <w:marRight w:val="0"/>
                      <w:marTop w:val="0"/>
                      <w:marBottom w:val="0"/>
                      <w:divBdr>
                        <w:top w:val="none" w:sz="0" w:space="0" w:color="auto"/>
                        <w:left w:val="none" w:sz="0" w:space="0" w:color="auto"/>
                        <w:bottom w:val="none" w:sz="0" w:space="0" w:color="auto"/>
                        <w:right w:val="none" w:sz="0" w:space="0" w:color="auto"/>
                      </w:divBdr>
                    </w:div>
                  </w:divsChild>
                </w:div>
                <w:div w:id="765082344">
                  <w:marLeft w:val="0"/>
                  <w:marRight w:val="0"/>
                  <w:marTop w:val="0"/>
                  <w:marBottom w:val="0"/>
                  <w:divBdr>
                    <w:top w:val="none" w:sz="0" w:space="0" w:color="auto"/>
                    <w:left w:val="none" w:sz="0" w:space="0" w:color="auto"/>
                    <w:bottom w:val="none" w:sz="0" w:space="0" w:color="auto"/>
                    <w:right w:val="none" w:sz="0" w:space="0" w:color="auto"/>
                  </w:divBdr>
                  <w:divsChild>
                    <w:div w:id="1973173567">
                      <w:marLeft w:val="0"/>
                      <w:marRight w:val="0"/>
                      <w:marTop w:val="0"/>
                      <w:marBottom w:val="0"/>
                      <w:divBdr>
                        <w:top w:val="none" w:sz="0" w:space="0" w:color="auto"/>
                        <w:left w:val="none" w:sz="0" w:space="0" w:color="auto"/>
                        <w:bottom w:val="none" w:sz="0" w:space="0" w:color="auto"/>
                        <w:right w:val="none" w:sz="0" w:space="0" w:color="auto"/>
                      </w:divBdr>
                    </w:div>
                  </w:divsChild>
                </w:div>
                <w:div w:id="842280661">
                  <w:marLeft w:val="0"/>
                  <w:marRight w:val="0"/>
                  <w:marTop w:val="0"/>
                  <w:marBottom w:val="0"/>
                  <w:divBdr>
                    <w:top w:val="none" w:sz="0" w:space="0" w:color="auto"/>
                    <w:left w:val="none" w:sz="0" w:space="0" w:color="auto"/>
                    <w:bottom w:val="none" w:sz="0" w:space="0" w:color="auto"/>
                    <w:right w:val="none" w:sz="0" w:space="0" w:color="auto"/>
                  </w:divBdr>
                  <w:divsChild>
                    <w:div w:id="1004359483">
                      <w:marLeft w:val="0"/>
                      <w:marRight w:val="0"/>
                      <w:marTop w:val="0"/>
                      <w:marBottom w:val="0"/>
                      <w:divBdr>
                        <w:top w:val="none" w:sz="0" w:space="0" w:color="auto"/>
                        <w:left w:val="none" w:sz="0" w:space="0" w:color="auto"/>
                        <w:bottom w:val="none" w:sz="0" w:space="0" w:color="auto"/>
                        <w:right w:val="none" w:sz="0" w:space="0" w:color="auto"/>
                      </w:divBdr>
                    </w:div>
                  </w:divsChild>
                </w:div>
                <w:div w:id="855269241">
                  <w:marLeft w:val="0"/>
                  <w:marRight w:val="0"/>
                  <w:marTop w:val="0"/>
                  <w:marBottom w:val="0"/>
                  <w:divBdr>
                    <w:top w:val="none" w:sz="0" w:space="0" w:color="auto"/>
                    <w:left w:val="none" w:sz="0" w:space="0" w:color="auto"/>
                    <w:bottom w:val="none" w:sz="0" w:space="0" w:color="auto"/>
                    <w:right w:val="none" w:sz="0" w:space="0" w:color="auto"/>
                  </w:divBdr>
                  <w:divsChild>
                    <w:div w:id="1643457840">
                      <w:marLeft w:val="0"/>
                      <w:marRight w:val="0"/>
                      <w:marTop w:val="0"/>
                      <w:marBottom w:val="0"/>
                      <w:divBdr>
                        <w:top w:val="none" w:sz="0" w:space="0" w:color="auto"/>
                        <w:left w:val="none" w:sz="0" w:space="0" w:color="auto"/>
                        <w:bottom w:val="none" w:sz="0" w:space="0" w:color="auto"/>
                        <w:right w:val="none" w:sz="0" w:space="0" w:color="auto"/>
                      </w:divBdr>
                    </w:div>
                  </w:divsChild>
                </w:div>
                <w:div w:id="859396031">
                  <w:marLeft w:val="0"/>
                  <w:marRight w:val="0"/>
                  <w:marTop w:val="0"/>
                  <w:marBottom w:val="0"/>
                  <w:divBdr>
                    <w:top w:val="none" w:sz="0" w:space="0" w:color="auto"/>
                    <w:left w:val="none" w:sz="0" w:space="0" w:color="auto"/>
                    <w:bottom w:val="none" w:sz="0" w:space="0" w:color="auto"/>
                    <w:right w:val="none" w:sz="0" w:space="0" w:color="auto"/>
                  </w:divBdr>
                  <w:divsChild>
                    <w:div w:id="312294018">
                      <w:marLeft w:val="0"/>
                      <w:marRight w:val="0"/>
                      <w:marTop w:val="0"/>
                      <w:marBottom w:val="0"/>
                      <w:divBdr>
                        <w:top w:val="none" w:sz="0" w:space="0" w:color="auto"/>
                        <w:left w:val="none" w:sz="0" w:space="0" w:color="auto"/>
                        <w:bottom w:val="none" w:sz="0" w:space="0" w:color="auto"/>
                        <w:right w:val="none" w:sz="0" w:space="0" w:color="auto"/>
                      </w:divBdr>
                    </w:div>
                  </w:divsChild>
                </w:div>
                <w:div w:id="872381068">
                  <w:marLeft w:val="0"/>
                  <w:marRight w:val="0"/>
                  <w:marTop w:val="0"/>
                  <w:marBottom w:val="0"/>
                  <w:divBdr>
                    <w:top w:val="none" w:sz="0" w:space="0" w:color="auto"/>
                    <w:left w:val="none" w:sz="0" w:space="0" w:color="auto"/>
                    <w:bottom w:val="none" w:sz="0" w:space="0" w:color="auto"/>
                    <w:right w:val="none" w:sz="0" w:space="0" w:color="auto"/>
                  </w:divBdr>
                  <w:divsChild>
                    <w:div w:id="169373585">
                      <w:marLeft w:val="0"/>
                      <w:marRight w:val="0"/>
                      <w:marTop w:val="0"/>
                      <w:marBottom w:val="0"/>
                      <w:divBdr>
                        <w:top w:val="none" w:sz="0" w:space="0" w:color="auto"/>
                        <w:left w:val="none" w:sz="0" w:space="0" w:color="auto"/>
                        <w:bottom w:val="none" w:sz="0" w:space="0" w:color="auto"/>
                        <w:right w:val="none" w:sz="0" w:space="0" w:color="auto"/>
                      </w:divBdr>
                    </w:div>
                  </w:divsChild>
                </w:div>
                <w:div w:id="886374598">
                  <w:marLeft w:val="0"/>
                  <w:marRight w:val="0"/>
                  <w:marTop w:val="0"/>
                  <w:marBottom w:val="0"/>
                  <w:divBdr>
                    <w:top w:val="none" w:sz="0" w:space="0" w:color="auto"/>
                    <w:left w:val="none" w:sz="0" w:space="0" w:color="auto"/>
                    <w:bottom w:val="none" w:sz="0" w:space="0" w:color="auto"/>
                    <w:right w:val="none" w:sz="0" w:space="0" w:color="auto"/>
                  </w:divBdr>
                  <w:divsChild>
                    <w:div w:id="423498251">
                      <w:marLeft w:val="0"/>
                      <w:marRight w:val="0"/>
                      <w:marTop w:val="0"/>
                      <w:marBottom w:val="0"/>
                      <w:divBdr>
                        <w:top w:val="none" w:sz="0" w:space="0" w:color="auto"/>
                        <w:left w:val="none" w:sz="0" w:space="0" w:color="auto"/>
                        <w:bottom w:val="none" w:sz="0" w:space="0" w:color="auto"/>
                        <w:right w:val="none" w:sz="0" w:space="0" w:color="auto"/>
                      </w:divBdr>
                    </w:div>
                  </w:divsChild>
                </w:div>
                <w:div w:id="917861178">
                  <w:marLeft w:val="0"/>
                  <w:marRight w:val="0"/>
                  <w:marTop w:val="0"/>
                  <w:marBottom w:val="0"/>
                  <w:divBdr>
                    <w:top w:val="none" w:sz="0" w:space="0" w:color="auto"/>
                    <w:left w:val="none" w:sz="0" w:space="0" w:color="auto"/>
                    <w:bottom w:val="none" w:sz="0" w:space="0" w:color="auto"/>
                    <w:right w:val="none" w:sz="0" w:space="0" w:color="auto"/>
                  </w:divBdr>
                  <w:divsChild>
                    <w:div w:id="428161980">
                      <w:marLeft w:val="0"/>
                      <w:marRight w:val="0"/>
                      <w:marTop w:val="0"/>
                      <w:marBottom w:val="0"/>
                      <w:divBdr>
                        <w:top w:val="none" w:sz="0" w:space="0" w:color="auto"/>
                        <w:left w:val="none" w:sz="0" w:space="0" w:color="auto"/>
                        <w:bottom w:val="none" w:sz="0" w:space="0" w:color="auto"/>
                        <w:right w:val="none" w:sz="0" w:space="0" w:color="auto"/>
                      </w:divBdr>
                    </w:div>
                  </w:divsChild>
                </w:div>
                <w:div w:id="934437952">
                  <w:marLeft w:val="0"/>
                  <w:marRight w:val="0"/>
                  <w:marTop w:val="0"/>
                  <w:marBottom w:val="0"/>
                  <w:divBdr>
                    <w:top w:val="none" w:sz="0" w:space="0" w:color="auto"/>
                    <w:left w:val="none" w:sz="0" w:space="0" w:color="auto"/>
                    <w:bottom w:val="none" w:sz="0" w:space="0" w:color="auto"/>
                    <w:right w:val="none" w:sz="0" w:space="0" w:color="auto"/>
                  </w:divBdr>
                  <w:divsChild>
                    <w:div w:id="681054220">
                      <w:marLeft w:val="0"/>
                      <w:marRight w:val="0"/>
                      <w:marTop w:val="0"/>
                      <w:marBottom w:val="0"/>
                      <w:divBdr>
                        <w:top w:val="none" w:sz="0" w:space="0" w:color="auto"/>
                        <w:left w:val="none" w:sz="0" w:space="0" w:color="auto"/>
                        <w:bottom w:val="none" w:sz="0" w:space="0" w:color="auto"/>
                        <w:right w:val="none" w:sz="0" w:space="0" w:color="auto"/>
                      </w:divBdr>
                    </w:div>
                  </w:divsChild>
                </w:div>
                <w:div w:id="947663448">
                  <w:marLeft w:val="0"/>
                  <w:marRight w:val="0"/>
                  <w:marTop w:val="0"/>
                  <w:marBottom w:val="0"/>
                  <w:divBdr>
                    <w:top w:val="none" w:sz="0" w:space="0" w:color="auto"/>
                    <w:left w:val="none" w:sz="0" w:space="0" w:color="auto"/>
                    <w:bottom w:val="none" w:sz="0" w:space="0" w:color="auto"/>
                    <w:right w:val="none" w:sz="0" w:space="0" w:color="auto"/>
                  </w:divBdr>
                  <w:divsChild>
                    <w:div w:id="678043408">
                      <w:marLeft w:val="0"/>
                      <w:marRight w:val="0"/>
                      <w:marTop w:val="0"/>
                      <w:marBottom w:val="0"/>
                      <w:divBdr>
                        <w:top w:val="none" w:sz="0" w:space="0" w:color="auto"/>
                        <w:left w:val="none" w:sz="0" w:space="0" w:color="auto"/>
                        <w:bottom w:val="none" w:sz="0" w:space="0" w:color="auto"/>
                        <w:right w:val="none" w:sz="0" w:space="0" w:color="auto"/>
                      </w:divBdr>
                    </w:div>
                  </w:divsChild>
                </w:div>
                <w:div w:id="954597956">
                  <w:marLeft w:val="0"/>
                  <w:marRight w:val="0"/>
                  <w:marTop w:val="0"/>
                  <w:marBottom w:val="0"/>
                  <w:divBdr>
                    <w:top w:val="none" w:sz="0" w:space="0" w:color="auto"/>
                    <w:left w:val="none" w:sz="0" w:space="0" w:color="auto"/>
                    <w:bottom w:val="none" w:sz="0" w:space="0" w:color="auto"/>
                    <w:right w:val="none" w:sz="0" w:space="0" w:color="auto"/>
                  </w:divBdr>
                  <w:divsChild>
                    <w:div w:id="544562538">
                      <w:marLeft w:val="0"/>
                      <w:marRight w:val="0"/>
                      <w:marTop w:val="0"/>
                      <w:marBottom w:val="0"/>
                      <w:divBdr>
                        <w:top w:val="none" w:sz="0" w:space="0" w:color="auto"/>
                        <w:left w:val="none" w:sz="0" w:space="0" w:color="auto"/>
                        <w:bottom w:val="none" w:sz="0" w:space="0" w:color="auto"/>
                        <w:right w:val="none" w:sz="0" w:space="0" w:color="auto"/>
                      </w:divBdr>
                    </w:div>
                    <w:div w:id="1150635485">
                      <w:marLeft w:val="0"/>
                      <w:marRight w:val="0"/>
                      <w:marTop w:val="0"/>
                      <w:marBottom w:val="0"/>
                      <w:divBdr>
                        <w:top w:val="none" w:sz="0" w:space="0" w:color="auto"/>
                        <w:left w:val="none" w:sz="0" w:space="0" w:color="auto"/>
                        <w:bottom w:val="none" w:sz="0" w:space="0" w:color="auto"/>
                        <w:right w:val="none" w:sz="0" w:space="0" w:color="auto"/>
                      </w:divBdr>
                    </w:div>
                  </w:divsChild>
                </w:div>
                <w:div w:id="975450933">
                  <w:marLeft w:val="0"/>
                  <w:marRight w:val="0"/>
                  <w:marTop w:val="0"/>
                  <w:marBottom w:val="0"/>
                  <w:divBdr>
                    <w:top w:val="none" w:sz="0" w:space="0" w:color="auto"/>
                    <w:left w:val="none" w:sz="0" w:space="0" w:color="auto"/>
                    <w:bottom w:val="none" w:sz="0" w:space="0" w:color="auto"/>
                    <w:right w:val="none" w:sz="0" w:space="0" w:color="auto"/>
                  </w:divBdr>
                  <w:divsChild>
                    <w:div w:id="1182663832">
                      <w:marLeft w:val="0"/>
                      <w:marRight w:val="0"/>
                      <w:marTop w:val="0"/>
                      <w:marBottom w:val="0"/>
                      <w:divBdr>
                        <w:top w:val="none" w:sz="0" w:space="0" w:color="auto"/>
                        <w:left w:val="none" w:sz="0" w:space="0" w:color="auto"/>
                        <w:bottom w:val="none" w:sz="0" w:space="0" w:color="auto"/>
                        <w:right w:val="none" w:sz="0" w:space="0" w:color="auto"/>
                      </w:divBdr>
                    </w:div>
                  </w:divsChild>
                </w:div>
                <w:div w:id="982849269">
                  <w:marLeft w:val="0"/>
                  <w:marRight w:val="0"/>
                  <w:marTop w:val="0"/>
                  <w:marBottom w:val="0"/>
                  <w:divBdr>
                    <w:top w:val="none" w:sz="0" w:space="0" w:color="auto"/>
                    <w:left w:val="none" w:sz="0" w:space="0" w:color="auto"/>
                    <w:bottom w:val="none" w:sz="0" w:space="0" w:color="auto"/>
                    <w:right w:val="none" w:sz="0" w:space="0" w:color="auto"/>
                  </w:divBdr>
                  <w:divsChild>
                    <w:div w:id="1498155931">
                      <w:marLeft w:val="0"/>
                      <w:marRight w:val="0"/>
                      <w:marTop w:val="0"/>
                      <w:marBottom w:val="0"/>
                      <w:divBdr>
                        <w:top w:val="none" w:sz="0" w:space="0" w:color="auto"/>
                        <w:left w:val="none" w:sz="0" w:space="0" w:color="auto"/>
                        <w:bottom w:val="none" w:sz="0" w:space="0" w:color="auto"/>
                        <w:right w:val="none" w:sz="0" w:space="0" w:color="auto"/>
                      </w:divBdr>
                    </w:div>
                  </w:divsChild>
                </w:div>
                <w:div w:id="1001273390">
                  <w:marLeft w:val="0"/>
                  <w:marRight w:val="0"/>
                  <w:marTop w:val="0"/>
                  <w:marBottom w:val="0"/>
                  <w:divBdr>
                    <w:top w:val="none" w:sz="0" w:space="0" w:color="auto"/>
                    <w:left w:val="none" w:sz="0" w:space="0" w:color="auto"/>
                    <w:bottom w:val="none" w:sz="0" w:space="0" w:color="auto"/>
                    <w:right w:val="none" w:sz="0" w:space="0" w:color="auto"/>
                  </w:divBdr>
                  <w:divsChild>
                    <w:div w:id="289164245">
                      <w:marLeft w:val="0"/>
                      <w:marRight w:val="0"/>
                      <w:marTop w:val="0"/>
                      <w:marBottom w:val="0"/>
                      <w:divBdr>
                        <w:top w:val="none" w:sz="0" w:space="0" w:color="auto"/>
                        <w:left w:val="none" w:sz="0" w:space="0" w:color="auto"/>
                        <w:bottom w:val="none" w:sz="0" w:space="0" w:color="auto"/>
                        <w:right w:val="none" w:sz="0" w:space="0" w:color="auto"/>
                      </w:divBdr>
                    </w:div>
                  </w:divsChild>
                </w:div>
                <w:div w:id="1012612662">
                  <w:marLeft w:val="0"/>
                  <w:marRight w:val="0"/>
                  <w:marTop w:val="0"/>
                  <w:marBottom w:val="0"/>
                  <w:divBdr>
                    <w:top w:val="none" w:sz="0" w:space="0" w:color="auto"/>
                    <w:left w:val="none" w:sz="0" w:space="0" w:color="auto"/>
                    <w:bottom w:val="none" w:sz="0" w:space="0" w:color="auto"/>
                    <w:right w:val="none" w:sz="0" w:space="0" w:color="auto"/>
                  </w:divBdr>
                  <w:divsChild>
                    <w:div w:id="1590844077">
                      <w:marLeft w:val="0"/>
                      <w:marRight w:val="0"/>
                      <w:marTop w:val="0"/>
                      <w:marBottom w:val="0"/>
                      <w:divBdr>
                        <w:top w:val="none" w:sz="0" w:space="0" w:color="auto"/>
                        <w:left w:val="none" w:sz="0" w:space="0" w:color="auto"/>
                        <w:bottom w:val="none" w:sz="0" w:space="0" w:color="auto"/>
                        <w:right w:val="none" w:sz="0" w:space="0" w:color="auto"/>
                      </w:divBdr>
                    </w:div>
                  </w:divsChild>
                </w:div>
                <w:div w:id="1046375076">
                  <w:marLeft w:val="0"/>
                  <w:marRight w:val="0"/>
                  <w:marTop w:val="0"/>
                  <w:marBottom w:val="0"/>
                  <w:divBdr>
                    <w:top w:val="none" w:sz="0" w:space="0" w:color="auto"/>
                    <w:left w:val="none" w:sz="0" w:space="0" w:color="auto"/>
                    <w:bottom w:val="none" w:sz="0" w:space="0" w:color="auto"/>
                    <w:right w:val="none" w:sz="0" w:space="0" w:color="auto"/>
                  </w:divBdr>
                  <w:divsChild>
                    <w:div w:id="24721293">
                      <w:marLeft w:val="0"/>
                      <w:marRight w:val="0"/>
                      <w:marTop w:val="0"/>
                      <w:marBottom w:val="0"/>
                      <w:divBdr>
                        <w:top w:val="none" w:sz="0" w:space="0" w:color="auto"/>
                        <w:left w:val="none" w:sz="0" w:space="0" w:color="auto"/>
                        <w:bottom w:val="none" w:sz="0" w:space="0" w:color="auto"/>
                        <w:right w:val="none" w:sz="0" w:space="0" w:color="auto"/>
                      </w:divBdr>
                    </w:div>
                  </w:divsChild>
                </w:div>
                <w:div w:id="1051685174">
                  <w:marLeft w:val="0"/>
                  <w:marRight w:val="0"/>
                  <w:marTop w:val="0"/>
                  <w:marBottom w:val="0"/>
                  <w:divBdr>
                    <w:top w:val="none" w:sz="0" w:space="0" w:color="auto"/>
                    <w:left w:val="none" w:sz="0" w:space="0" w:color="auto"/>
                    <w:bottom w:val="none" w:sz="0" w:space="0" w:color="auto"/>
                    <w:right w:val="none" w:sz="0" w:space="0" w:color="auto"/>
                  </w:divBdr>
                  <w:divsChild>
                    <w:div w:id="2055889842">
                      <w:marLeft w:val="0"/>
                      <w:marRight w:val="0"/>
                      <w:marTop w:val="0"/>
                      <w:marBottom w:val="0"/>
                      <w:divBdr>
                        <w:top w:val="none" w:sz="0" w:space="0" w:color="auto"/>
                        <w:left w:val="none" w:sz="0" w:space="0" w:color="auto"/>
                        <w:bottom w:val="none" w:sz="0" w:space="0" w:color="auto"/>
                        <w:right w:val="none" w:sz="0" w:space="0" w:color="auto"/>
                      </w:divBdr>
                    </w:div>
                  </w:divsChild>
                </w:div>
                <w:div w:id="1073162472">
                  <w:marLeft w:val="0"/>
                  <w:marRight w:val="0"/>
                  <w:marTop w:val="0"/>
                  <w:marBottom w:val="0"/>
                  <w:divBdr>
                    <w:top w:val="none" w:sz="0" w:space="0" w:color="auto"/>
                    <w:left w:val="none" w:sz="0" w:space="0" w:color="auto"/>
                    <w:bottom w:val="none" w:sz="0" w:space="0" w:color="auto"/>
                    <w:right w:val="none" w:sz="0" w:space="0" w:color="auto"/>
                  </w:divBdr>
                  <w:divsChild>
                    <w:div w:id="1726372685">
                      <w:marLeft w:val="0"/>
                      <w:marRight w:val="0"/>
                      <w:marTop w:val="0"/>
                      <w:marBottom w:val="0"/>
                      <w:divBdr>
                        <w:top w:val="none" w:sz="0" w:space="0" w:color="auto"/>
                        <w:left w:val="none" w:sz="0" w:space="0" w:color="auto"/>
                        <w:bottom w:val="none" w:sz="0" w:space="0" w:color="auto"/>
                        <w:right w:val="none" w:sz="0" w:space="0" w:color="auto"/>
                      </w:divBdr>
                    </w:div>
                  </w:divsChild>
                </w:div>
                <w:div w:id="1086732753">
                  <w:marLeft w:val="0"/>
                  <w:marRight w:val="0"/>
                  <w:marTop w:val="0"/>
                  <w:marBottom w:val="0"/>
                  <w:divBdr>
                    <w:top w:val="none" w:sz="0" w:space="0" w:color="auto"/>
                    <w:left w:val="none" w:sz="0" w:space="0" w:color="auto"/>
                    <w:bottom w:val="none" w:sz="0" w:space="0" w:color="auto"/>
                    <w:right w:val="none" w:sz="0" w:space="0" w:color="auto"/>
                  </w:divBdr>
                  <w:divsChild>
                    <w:div w:id="2067142936">
                      <w:marLeft w:val="0"/>
                      <w:marRight w:val="0"/>
                      <w:marTop w:val="0"/>
                      <w:marBottom w:val="0"/>
                      <w:divBdr>
                        <w:top w:val="none" w:sz="0" w:space="0" w:color="auto"/>
                        <w:left w:val="none" w:sz="0" w:space="0" w:color="auto"/>
                        <w:bottom w:val="none" w:sz="0" w:space="0" w:color="auto"/>
                        <w:right w:val="none" w:sz="0" w:space="0" w:color="auto"/>
                      </w:divBdr>
                    </w:div>
                  </w:divsChild>
                </w:div>
                <w:div w:id="1111318591">
                  <w:marLeft w:val="0"/>
                  <w:marRight w:val="0"/>
                  <w:marTop w:val="0"/>
                  <w:marBottom w:val="0"/>
                  <w:divBdr>
                    <w:top w:val="none" w:sz="0" w:space="0" w:color="auto"/>
                    <w:left w:val="none" w:sz="0" w:space="0" w:color="auto"/>
                    <w:bottom w:val="none" w:sz="0" w:space="0" w:color="auto"/>
                    <w:right w:val="none" w:sz="0" w:space="0" w:color="auto"/>
                  </w:divBdr>
                  <w:divsChild>
                    <w:div w:id="1179007532">
                      <w:marLeft w:val="0"/>
                      <w:marRight w:val="0"/>
                      <w:marTop w:val="0"/>
                      <w:marBottom w:val="0"/>
                      <w:divBdr>
                        <w:top w:val="none" w:sz="0" w:space="0" w:color="auto"/>
                        <w:left w:val="none" w:sz="0" w:space="0" w:color="auto"/>
                        <w:bottom w:val="none" w:sz="0" w:space="0" w:color="auto"/>
                        <w:right w:val="none" w:sz="0" w:space="0" w:color="auto"/>
                      </w:divBdr>
                    </w:div>
                  </w:divsChild>
                </w:div>
                <w:div w:id="1148480303">
                  <w:marLeft w:val="0"/>
                  <w:marRight w:val="0"/>
                  <w:marTop w:val="0"/>
                  <w:marBottom w:val="0"/>
                  <w:divBdr>
                    <w:top w:val="none" w:sz="0" w:space="0" w:color="auto"/>
                    <w:left w:val="none" w:sz="0" w:space="0" w:color="auto"/>
                    <w:bottom w:val="none" w:sz="0" w:space="0" w:color="auto"/>
                    <w:right w:val="none" w:sz="0" w:space="0" w:color="auto"/>
                  </w:divBdr>
                  <w:divsChild>
                    <w:div w:id="1009331895">
                      <w:marLeft w:val="0"/>
                      <w:marRight w:val="0"/>
                      <w:marTop w:val="0"/>
                      <w:marBottom w:val="0"/>
                      <w:divBdr>
                        <w:top w:val="none" w:sz="0" w:space="0" w:color="auto"/>
                        <w:left w:val="none" w:sz="0" w:space="0" w:color="auto"/>
                        <w:bottom w:val="none" w:sz="0" w:space="0" w:color="auto"/>
                        <w:right w:val="none" w:sz="0" w:space="0" w:color="auto"/>
                      </w:divBdr>
                    </w:div>
                  </w:divsChild>
                </w:div>
                <w:div w:id="1164972867">
                  <w:marLeft w:val="0"/>
                  <w:marRight w:val="0"/>
                  <w:marTop w:val="0"/>
                  <w:marBottom w:val="0"/>
                  <w:divBdr>
                    <w:top w:val="none" w:sz="0" w:space="0" w:color="auto"/>
                    <w:left w:val="none" w:sz="0" w:space="0" w:color="auto"/>
                    <w:bottom w:val="none" w:sz="0" w:space="0" w:color="auto"/>
                    <w:right w:val="none" w:sz="0" w:space="0" w:color="auto"/>
                  </w:divBdr>
                  <w:divsChild>
                    <w:div w:id="656616930">
                      <w:marLeft w:val="0"/>
                      <w:marRight w:val="0"/>
                      <w:marTop w:val="0"/>
                      <w:marBottom w:val="0"/>
                      <w:divBdr>
                        <w:top w:val="none" w:sz="0" w:space="0" w:color="auto"/>
                        <w:left w:val="none" w:sz="0" w:space="0" w:color="auto"/>
                        <w:bottom w:val="none" w:sz="0" w:space="0" w:color="auto"/>
                        <w:right w:val="none" w:sz="0" w:space="0" w:color="auto"/>
                      </w:divBdr>
                    </w:div>
                  </w:divsChild>
                </w:div>
                <w:div w:id="1184510633">
                  <w:marLeft w:val="0"/>
                  <w:marRight w:val="0"/>
                  <w:marTop w:val="0"/>
                  <w:marBottom w:val="0"/>
                  <w:divBdr>
                    <w:top w:val="none" w:sz="0" w:space="0" w:color="auto"/>
                    <w:left w:val="none" w:sz="0" w:space="0" w:color="auto"/>
                    <w:bottom w:val="none" w:sz="0" w:space="0" w:color="auto"/>
                    <w:right w:val="none" w:sz="0" w:space="0" w:color="auto"/>
                  </w:divBdr>
                  <w:divsChild>
                    <w:div w:id="1006789047">
                      <w:marLeft w:val="0"/>
                      <w:marRight w:val="0"/>
                      <w:marTop w:val="0"/>
                      <w:marBottom w:val="0"/>
                      <w:divBdr>
                        <w:top w:val="none" w:sz="0" w:space="0" w:color="auto"/>
                        <w:left w:val="none" w:sz="0" w:space="0" w:color="auto"/>
                        <w:bottom w:val="none" w:sz="0" w:space="0" w:color="auto"/>
                        <w:right w:val="none" w:sz="0" w:space="0" w:color="auto"/>
                      </w:divBdr>
                    </w:div>
                  </w:divsChild>
                </w:div>
                <w:div w:id="1193808419">
                  <w:marLeft w:val="0"/>
                  <w:marRight w:val="0"/>
                  <w:marTop w:val="0"/>
                  <w:marBottom w:val="0"/>
                  <w:divBdr>
                    <w:top w:val="none" w:sz="0" w:space="0" w:color="auto"/>
                    <w:left w:val="none" w:sz="0" w:space="0" w:color="auto"/>
                    <w:bottom w:val="none" w:sz="0" w:space="0" w:color="auto"/>
                    <w:right w:val="none" w:sz="0" w:space="0" w:color="auto"/>
                  </w:divBdr>
                  <w:divsChild>
                    <w:div w:id="851921980">
                      <w:marLeft w:val="0"/>
                      <w:marRight w:val="0"/>
                      <w:marTop w:val="0"/>
                      <w:marBottom w:val="0"/>
                      <w:divBdr>
                        <w:top w:val="none" w:sz="0" w:space="0" w:color="auto"/>
                        <w:left w:val="none" w:sz="0" w:space="0" w:color="auto"/>
                        <w:bottom w:val="none" w:sz="0" w:space="0" w:color="auto"/>
                        <w:right w:val="none" w:sz="0" w:space="0" w:color="auto"/>
                      </w:divBdr>
                    </w:div>
                  </w:divsChild>
                </w:div>
                <w:div w:id="1242064331">
                  <w:marLeft w:val="0"/>
                  <w:marRight w:val="0"/>
                  <w:marTop w:val="0"/>
                  <w:marBottom w:val="0"/>
                  <w:divBdr>
                    <w:top w:val="none" w:sz="0" w:space="0" w:color="auto"/>
                    <w:left w:val="none" w:sz="0" w:space="0" w:color="auto"/>
                    <w:bottom w:val="none" w:sz="0" w:space="0" w:color="auto"/>
                    <w:right w:val="none" w:sz="0" w:space="0" w:color="auto"/>
                  </w:divBdr>
                  <w:divsChild>
                    <w:div w:id="2106801518">
                      <w:marLeft w:val="0"/>
                      <w:marRight w:val="0"/>
                      <w:marTop w:val="0"/>
                      <w:marBottom w:val="0"/>
                      <w:divBdr>
                        <w:top w:val="none" w:sz="0" w:space="0" w:color="auto"/>
                        <w:left w:val="none" w:sz="0" w:space="0" w:color="auto"/>
                        <w:bottom w:val="none" w:sz="0" w:space="0" w:color="auto"/>
                        <w:right w:val="none" w:sz="0" w:space="0" w:color="auto"/>
                      </w:divBdr>
                    </w:div>
                  </w:divsChild>
                </w:div>
                <w:div w:id="1261260272">
                  <w:marLeft w:val="0"/>
                  <w:marRight w:val="0"/>
                  <w:marTop w:val="0"/>
                  <w:marBottom w:val="0"/>
                  <w:divBdr>
                    <w:top w:val="none" w:sz="0" w:space="0" w:color="auto"/>
                    <w:left w:val="none" w:sz="0" w:space="0" w:color="auto"/>
                    <w:bottom w:val="none" w:sz="0" w:space="0" w:color="auto"/>
                    <w:right w:val="none" w:sz="0" w:space="0" w:color="auto"/>
                  </w:divBdr>
                  <w:divsChild>
                    <w:div w:id="556165416">
                      <w:marLeft w:val="0"/>
                      <w:marRight w:val="0"/>
                      <w:marTop w:val="0"/>
                      <w:marBottom w:val="0"/>
                      <w:divBdr>
                        <w:top w:val="none" w:sz="0" w:space="0" w:color="auto"/>
                        <w:left w:val="none" w:sz="0" w:space="0" w:color="auto"/>
                        <w:bottom w:val="none" w:sz="0" w:space="0" w:color="auto"/>
                        <w:right w:val="none" w:sz="0" w:space="0" w:color="auto"/>
                      </w:divBdr>
                    </w:div>
                  </w:divsChild>
                </w:div>
                <w:div w:id="1310014220">
                  <w:marLeft w:val="0"/>
                  <w:marRight w:val="0"/>
                  <w:marTop w:val="0"/>
                  <w:marBottom w:val="0"/>
                  <w:divBdr>
                    <w:top w:val="none" w:sz="0" w:space="0" w:color="auto"/>
                    <w:left w:val="none" w:sz="0" w:space="0" w:color="auto"/>
                    <w:bottom w:val="none" w:sz="0" w:space="0" w:color="auto"/>
                    <w:right w:val="none" w:sz="0" w:space="0" w:color="auto"/>
                  </w:divBdr>
                  <w:divsChild>
                    <w:div w:id="981809258">
                      <w:marLeft w:val="0"/>
                      <w:marRight w:val="0"/>
                      <w:marTop w:val="0"/>
                      <w:marBottom w:val="0"/>
                      <w:divBdr>
                        <w:top w:val="none" w:sz="0" w:space="0" w:color="auto"/>
                        <w:left w:val="none" w:sz="0" w:space="0" w:color="auto"/>
                        <w:bottom w:val="none" w:sz="0" w:space="0" w:color="auto"/>
                        <w:right w:val="none" w:sz="0" w:space="0" w:color="auto"/>
                      </w:divBdr>
                    </w:div>
                  </w:divsChild>
                </w:div>
                <w:div w:id="1471484590">
                  <w:marLeft w:val="0"/>
                  <w:marRight w:val="0"/>
                  <w:marTop w:val="0"/>
                  <w:marBottom w:val="0"/>
                  <w:divBdr>
                    <w:top w:val="none" w:sz="0" w:space="0" w:color="auto"/>
                    <w:left w:val="none" w:sz="0" w:space="0" w:color="auto"/>
                    <w:bottom w:val="none" w:sz="0" w:space="0" w:color="auto"/>
                    <w:right w:val="none" w:sz="0" w:space="0" w:color="auto"/>
                  </w:divBdr>
                  <w:divsChild>
                    <w:div w:id="377515805">
                      <w:marLeft w:val="0"/>
                      <w:marRight w:val="0"/>
                      <w:marTop w:val="0"/>
                      <w:marBottom w:val="0"/>
                      <w:divBdr>
                        <w:top w:val="none" w:sz="0" w:space="0" w:color="auto"/>
                        <w:left w:val="none" w:sz="0" w:space="0" w:color="auto"/>
                        <w:bottom w:val="none" w:sz="0" w:space="0" w:color="auto"/>
                        <w:right w:val="none" w:sz="0" w:space="0" w:color="auto"/>
                      </w:divBdr>
                    </w:div>
                  </w:divsChild>
                </w:div>
                <w:div w:id="1471701912">
                  <w:marLeft w:val="0"/>
                  <w:marRight w:val="0"/>
                  <w:marTop w:val="0"/>
                  <w:marBottom w:val="0"/>
                  <w:divBdr>
                    <w:top w:val="none" w:sz="0" w:space="0" w:color="auto"/>
                    <w:left w:val="none" w:sz="0" w:space="0" w:color="auto"/>
                    <w:bottom w:val="none" w:sz="0" w:space="0" w:color="auto"/>
                    <w:right w:val="none" w:sz="0" w:space="0" w:color="auto"/>
                  </w:divBdr>
                  <w:divsChild>
                    <w:div w:id="2044406182">
                      <w:marLeft w:val="0"/>
                      <w:marRight w:val="0"/>
                      <w:marTop w:val="0"/>
                      <w:marBottom w:val="0"/>
                      <w:divBdr>
                        <w:top w:val="none" w:sz="0" w:space="0" w:color="auto"/>
                        <w:left w:val="none" w:sz="0" w:space="0" w:color="auto"/>
                        <w:bottom w:val="none" w:sz="0" w:space="0" w:color="auto"/>
                        <w:right w:val="none" w:sz="0" w:space="0" w:color="auto"/>
                      </w:divBdr>
                    </w:div>
                  </w:divsChild>
                </w:div>
                <w:div w:id="1475684066">
                  <w:marLeft w:val="0"/>
                  <w:marRight w:val="0"/>
                  <w:marTop w:val="0"/>
                  <w:marBottom w:val="0"/>
                  <w:divBdr>
                    <w:top w:val="none" w:sz="0" w:space="0" w:color="auto"/>
                    <w:left w:val="none" w:sz="0" w:space="0" w:color="auto"/>
                    <w:bottom w:val="none" w:sz="0" w:space="0" w:color="auto"/>
                    <w:right w:val="none" w:sz="0" w:space="0" w:color="auto"/>
                  </w:divBdr>
                  <w:divsChild>
                    <w:div w:id="1447501295">
                      <w:marLeft w:val="0"/>
                      <w:marRight w:val="0"/>
                      <w:marTop w:val="0"/>
                      <w:marBottom w:val="0"/>
                      <w:divBdr>
                        <w:top w:val="none" w:sz="0" w:space="0" w:color="auto"/>
                        <w:left w:val="none" w:sz="0" w:space="0" w:color="auto"/>
                        <w:bottom w:val="none" w:sz="0" w:space="0" w:color="auto"/>
                        <w:right w:val="none" w:sz="0" w:space="0" w:color="auto"/>
                      </w:divBdr>
                    </w:div>
                  </w:divsChild>
                </w:div>
                <w:div w:id="1479960308">
                  <w:marLeft w:val="0"/>
                  <w:marRight w:val="0"/>
                  <w:marTop w:val="0"/>
                  <w:marBottom w:val="0"/>
                  <w:divBdr>
                    <w:top w:val="none" w:sz="0" w:space="0" w:color="auto"/>
                    <w:left w:val="none" w:sz="0" w:space="0" w:color="auto"/>
                    <w:bottom w:val="none" w:sz="0" w:space="0" w:color="auto"/>
                    <w:right w:val="none" w:sz="0" w:space="0" w:color="auto"/>
                  </w:divBdr>
                  <w:divsChild>
                    <w:div w:id="1862819468">
                      <w:marLeft w:val="0"/>
                      <w:marRight w:val="0"/>
                      <w:marTop w:val="0"/>
                      <w:marBottom w:val="0"/>
                      <w:divBdr>
                        <w:top w:val="none" w:sz="0" w:space="0" w:color="auto"/>
                        <w:left w:val="none" w:sz="0" w:space="0" w:color="auto"/>
                        <w:bottom w:val="none" w:sz="0" w:space="0" w:color="auto"/>
                        <w:right w:val="none" w:sz="0" w:space="0" w:color="auto"/>
                      </w:divBdr>
                    </w:div>
                  </w:divsChild>
                </w:div>
                <w:div w:id="1574004202">
                  <w:marLeft w:val="0"/>
                  <w:marRight w:val="0"/>
                  <w:marTop w:val="0"/>
                  <w:marBottom w:val="0"/>
                  <w:divBdr>
                    <w:top w:val="none" w:sz="0" w:space="0" w:color="auto"/>
                    <w:left w:val="none" w:sz="0" w:space="0" w:color="auto"/>
                    <w:bottom w:val="none" w:sz="0" w:space="0" w:color="auto"/>
                    <w:right w:val="none" w:sz="0" w:space="0" w:color="auto"/>
                  </w:divBdr>
                  <w:divsChild>
                    <w:div w:id="571500100">
                      <w:marLeft w:val="0"/>
                      <w:marRight w:val="0"/>
                      <w:marTop w:val="0"/>
                      <w:marBottom w:val="0"/>
                      <w:divBdr>
                        <w:top w:val="none" w:sz="0" w:space="0" w:color="auto"/>
                        <w:left w:val="none" w:sz="0" w:space="0" w:color="auto"/>
                        <w:bottom w:val="none" w:sz="0" w:space="0" w:color="auto"/>
                        <w:right w:val="none" w:sz="0" w:space="0" w:color="auto"/>
                      </w:divBdr>
                    </w:div>
                  </w:divsChild>
                </w:div>
                <w:div w:id="1644656862">
                  <w:marLeft w:val="0"/>
                  <w:marRight w:val="0"/>
                  <w:marTop w:val="0"/>
                  <w:marBottom w:val="0"/>
                  <w:divBdr>
                    <w:top w:val="none" w:sz="0" w:space="0" w:color="auto"/>
                    <w:left w:val="none" w:sz="0" w:space="0" w:color="auto"/>
                    <w:bottom w:val="none" w:sz="0" w:space="0" w:color="auto"/>
                    <w:right w:val="none" w:sz="0" w:space="0" w:color="auto"/>
                  </w:divBdr>
                  <w:divsChild>
                    <w:div w:id="1437821445">
                      <w:marLeft w:val="0"/>
                      <w:marRight w:val="0"/>
                      <w:marTop w:val="0"/>
                      <w:marBottom w:val="0"/>
                      <w:divBdr>
                        <w:top w:val="none" w:sz="0" w:space="0" w:color="auto"/>
                        <w:left w:val="none" w:sz="0" w:space="0" w:color="auto"/>
                        <w:bottom w:val="none" w:sz="0" w:space="0" w:color="auto"/>
                        <w:right w:val="none" w:sz="0" w:space="0" w:color="auto"/>
                      </w:divBdr>
                    </w:div>
                  </w:divsChild>
                </w:div>
                <w:div w:id="1661276157">
                  <w:marLeft w:val="0"/>
                  <w:marRight w:val="0"/>
                  <w:marTop w:val="0"/>
                  <w:marBottom w:val="0"/>
                  <w:divBdr>
                    <w:top w:val="none" w:sz="0" w:space="0" w:color="auto"/>
                    <w:left w:val="none" w:sz="0" w:space="0" w:color="auto"/>
                    <w:bottom w:val="none" w:sz="0" w:space="0" w:color="auto"/>
                    <w:right w:val="none" w:sz="0" w:space="0" w:color="auto"/>
                  </w:divBdr>
                  <w:divsChild>
                    <w:div w:id="140733390">
                      <w:marLeft w:val="0"/>
                      <w:marRight w:val="0"/>
                      <w:marTop w:val="0"/>
                      <w:marBottom w:val="0"/>
                      <w:divBdr>
                        <w:top w:val="none" w:sz="0" w:space="0" w:color="auto"/>
                        <w:left w:val="none" w:sz="0" w:space="0" w:color="auto"/>
                        <w:bottom w:val="none" w:sz="0" w:space="0" w:color="auto"/>
                        <w:right w:val="none" w:sz="0" w:space="0" w:color="auto"/>
                      </w:divBdr>
                    </w:div>
                  </w:divsChild>
                </w:div>
                <w:div w:id="1677079015">
                  <w:marLeft w:val="0"/>
                  <w:marRight w:val="0"/>
                  <w:marTop w:val="0"/>
                  <w:marBottom w:val="0"/>
                  <w:divBdr>
                    <w:top w:val="none" w:sz="0" w:space="0" w:color="auto"/>
                    <w:left w:val="none" w:sz="0" w:space="0" w:color="auto"/>
                    <w:bottom w:val="none" w:sz="0" w:space="0" w:color="auto"/>
                    <w:right w:val="none" w:sz="0" w:space="0" w:color="auto"/>
                  </w:divBdr>
                  <w:divsChild>
                    <w:div w:id="101532622">
                      <w:marLeft w:val="0"/>
                      <w:marRight w:val="0"/>
                      <w:marTop w:val="0"/>
                      <w:marBottom w:val="0"/>
                      <w:divBdr>
                        <w:top w:val="none" w:sz="0" w:space="0" w:color="auto"/>
                        <w:left w:val="none" w:sz="0" w:space="0" w:color="auto"/>
                        <w:bottom w:val="none" w:sz="0" w:space="0" w:color="auto"/>
                        <w:right w:val="none" w:sz="0" w:space="0" w:color="auto"/>
                      </w:divBdr>
                    </w:div>
                  </w:divsChild>
                </w:div>
                <w:div w:id="1709258496">
                  <w:marLeft w:val="0"/>
                  <w:marRight w:val="0"/>
                  <w:marTop w:val="0"/>
                  <w:marBottom w:val="0"/>
                  <w:divBdr>
                    <w:top w:val="none" w:sz="0" w:space="0" w:color="auto"/>
                    <w:left w:val="none" w:sz="0" w:space="0" w:color="auto"/>
                    <w:bottom w:val="none" w:sz="0" w:space="0" w:color="auto"/>
                    <w:right w:val="none" w:sz="0" w:space="0" w:color="auto"/>
                  </w:divBdr>
                  <w:divsChild>
                    <w:div w:id="1983853441">
                      <w:marLeft w:val="0"/>
                      <w:marRight w:val="0"/>
                      <w:marTop w:val="0"/>
                      <w:marBottom w:val="0"/>
                      <w:divBdr>
                        <w:top w:val="none" w:sz="0" w:space="0" w:color="auto"/>
                        <w:left w:val="none" w:sz="0" w:space="0" w:color="auto"/>
                        <w:bottom w:val="none" w:sz="0" w:space="0" w:color="auto"/>
                        <w:right w:val="none" w:sz="0" w:space="0" w:color="auto"/>
                      </w:divBdr>
                    </w:div>
                  </w:divsChild>
                </w:div>
                <w:div w:id="1711151612">
                  <w:marLeft w:val="0"/>
                  <w:marRight w:val="0"/>
                  <w:marTop w:val="0"/>
                  <w:marBottom w:val="0"/>
                  <w:divBdr>
                    <w:top w:val="none" w:sz="0" w:space="0" w:color="auto"/>
                    <w:left w:val="none" w:sz="0" w:space="0" w:color="auto"/>
                    <w:bottom w:val="none" w:sz="0" w:space="0" w:color="auto"/>
                    <w:right w:val="none" w:sz="0" w:space="0" w:color="auto"/>
                  </w:divBdr>
                  <w:divsChild>
                    <w:div w:id="1114129649">
                      <w:marLeft w:val="0"/>
                      <w:marRight w:val="0"/>
                      <w:marTop w:val="0"/>
                      <w:marBottom w:val="0"/>
                      <w:divBdr>
                        <w:top w:val="none" w:sz="0" w:space="0" w:color="auto"/>
                        <w:left w:val="none" w:sz="0" w:space="0" w:color="auto"/>
                        <w:bottom w:val="none" w:sz="0" w:space="0" w:color="auto"/>
                        <w:right w:val="none" w:sz="0" w:space="0" w:color="auto"/>
                      </w:divBdr>
                    </w:div>
                  </w:divsChild>
                </w:div>
                <w:div w:id="1734086109">
                  <w:marLeft w:val="0"/>
                  <w:marRight w:val="0"/>
                  <w:marTop w:val="0"/>
                  <w:marBottom w:val="0"/>
                  <w:divBdr>
                    <w:top w:val="none" w:sz="0" w:space="0" w:color="auto"/>
                    <w:left w:val="none" w:sz="0" w:space="0" w:color="auto"/>
                    <w:bottom w:val="none" w:sz="0" w:space="0" w:color="auto"/>
                    <w:right w:val="none" w:sz="0" w:space="0" w:color="auto"/>
                  </w:divBdr>
                  <w:divsChild>
                    <w:div w:id="156503477">
                      <w:marLeft w:val="0"/>
                      <w:marRight w:val="0"/>
                      <w:marTop w:val="0"/>
                      <w:marBottom w:val="0"/>
                      <w:divBdr>
                        <w:top w:val="none" w:sz="0" w:space="0" w:color="auto"/>
                        <w:left w:val="none" w:sz="0" w:space="0" w:color="auto"/>
                        <w:bottom w:val="none" w:sz="0" w:space="0" w:color="auto"/>
                        <w:right w:val="none" w:sz="0" w:space="0" w:color="auto"/>
                      </w:divBdr>
                    </w:div>
                  </w:divsChild>
                </w:div>
                <w:div w:id="1735590603">
                  <w:marLeft w:val="0"/>
                  <w:marRight w:val="0"/>
                  <w:marTop w:val="0"/>
                  <w:marBottom w:val="0"/>
                  <w:divBdr>
                    <w:top w:val="none" w:sz="0" w:space="0" w:color="auto"/>
                    <w:left w:val="none" w:sz="0" w:space="0" w:color="auto"/>
                    <w:bottom w:val="none" w:sz="0" w:space="0" w:color="auto"/>
                    <w:right w:val="none" w:sz="0" w:space="0" w:color="auto"/>
                  </w:divBdr>
                  <w:divsChild>
                    <w:div w:id="59211651">
                      <w:marLeft w:val="0"/>
                      <w:marRight w:val="0"/>
                      <w:marTop w:val="0"/>
                      <w:marBottom w:val="0"/>
                      <w:divBdr>
                        <w:top w:val="none" w:sz="0" w:space="0" w:color="auto"/>
                        <w:left w:val="none" w:sz="0" w:space="0" w:color="auto"/>
                        <w:bottom w:val="none" w:sz="0" w:space="0" w:color="auto"/>
                        <w:right w:val="none" w:sz="0" w:space="0" w:color="auto"/>
                      </w:divBdr>
                    </w:div>
                  </w:divsChild>
                </w:div>
                <w:div w:id="1787656936">
                  <w:marLeft w:val="0"/>
                  <w:marRight w:val="0"/>
                  <w:marTop w:val="0"/>
                  <w:marBottom w:val="0"/>
                  <w:divBdr>
                    <w:top w:val="none" w:sz="0" w:space="0" w:color="auto"/>
                    <w:left w:val="none" w:sz="0" w:space="0" w:color="auto"/>
                    <w:bottom w:val="none" w:sz="0" w:space="0" w:color="auto"/>
                    <w:right w:val="none" w:sz="0" w:space="0" w:color="auto"/>
                  </w:divBdr>
                  <w:divsChild>
                    <w:div w:id="2009480019">
                      <w:marLeft w:val="0"/>
                      <w:marRight w:val="0"/>
                      <w:marTop w:val="0"/>
                      <w:marBottom w:val="0"/>
                      <w:divBdr>
                        <w:top w:val="none" w:sz="0" w:space="0" w:color="auto"/>
                        <w:left w:val="none" w:sz="0" w:space="0" w:color="auto"/>
                        <w:bottom w:val="none" w:sz="0" w:space="0" w:color="auto"/>
                        <w:right w:val="none" w:sz="0" w:space="0" w:color="auto"/>
                      </w:divBdr>
                    </w:div>
                  </w:divsChild>
                </w:div>
                <w:div w:id="1797412635">
                  <w:marLeft w:val="0"/>
                  <w:marRight w:val="0"/>
                  <w:marTop w:val="0"/>
                  <w:marBottom w:val="0"/>
                  <w:divBdr>
                    <w:top w:val="none" w:sz="0" w:space="0" w:color="auto"/>
                    <w:left w:val="none" w:sz="0" w:space="0" w:color="auto"/>
                    <w:bottom w:val="none" w:sz="0" w:space="0" w:color="auto"/>
                    <w:right w:val="none" w:sz="0" w:space="0" w:color="auto"/>
                  </w:divBdr>
                  <w:divsChild>
                    <w:div w:id="1864392296">
                      <w:marLeft w:val="0"/>
                      <w:marRight w:val="0"/>
                      <w:marTop w:val="0"/>
                      <w:marBottom w:val="0"/>
                      <w:divBdr>
                        <w:top w:val="none" w:sz="0" w:space="0" w:color="auto"/>
                        <w:left w:val="none" w:sz="0" w:space="0" w:color="auto"/>
                        <w:bottom w:val="none" w:sz="0" w:space="0" w:color="auto"/>
                        <w:right w:val="none" w:sz="0" w:space="0" w:color="auto"/>
                      </w:divBdr>
                    </w:div>
                  </w:divsChild>
                </w:div>
                <w:div w:id="1808812506">
                  <w:marLeft w:val="0"/>
                  <w:marRight w:val="0"/>
                  <w:marTop w:val="0"/>
                  <w:marBottom w:val="0"/>
                  <w:divBdr>
                    <w:top w:val="none" w:sz="0" w:space="0" w:color="auto"/>
                    <w:left w:val="none" w:sz="0" w:space="0" w:color="auto"/>
                    <w:bottom w:val="none" w:sz="0" w:space="0" w:color="auto"/>
                    <w:right w:val="none" w:sz="0" w:space="0" w:color="auto"/>
                  </w:divBdr>
                  <w:divsChild>
                    <w:div w:id="949582235">
                      <w:marLeft w:val="0"/>
                      <w:marRight w:val="0"/>
                      <w:marTop w:val="0"/>
                      <w:marBottom w:val="0"/>
                      <w:divBdr>
                        <w:top w:val="none" w:sz="0" w:space="0" w:color="auto"/>
                        <w:left w:val="none" w:sz="0" w:space="0" w:color="auto"/>
                        <w:bottom w:val="none" w:sz="0" w:space="0" w:color="auto"/>
                        <w:right w:val="none" w:sz="0" w:space="0" w:color="auto"/>
                      </w:divBdr>
                    </w:div>
                  </w:divsChild>
                </w:div>
                <w:div w:id="1836140470">
                  <w:marLeft w:val="0"/>
                  <w:marRight w:val="0"/>
                  <w:marTop w:val="0"/>
                  <w:marBottom w:val="0"/>
                  <w:divBdr>
                    <w:top w:val="none" w:sz="0" w:space="0" w:color="auto"/>
                    <w:left w:val="none" w:sz="0" w:space="0" w:color="auto"/>
                    <w:bottom w:val="none" w:sz="0" w:space="0" w:color="auto"/>
                    <w:right w:val="none" w:sz="0" w:space="0" w:color="auto"/>
                  </w:divBdr>
                  <w:divsChild>
                    <w:div w:id="1394697342">
                      <w:marLeft w:val="0"/>
                      <w:marRight w:val="0"/>
                      <w:marTop w:val="0"/>
                      <w:marBottom w:val="0"/>
                      <w:divBdr>
                        <w:top w:val="none" w:sz="0" w:space="0" w:color="auto"/>
                        <w:left w:val="none" w:sz="0" w:space="0" w:color="auto"/>
                        <w:bottom w:val="none" w:sz="0" w:space="0" w:color="auto"/>
                        <w:right w:val="none" w:sz="0" w:space="0" w:color="auto"/>
                      </w:divBdr>
                    </w:div>
                  </w:divsChild>
                </w:div>
                <w:div w:id="1876236814">
                  <w:marLeft w:val="0"/>
                  <w:marRight w:val="0"/>
                  <w:marTop w:val="0"/>
                  <w:marBottom w:val="0"/>
                  <w:divBdr>
                    <w:top w:val="none" w:sz="0" w:space="0" w:color="auto"/>
                    <w:left w:val="none" w:sz="0" w:space="0" w:color="auto"/>
                    <w:bottom w:val="none" w:sz="0" w:space="0" w:color="auto"/>
                    <w:right w:val="none" w:sz="0" w:space="0" w:color="auto"/>
                  </w:divBdr>
                  <w:divsChild>
                    <w:div w:id="1089499861">
                      <w:marLeft w:val="0"/>
                      <w:marRight w:val="0"/>
                      <w:marTop w:val="0"/>
                      <w:marBottom w:val="0"/>
                      <w:divBdr>
                        <w:top w:val="none" w:sz="0" w:space="0" w:color="auto"/>
                        <w:left w:val="none" w:sz="0" w:space="0" w:color="auto"/>
                        <w:bottom w:val="none" w:sz="0" w:space="0" w:color="auto"/>
                        <w:right w:val="none" w:sz="0" w:space="0" w:color="auto"/>
                      </w:divBdr>
                    </w:div>
                  </w:divsChild>
                </w:div>
                <w:div w:id="1886868891">
                  <w:marLeft w:val="0"/>
                  <w:marRight w:val="0"/>
                  <w:marTop w:val="0"/>
                  <w:marBottom w:val="0"/>
                  <w:divBdr>
                    <w:top w:val="none" w:sz="0" w:space="0" w:color="auto"/>
                    <w:left w:val="none" w:sz="0" w:space="0" w:color="auto"/>
                    <w:bottom w:val="none" w:sz="0" w:space="0" w:color="auto"/>
                    <w:right w:val="none" w:sz="0" w:space="0" w:color="auto"/>
                  </w:divBdr>
                  <w:divsChild>
                    <w:div w:id="1504008288">
                      <w:marLeft w:val="0"/>
                      <w:marRight w:val="0"/>
                      <w:marTop w:val="0"/>
                      <w:marBottom w:val="0"/>
                      <w:divBdr>
                        <w:top w:val="none" w:sz="0" w:space="0" w:color="auto"/>
                        <w:left w:val="none" w:sz="0" w:space="0" w:color="auto"/>
                        <w:bottom w:val="none" w:sz="0" w:space="0" w:color="auto"/>
                        <w:right w:val="none" w:sz="0" w:space="0" w:color="auto"/>
                      </w:divBdr>
                    </w:div>
                  </w:divsChild>
                </w:div>
                <w:div w:id="1889566713">
                  <w:marLeft w:val="0"/>
                  <w:marRight w:val="0"/>
                  <w:marTop w:val="0"/>
                  <w:marBottom w:val="0"/>
                  <w:divBdr>
                    <w:top w:val="none" w:sz="0" w:space="0" w:color="auto"/>
                    <w:left w:val="none" w:sz="0" w:space="0" w:color="auto"/>
                    <w:bottom w:val="none" w:sz="0" w:space="0" w:color="auto"/>
                    <w:right w:val="none" w:sz="0" w:space="0" w:color="auto"/>
                  </w:divBdr>
                  <w:divsChild>
                    <w:div w:id="785123535">
                      <w:marLeft w:val="0"/>
                      <w:marRight w:val="0"/>
                      <w:marTop w:val="0"/>
                      <w:marBottom w:val="0"/>
                      <w:divBdr>
                        <w:top w:val="none" w:sz="0" w:space="0" w:color="auto"/>
                        <w:left w:val="none" w:sz="0" w:space="0" w:color="auto"/>
                        <w:bottom w:val="none" w:sz="0" w:space="0" w:color="auto"/>
                        <w:right w:val="none" w:sz="0" w:space="0" w:color="auto"/>
                      </w:divBdr>
                    </w:div>
                  </w:divsChild>
                </w:div>
                <w:div w:id="1973896702">
                  <w:marLeft w:val="0"/>
                  <w:marRight w:val="0"/>
                  <w:marTop w:val="0"/>
                  <w:marBottom w:val="0"/>
                  <w:divBdr>
                    <w:top w:val="none" w:sz="0" w:space="0" w:color="auto"/>
                    <w:left w:val="none" w:sz="0" w:space="0" w:color="auto"/>
                    <w:bottom w:val="none" w:sz="0" w:space="0" w:color="auto"/>
                    <w:right w:val="none" w:sz="0" w:space="0" w:color="auto"/>
                  </w:divBdr>
                  <w:divsChild>
                    <w:div w:id="1015808343">
                      <w:marLeft w:val="0"/>
                      <w:marRight w:val="0"/>
                      <w:marTop w:val="0"/>
                      <w:marBottom w:val="0"/>
                      <w:divBdr>
                        <w:top w:val="none" w:sz="0" w:space="0" w:color="auto"/>
                        <w:left w:val="none" w:sz="0" w:space="0" w:color="auto"/>
                        <w:bottom w:val="none" w:sz="0" w:space="0" w:color="auto"/>
                        <w:right w:val="none" w:sz="0" w:space="0" w:color="auto"/>
                      </w:divBdr>
                    </w:div>
                  </w:divsChild>
                </w:div>
                <w:div w:id="1974485474">
                  <w:marLeft w:val="0"/>
                  <w:marRight w:val="0"/>
                  <w:marTop w:val="0"/>
                  <w:marBottom w:val="0"/>
                  <w:divBdr>
                    <w:top w:val="none" w:sz="0" w:space="0" w:color="auto"/>
                    <w:left w:val="none" w:sz="0" w:space="0" w:color="auto"/>
                    <w:bottom w:val="none" w:sz="0" w:space="0" w:color="auto"/>
                    <w:right w:val="none" w:sz="0" w:space="0" w:color="auto"/>
                  </w:divBdr>
                  <w:divsChild>
                    <w:div w:id="1721244220">
                      <w:marLeft w:val="0"/>
                      <w:marRight w:val="0"/>
                      <w:marTop w:val="0"/>
                      <w:marBottom w:val="0"/>
                      <w:divBdr>
                        <w:top w:val="none" w:sz="0" w:space="0" w:color="auto"/>
                        <w:left w:val="none" w:sz="0" w:space="0" w:color="auto"/>
                        <w:bottom w:val="none" w:sz="0" w:space="0" w:color="auto"/>
                        <w:right w:val="none" w:sz="0" w:space="0" w:color="auto"/>
                      </w:divBdr>
                    </w:div>
                  </w:divsChild>
                </w:div>
                <w:div w:id="1977837517">
                  <w:marLeft w:val="0"/>
                  <w:marRight w:val="0"/>
                  <w:marTop w:val="0"/>
                  <w:marBottom w:val="0"/>
                  <w:divBdr>
                    <w:top w:val="none" w:sz="0" w:space="0" w:color="auto"/>
                    <w:left w:val="none" w:sz="0" w:space="0" w:color="auto"/>
                    <w:bottom w:val="none" w:sz="0" w:space="0" w:color="auto"/>
                    <w:right w:val="none" w:sz="0" w:space="0" w:color="auto"/>
                  </w:divBdr>
                  <w:divsChild>
                    <w:div w:id="479539493">
                      <w:marLeft w:val="0"/>
                      <w:marRight w:val="0"/>
                      <w:marTop w:val="0"/>
                      <w:marBottom w:val="0"/>
                      <w:divBdr>
                        <w:top w:val="none" w:sz="0" w:space="0" w:color="auto"/>
                        <w:left w:val="none" w:sz="0" w:space="0" w:color="auto"/>
                        <w:bottom w:val="none" w:sz="0" w:space="0" w:color="auto"/>
                        <w:right w:val="none" w:sz="0" w:space="0" w:color="auto"/>
                      </w:divBdr>
                    </w:div>
                  </w:divsChild>
                </w:div>
                <w:div w:id="1985618948">
                  <w:marLeft w:val="0"/>
                  <w:marRight w:val="0"/>
                  <w:marTop w:val="0"/>
                  <w:marBottom w:val="0"/>
                  <w:divBdr>
                    <w:top w:val="none" w:sz="0" w:space="0" w:color="auto"/>
                    <w:left w:val="none" w:sz="0" w:space="0" w:color="auto"/>
                    <w:bottom w:val="none" w:sz="0" w:space="0" w:color="auto"/>
                    <w:right w:val="none" w:sz="0" w:space="0" w:color="auto"/>
                  </w:divBdr>
                  <w:divsChild>
                    <w:div w:id="508643763">
                      <w:marLeft w:val="0"/>
                      <w:marRight w:val="0"/>
                      <w:marTop w:val="0"/>
                      <w:marBottom w:val="0"/>
                      <w:divBdr>
                        <w:top w:val="none" w:sz="0" w:space="0" w:color="auto"/>
                        <w:left w:val="none" w:sz="0" w:space="0" w:color="auto"/>
                        <w:bottom w:val="none" w:sz="0" w:space="0" w:color="auto"/>
                        <w:right w:val="none" w:sz="0" w:space="0" w:color="auto"/>
                      </w:divBdr>
                    </w:div>
                  </w:divsChild>
                </w:div>
                <w:div w:id="2001343775">
                  <w:marLeft w:val="0"/>
                  <w:marRight w:val="0"/>
                  <w:marTop w:val="0"/>
                  <w:marBottom w:val="0"/>
                  <w:divBdr>
                    <w:top w:val="none" w:sz="0" w:space="0" w:color="auto"/>
                    <w:left w:val="none" w:sz="0" w:space="0" w:color="auto"/>
                    <w:bottom w:val="none" w:sz="0" w:space="0" w:color="auto"/>
                    <w:right w:val="none" w:sz="0" w:space="0" w:color="auto"/>
                  </w:divBdr>
                  <w:divsChild>
                    <w:div w:id="798114624">
                      <w:marLeft w:val="0"/>
                      <w:marRight w:val="0"/>
                      <w:marTop w:val="0"/>
                      <w:marBottom w:val="0"/>
                      <w:divBdr>
                        <w:top w:val="none" w:sz="0" w:space="0" w:color="auto"/>
                        <w:left w:val="none" w:sz="0" w:space="0" w:color="auto"/>
                        <w:bottom w:val="none" w:sz="0" w:space="0" w:color="auto"/>
                        <w:right w:val="none" w:sz="0" w:space="0" w:color="auto"/>
                      </w:divBdr>
                    </w:div>
                  </w:divsChild>
                </w:div>
                <w:div w:id="2054767043">
                  <w:marLeft w:val="0"/>
                  <w:marRight w:val="0"/>
                  <w:marTop w:val="0"/>
                  <w:marBottom w:val="0"/>
                  <w:divBdr>
                    <w:top w:val="none" w:sz="0" w:space="0" w:color="auto"/>
                    <w:left w:val="none" w:sz="0" w:space="0" w:color="auto"/>
                    <w:bottom w:val="none" w:sz="0" w:space="0" w:color="auto"/>
                    <w:right w:val="none" w:sz="0" w:space="0" w:color="auto"/>
                  </w:divBdr>
                  <w:divsChild>
                    <w:div w:id="1827015744">
                      <w:marLeft w:val="0"/>
                      <w:marRight w:val="0"/>
                      <w:marTop w:val="0"/>
                      <w:marBottom w:val="0"/>
                      <w:divBdr>
                        <w:top w:val="none" w:sz="0" w:space="0" w:color="auto"/>
                        <w:left w:val="none" w:sz="0" w:space="0" w:color="auto"/>
                        <w:bottom w:val="none" w:sz="0" w:space="0" w:color="auto"/>
                        <w:right w:val="none" w:sz="0" w:space="0" w:color="auto"/>
                      </w:divBdr>
                    </w:div>
                  </w:divsChild>
                </w:div>
                <w:div w:id="2063668587">
                  <w:marLeft w:val="0"/>
                  <w:marRight w:val="0"/>
                  <w:marTop w:val="0"/>
                  <w:marBottom w:val="0"/>
                  <w:divBdr>
                    <w:top w:val="none" w:sz="0" w:space="0" w:color="auto"/>
                    <w:left w:val="none" w:sz="0" w:space="0" w:color="auto"/>
                    <w:bottom w:val="none" w:sz="0" w:space="0" w:color="auto"/>
                    <w:right w:val="none" w:sz="0" w:space="0" w:color="auto"/>
                  </w:divBdr>
                  <w:divsChild>
                    <w:div w:id="972908588">
                      <w:marLeft w:val="0"/>
                      <w:marRight w:val="0"/>
                      <w:marTop w:val="0"/>
                      <w:marBottom w:val="0"/>
                      <w:divBdr>
                        <w:top w:val="none" w:sz="0" w:space="0" w:color="auto"/>
                        <w:left w:val="none" w:sz="0" w:space="0" w:color="auto"/>
                        <w:bottom w:val="none" w:sz="0" w:space="0" w:color="auto"/>
                        <w:right w:val="none" w:sz="0" w:space="0" w:color="auto"/>
                      </w:divBdr>
                    </w:div>
                  </w:divsChild>
                </w:div>
                <w:div w:id="2087461086">
                  <w:marLeft w:val="0"/>
                  <w:marRight w:val="0"/>
                  <w:marTop w:val="0"/>
                  <w:marBottom w:val="0"/>
                  <w:divBdr>
                    <w:top w:val="none" w:sz="0" w:space="0" w:color="auto"/>
                    <w:left w:val="none" w:sz="0" w:space="0" w:color="auto"/>
                    <w:bottom w:val="none" w:sz="0" w:space="0" w:color="auto"/>
                    <w:right w:val="none" w:sz="0" w:space="0" w:color="auto"/>
                  </w:divBdr>
                  <w:divsChild>
                    <w:div w:id="1316908863">
                      <w:marLeft w:val="0"/>
                      <w:marRight w:val="0"/>
                      <w:marTop w:val="0"/>
                      <w:marBottom w:val="0"/>
                      <w:divBdr>
                        <w:top w:val="none" w:sz="0" w:space="0" w:color="auto"/>
                        <w:left w:val="none" w:sz="0" w:space="0" w:color="auto"/>
                        <w:bottom w:val="none" w:sz="0" w:space="0" w:color="auto"/>
                        <w:right w:val="none" w:sz="0" w:space="0" w:color="auto"/>
                      </w:divBdr>
                    </w:div>
                  </w:divsChild>
                </w:div>
                <w:div w:id="2094356025">
                  <w:marLeft w:val="0"/>
                  <w:marRight w:val="0"/>
                  <w:marTop w:val="0"/>
                  <w:marBottom w:val="0"/>
                  <w:divBdr>
                    <w:top w:val="none" w:sz="0" w:space="0" w:color="auto"/>
                    <w:left w:val="none" w:sz="0" w:space="0" w:color="auto"/>
                    <w:bottom w:val="none" w:sz="0" w:space="0" w:color="auto"/>
                    <w:right w:val="none" w:sz="0" w:space="0" w:color="auto"/>
                  </w:divBdr>
                  <w:divsChild>
                    <w:div w:id="678459914">
                      <w:marLeft w:val="0"/>
                      <w:marRight w:val="0"/>
                      <w:marTop w:val="0"/>
                      <w:marBottom w:val="0"/>
                      <w:divBdr>
                        <w:top w:val="none" w:sz="0" w:space="0" w:color="auto"/>
                        <w:left w:val="none" w:sz="0" w:space="0" w:color="auto"/>
                        <w:bottom w:val="none" w:sz="0" w:space="0" w:color="auto"/>
                        <w:right w:val="none" w:sz="0" w:space="0" w:color="auto"/>
                      </w:divBdr>
                    </w:div>
                  </w:divsChild>
                </w:div>
                <w:div w:id="2139755995">
                  <w:marLeft w:val="0"/>
                  <w:marRight w:val="0"/>
                  <w:marTop w:val="0"/>
                  <w:marBottom w:val="0"/>
                  <w:divBdr>
                    <w:top w:val="none" w:sz="0" w:space="0" w:color="auto"/>
                    <w:left w:val="none" w:sz="0" w:space="0" w:color="auto"/>
                    <w:bottom w:val="none" w:sz="0" w:space="0" w:color="auto"/>
                    <w:right w:val="none" w:sz="0" w:space="0" w:color="auto"/>
                  </w:divBdr>
                  <w:divsChild>
                    <w:div w:id="2708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095608">
      <w:bodyDiv w:val="1"/>
      <w:marLeft w:val="0"/>
      <w:marRight w:val="0"/>
      <w:marTop w:val="0"/>
      <w:marBottom w:val="0"/>
      <w:divBdr>
        <w:top w:val="none" w:sz="0" w:space="0" w:color="auto"/>
        <w:left w:val="none" w:sz="0" w:space="0" w:color="auto"/>
        <w:bottom w:val="none" w:sz="0" w:space="0" w:color="auto"/>
        <w:right w:val="none" w:sz="0" w:space="0" w:color="auto"/>
      </w:divBdr>
      <w:divsChild>
        <w:div w:id="2136094776">
          <w:marLeft w:val="0"/>
          <w:marRight w:val="0"/>
          <w:marTop w:val="0"/>
          <w:marBottom w:val="0"/>
          <w:divBdr>
            <w:top w:val="none" w:sz="0" w:space="0" w:color="auto"/>
            <w:left w:val="none" w:sz="0" w:space="0" w:color="auto"/>
            <w:bottom w:val="none" w:sz="0" w:space="0" w:color="auto"/>
            <w:right w:val="none" w:sz="0" w:space="0" w:color="auto"/>
          </w:divBdr>
          <w:divsChild>
            <w:div w:id="1223831712">
              <w:marLeft w:val="0"/>
              <w:marRight w:val="0"/>
              <w:marTop w:val="0"/>
              <w:marBottom w:val="0"/>
              <w:divBdr>
                <w:top w:val="none" w:sz="0" w:space="0" w:color="auto"/>
                <w:left w:val="none" w:sz="0" w:space="0" w:color="auto"/>
                <w:bottom w:val="none" w:sz="0" w:space="0" w:color="auto"/>
                <w:right w:val="none" w:sz="0" w:space="0" w:color="auto"/>
              </w:divBdr>
              <w:divsChild>
                <w:div w:id="2550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0839">
      <w:bodyDiv w:val="1"/>
      <w:marLeft w:val="0"/>
      <w:marRight w:val="0"/>
      <w:marTop w:val="0"/>
      <w:marBottom w:val="0"/>
      <w:divBdr>
        <w:top w:val="none" w:sz="0" w:space="0" w:color="auto"/>
        <w:left w:val="none" w:sz="0" w:space="0" w:color="auto"/>
        <w:bottom w:val="none" w:sz="0" w:space="0" w:color="auto"/>
        <w:right w:val="none" w:sz="0" w:space="0" w:color="auto"/>
      </w:divBdr>
      <w:divsChild>
        <w:div w:id="699863267">
          <w:marLeft w:val="0"/>
          <w:marRight w:val="0"/>
          <w:marTop w:val="0"/>
          <w:marBottom w:val="0"/>
          <w:divBdr>
            <w:top w:val="none" w:sz="0" w:space="0" w:color="auto"/>
            <w:left w:val="none" w:sz="0" w:space="0" w:color="auto"/>
            <w:bottom w:val="none" w:sz="0" w:space="0" w:color="auto"/>
            <w:right w:val="none" w:sz="0" w:space="0" w:color="auto"/>
          </w:divBdr>
          <w:divsChild>
            <w:div w:id="1326741200">
              <w:marLeft w:val="0"/>
              <w:marRight w:val="0"/>
              <w:marTop w:val="0"/>
              <w:marBottom w:val="0"/>
              <w:divBdr>
                <w:top w:val="none" w:sz="0" w:space="0" w:color="auto"/>
                <w:left w:val="none" w:sz="0" w:space="0" w:color="auto"/>
                <w:bottom w:val="none" w:sz="0" w:space="0" w:color="auto"/>
                <w:right w:val="none" w:sz="0" w:space="0" w:color="auto"/>
              </w:divBdr>
              <w:divsChild>
                <w:div w:id="7029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31286">
      <w:bodyDiv w:val="1"/>
      <w:marLeft w:val="0"/>
      <w:marRight w:val="0"/>
      <w:marTop w:val="0"/>
      <w:marBottom w:val="0"/>
      <w:divBdr>
        <w:top w:val="none" w:sz="0" w:space="0" w:color="auto"/>
        <w:left w:val="none" w:sz="0" w:space="0" w:color="auto"/>
        <w:bottom w:val="none" w:sz="0" w:space="0" w:color="auto"/>
        <w:right w:val="none" w:sz="0" w:space="0" w:color="auto"/>
      </w:divBdr>
      <w:divsChild>
        <w:div w:id="6085901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247798">
              <w:marLeft w:val="0"/>
              <w:marRight w:val="0"/>
              <w:marTop w:val="0"/>
              <w:marBottom w:val="0"/>
              <w:divBdr>
                <w:top w:val="none" w:sz="0" w:space="0" w:color="auto"/>
                <w:left w:val="none" w:sz="0" w:space="0" w:color="auto"/>
                <w:bottom w:val="none" w:sz="0" w:space="0" w:color="auto"/>
                <w:right w:val="none" w:sz="0" w:space="0" w:color="auto"/>
              </w:divBdr>
              <w:divsChild>
                <w:div w:id="1643538617">
                  <w:marLeft w:val="0"/>
                  <w:marRight w:val="0"/>
                  <w:marTop w:val="0"/>
                  <w:marBottom w:val="0"/>
                  <w:divBdr>
                    <w:top w:val="none" w:sz="0" w:space="0" w:color="auto"/>
                    <w:left w:val="none" w:sz="0" w:space="0" w:color="auto"/>
                    <w:bottom w:val="none" w:sz="0" w:space="0" w:color="auto"/>
                    <w:right w:val="none" w:sz="0" w:space="0" w:color="auto"/>
                  </w:divBdr>
                  <w:divsChild>
                    <w:div w:id="1925265775">
                      <w:marLeft w:val="0"/>
                      <w:marRight w:val="0"/>
                      <w:marTop w:val="0"/>
                      <w:marBottom w:val="0"/>
                      <w:divBdr>
                        <w:top w:val="none" w:sz="0" w:space="0" w:color="auto"/>
                        <w:left w:val="none" w:sz="0" w:space="0" w:color="auto"/>
                        <w:bottom w:val="none" w:sz="0" w:space="0" w:color="auto"/>
                        <w:right w:val="none" w:sz="0" w:space="0" w:color="auto"/>
                      </w:divBdr>
                      <w:divsChild>
                        <w:div w:id="1642076118">
                          <w:marLeft w:val="0"/>
                          <w:marRight w:val="0"/>
                          <w:marTop w:val="0"/>
                          <w:marBottom w:val="0"/>
                          <w:divBdr>
                            <w:top w:val="none" w:sz="0" w:space="0" w:color="auto"/>
                            <w:left w:val="none" w:sz="0" w:space="0" w:color="auto"/>
                            <w:bottom w:val="none" w:sz="0" w:space="0" w:color="auto"/>
                            <w:right w:val="none" w:sz="0" w:space="0" w:color="auto"/>
                          </w:divBdr>
                          <w:divsChild>
                            <w:div w:id="1779375499">
                              <w:marLeft w:val="0"/>
                              <w:marRight w:val="0"/>
                              <w:marTop w:val="0"/>
                              <w:marBottom w:val="0"/>
                              <w:divBdr>
                                <w:top w:val="none" w:sz="0" w:space="0" w:color="auto"/>
                                <w:left w:val="none" w:sz="0" w:space="0" w:color="auto"/>
                                <w:bottom w:val="none" w:sz="0" w:space="0" w:color="auto"/>
                                <w:right w:val="none" w:sz="0" w:space="0" w:color="auto"/>
                              </w:divBdr>
                              <w:divsChild>
                                <w:div w:id="2016498096">
                                  <w:marLeft w:val="0"/>
                                  <w:marRight w:val="0"/>
                                  <w:marTop w:val="0"/>
                                  <w:marBottom w:val="0"/>
                                  <w:divBdr>
                                    <w:top w:val="none" w:sz="0" w:space="0" w:color="auto"/>
                                    <w:left w:val="none" w:sz="0" w:space="0" w:color="auto"/>
                                    <w:bottom w:val="none" w:sz="0" w:space="0" w:color="auto"/>
                                    <w:right w:val="none" w:sz="0" w:space="0" w:color="auto"/>
                                  </w:divBdr>
                                  <w:divsChild>
                                    <w:div w:id="1774785357">
                                      <w:marLeft w:val="0"/>
                                      <w:marRight w:val="0"/>
                                      <w:marTop w:val="0"/>
                                      <w:marBottom w:val="0"/>
                                      <w:divBdr>
                                        <w:top w:val="none" w:sz="0" w:space="0" w:color="auto"/>
                                        <w:left w:val="none" w:sz="0" w:space="0" w:color="auto"/>
                                        <w:bottom w:val="none" w:sz="0" w:space="0" w:color="auto"/>
                                        <w:right w:val="none" w:sz="0" w:space="0" w:color="auto"/>
                                      </w:divBdr>
                                      <w:divsChild>
                                        <w:div w:id="604266605">
                                          <w:marLeft w:val="0"/>
                                          <w:marRight w:val="0"/>
                                          <w:marTop w:val="0"/>
                                          <w:marBottom w:val="0"/>
                                          <w:divBdr>
                                            <w:top w:val="none" w:sz="0" w:space="0" w:color="auto"/>
                                            <w:left w:val="none" w:sz="0" w:space="0" w:color="auto"/>
                                            <w:bottom w:val="none" w:sz="0" w:space="0" w:color="auto"/>
                                            <w:right w:val="none" w:sz="0" w:space="0" w:color="auto"/>
                                          </w:divBdr>
                                          <w:divsChild>
                                            <w:div w:id="2966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396312">
      <w:bodyDiv w:val="1"/>
      <w:marLeft w:val="0"/>
      <w:marRight w:val="0"/>
      <w:marTop w:val="0"/>
      <w:marBottom w:val="0"/>
      <w:divBdr>
        <w:top w:val="none" w:sz="0" w:space="0" w:color="auto"/>
        <w:left w:val="none" w:sz="0" w:space="0" w:color="auto"/>
        <w:bottom w:val="none" w:sz="0" w:space="0" w:color="auto"/>
        <w:right w:val="none" w:sz="0" w:space="0" w:color="auto"/>
      </w:divBdr>
      <w:divsChild>
        <w:div w:id="466633128">
          <w:marLeft w:val="0"/>
          <w:marRight w:val="0"/>
          <w:marTop w:val="0"/>
          <w:marBottom w:val="0"/>
          <w:divBdr>
            <w:top w:val="none" w:sz="0" w:space="0" w:color="auto"/>
            <w:left w:val="none" w:sz="0" w:space="0" w:color="auto"/>
            <w:bottom w:val="none" w:sz="0" w:space="0" w:color="auto"/>
            <w:right w:val="none" w:sz="0" w:space="0" w:color="auto"/>
          </w:divBdr>
          <w:divsChild>
            <w:div w:id="912278870">
              <w:marLeft w:val="0"/>
              <w:marRight w:val="0"/>
              <w:marTop w:val="0"/>
              <w:marBottom w:val="0"/>
              <w:divBdr>
                <w:top w:val="none" w:sz="0" w:space="0" w:color="auto"/>
                <w:left w:val="none" w:sz="0" w:space="0" w:color="auto"/>
                <w:bottom w:val="none" w:sz="0" w:space="0" w:color="auto"/>
                <w:right w:val="none" w:sz="0" w:space="0" w:color="auto"/>
              </w:divBdr>
              <w:divsChild>
                <w:div w:id="1518134">
                  <w:marLeft w:val="0"/>
                  <w:marRight w:val="0"/>
                  <w:marTop w:val="0"/>
                  <w:marBottom w:val="0"/>
                  <w:divBdr>
                    <w:top w:val="none" w:sz="0" w:space="0" w:color="auto"/>
                    <w:left w:val="none" w:sz="0" w:space="0" w:color="auto"/>
                    <w:bottom w:val="none" w:sz="0" w:space="0" w:color="auto"/>
                    <w:right w:val="none" w:sz="0" w:space="0" w:color="auto"/>
                  </w:divBdr>
                  <w:divsChild>
                    <w:div w:id="1408108371">
                      <w:marLeft w:val="0"/>
                      <w:marRight w:val="0"/>
                      <w:marTop w:val="0"/>
                      <w:marBottom w:val="0"/>
                      <w:divBdr>
                        <w:top w:val="none" w:sz="0" w:space="0" w:color="auto"/>
                        <w:left w:val="none" w:sz="0" w:space="0" w:color="auto"/>
                        <w:bottom w:val="none" w:sz="0" w:space="0" w:color="auto"/>
                        <w:right w:val="none" w:sz="0" w:space="0" w:color="auto"/>
                      </w:divBdr>
                    </w:div>
                  </w:divsChild>
                </w:div>
                <w:div w:id="42023559">
                  <w:marLeft w:val="0"/>
                  <w:marRight w:val="0"/>
                  <w:marTop w:val="0"/>
                  <w:marBottom w:val="0"/>
                  <w:divBdr>
                    <w:top w:val="none" w:sz="0" w:space="0" w:color="auto"/>
                    <w:left w:val="none" w:sz="0" w:space="0" w:color="auto"/>
                    <w:bottom w:val="none" w:sz="0" w:space="0" w:color="auto"/>
                    <w:right w:val="none" w:sz="0" w:space="0" w:color="auto"/>
                  </w:divBdr>
                  <w:divsChild>
                    <w:div w:id="745106917">
                      <w:marLeft w:val="0"/>
                      <w:marRight w:val="0"/>
                      <w:marTop w:val="0"/>
                      <w:marBottom w:val="0"/>
                      <w:divBdr>
                        <w:top w:val="none" w:sz="0" w:space="0" w:color="auto"/>
                        <w:left w:val="none" w:sz="0" w:space="0" w:color="auto"/>
                        <w:bottom w:val="none" w:sz="0" w:space="0" w:color="auto"/>
                        <w:right w:val="none" w:sz="0" w:space="0" w:color="auto"/>
                      </w:divBdr>
                    </w:div>
                  </w:divsChild>
                </w:div>
                <w:div w:id="83957089">
                  <w:marLeft w:val="0"/>
                  <w:marRight w:val="0"/>
                  <w:marTop w:val="0"/>
                  <w:marBottom w:val="0"/>
                  <w:divBdr>
                    <w:top w:val="none" w:sz="0" w:space="0" w:color="auto"/>
                    <w:left w:val="none" w:sz="0" w:space="0" w:color="auto"/>
                    <w:bottom w:val="none" w:sz="0" w:space="0" w:color="auto"/>
                    <w:right w:val="none" w:sz="0" w:space="0" w:color="auto"/>
                  </w:divBdr>
                  <w:divsChild>
                    <w:div w:id="363210211">
                      <w:marLeft w:val="0"/>
                      <w:marRight w:val="0"/>
                      <w:marTop w:val="0"/>
                      <w:marBottom w:val="0"/>
                      <w:divBdr>
                        <w:top w:val="none" w:sz="0" w:space="0" w:color="auto"/>
                        <w:left w:val="none" w:sz="0" w:space="0" w:color="auto"/>
                        <w:bottom w:val="none" w:sz="0" w:space="0" w:color="auto"/>
                        <w:right w:val="none" w:sz="0" w:space="0" w:color="auto"/>
                      </w:divBdr>
                    </w:div>
                  </w:divsChild>
                </w:div>
                <w:div w:id="121119414">
                  <w:marLeft w:val="0"/>
                  <w:marRight w:val="0"/>
                  <w:marTop w:val="0"/>
                  <w:marBottom w:val="0"/>
                  <w:divBdr>
                    <w:top w:val="none" w:sz="0" w:space="0" w:color="auto"/>
                    <w:left w:val="none" w:sz="0" w:space="0" w:color="auto"/>
                    <w:bottom w:val="none" w:sz="0" w:space="0" w:color="auto"/>
                    <w:right w:val="none" w:sz="0" w:space="0" w:color="auto"/>
                  </w:divBdr>
                  <w:divsChild>
                    <w:div w:id="2107574192">
                      <w:marLeft w:val="0"/>
                      <w:marRight w:val="0"/>
                      <w:marTop w:val="0"/>
                      <w:marBottom w:val="0"/>
                      <w:divBdr>
                        <w:top w:val="none" w:sz="0" w:space="0" w:color="auto"/>
                        <w:left w:val="none" w:sz="0" w:space="0" w:color="auto"/>
                        <w:bottom w:val="none" w:sz="0" w:space="0" w:color="auto"/>
                        <w:right w:val="none" w:sz="0" w:space="0" w:color="auto"/>
                      </w:divBdr>
                    </w:div>
                  </w:divsChild>
                </w:div>
                <w:div w:id="127867334">
                  <w:marLeft w:val="0"/>
                  <w:marRight w:val="0"/>
                  <w:marTop w:val="0"/>
                  <w:marBottom w:val="0"/>
                  <w:divBdr>
                    <w:top w:val="none" w:sz="0" w:space="0" w:color="auto"/>
                    <w:left w:val="none" w:sz="0" w:space="0" w:color="auto"/>
                    <w:bottom w:val="none" w:sz="0" w:space="0" w:color="auto"/>
                    <w:right w:val="none" w:sz="0" w:space="0" w:color="auto"/>
                  </w:divBdr>
                  <w:divsChild>
                    <w:div w:id="714307999">
                      <w:marLeft w:val="0"/>
                      <w:marRight w:val="0"/>
                      <w:marTop w:val="0"/>
                      <w:marBottom w:val="0"/>
                      <w:divBdr>
                        <w:top w:val="none" w:sz="0" w:space="0" w:color="auto"/>
                        <w:left w:val="none" w:sz="0" w:space="0" w:color="auto"/>
                        <w:bottom w:val="none" w:sz="0" w:space="0" w:color="auto"/>
                        <w:right w:val="none" w:sz="0" w:space="0" w:color="auto"/>
                      </w:divBdr>
                    </w:div>
                  </w:divsChild>
                </w:div>
                <w:div w:id="190337850">
                  <w:marLeft w:val="0"/>
                  <w:marRight w:val="0"/>
                  <w:marTop w:val="0"/>
                  <w:marBottom w:val="0"/>
                  <w:divBdr>
                    <w:top w:val="none" w:sz="0" w:space="0" w:color="auto"/>
                    <w:left w:val="none" w:sz="0" w:space="0" w:color="auto"/>
                    <w:bottom w:val="none" w:sz="0" w:space="0" w:color="auto"/>
                    <w:right w:val="none" w:sz="0" w:space="0" w:color="auto"/>
                  </w:divBdr>
                  <w:divsChild>
                    <w:div w:id="1910917539">
                      <w:marLeft w:val="0"/>
                      <w:marRight w:val="0"/>
                      <w:marTop w:val="0"/>
                      <w:marBottom w:val="0"/>
                      <w:divBdr>
                        <w:top w:val="none" w:sz="0" w:space="0" w:color="auto"/>
                        <w:left w:val="none" w:sz="0" w:space="0" w:color="auto"/>
                        <w:bottom w:val="none" w:sz="0" w:space="0" w:color="auto"/>
                        <w:right w:val="none" w:sz="0" w:space="0" w:color="auto"/>
                      </w:divBdr>
                    </w:div>
                  </w:divsChild>
                </w:div>
                <w:div w:id="191458642">
                  <w:marLeft w:val="0"/>
                  <w:marRight w:val="0"/>
                  <w:marTop w:val="0"/>
                  <w:marBottom w:val="0"/>
                  <w:divBdr>
                    <w:top w:val="none" w:sz="0" w:space="0" w:color="auto"/>
                    <w:left w:val="none" w:sz="0" w:space="0" w:color="auto"/>
                    <w:bottom w:val="none" w:sz="0" w:space="0" w:color="auto"/>
                    <w:right w:val="none" w:sz="0" w:space="0" w:color="auto"/>
                  </w:divBdr>
                  <w:divsChild>
                    <w:div w:id="182330754">
                      <w:marLeft w:val="0"/>
                      <w:marRight w:val="0"/>
                      <w:marTop w:val="0"/>
                      <w:marBottom w:val="0"/>
                      <w:divBdr>
                        <w:top w:val="none" w:sz="0" w:space="0" w:color="auto"/>
                        <w:left w:val="none" w:sz="0" w:space="0" w:color="auto"/>
                        <w:bottom w:val="none" w:sz="0" w:space="0" w:color="auto"/>
                        <w:right w:val="none" w:sz="0" w:space="0" w:color="auto"/>
                      </w:divBdr>
                    </w:div>
                  </w:divsChild>
                </w:div>
                <w:div w:id="208734761">
                  <w:marLeft w:val="0"/>
                  <w:marRight w:val="0"/>
                  <w:marTop w:val="0"/>
                  <w:marBottom w:val="0"/>
                  <w:divBdr>
                    <w:top w:val="none" w:sz="0" w:space="0" w:color="auto"/>
                    <w:left w:val="none" w:sz="0" w:space="0" w:color="auto"/>
                    <w:bottom w:val="none" w:sz="0" w:space="0" w:color="auto"/>
                    <w:right w:val="none" w:sz="0" w:space="0" w:color="auto"/>
                  </w:divBdr>
                  <w:divsChild>
                    <w:div w:id="940180841">
                      <w:marLeft w:val="0"/>
                      <w:marRight w:val="0"/>
                      <w:marTop w:val="0"/>
                      <w:marBottom w:val="0"/>
                      <w:divBdr>
                        <w:top w:val="none" w:sz="0" w:space="0" w:color="auto"/>
                        <w:left w:val="none" w:sz="0" w:space="0" w:color="auto"/>
                        <w:bottom w:val="none" w:sz="0" w:space="0" w:color="auto"/>
                        <w:right w:val="none" w:sz="0" w:space="0" w:color="auto"/>
                      </w:divBdr>
                    </w:div>
                  </w:divsChild>
                </w:div>
                <w:div w:id="281349200">
                  <w:marLeft w:val="0"/>
                  <w:marRight w:val="0"/>
                  <w:marTop w:val="0"/>
                  <w:marBottom w:val="0"/>
                  <w:divBdr>
                    <w:top w:val="none" w:sz="0" w:space="0" w:color="auto"/>
                    <w:left w:val="none" w:sz="0" w:space="0" w:color="auto"/>
                    <w:bottom w:val="none" w:sz="0" w:space="0" w:color="auto"/>
                    <w:right w:val="none" w:sz="0" w:space="0" w:color="auto"/>
                  </w:divBdr>
                  <w:divsChild>
                    <w:div w:id="2045474231">
                      <w:marLeft w:val="0"/>
                      <w:marRight w:val="0"/>
                      <w:marTop w:val="0"/>
                      <w:marBottom w:val="0"/>
                      <w:divBdr>
                        <w:top w:val="none" w:sz="0" w:space="0" w:color="auto"/>
                        <w:left w:val="none" w:sz="0" w:space="0" w:color="auto"/>
                        <w:bottom w:val="none" w:sz="0" w:space="0" w:color="auto"/>
                        <w:right w:val="none" w:sz="0" w:space="0" w:color="auto"/>
                      </w:divBdr>
                    </w:div>
                  </w:divsChild>
                </w:div>
                <w:div w:id="324748383">
                  <w:marLeft w:val="0"/>
                  <w:marRight w:val="0"/>
                  <w:marTop w:val="0"/>
                  <w:marBottom w:val="0"/>
                  <w:divBdr>
                    <w:top w:val="none" w:sz="0" w:space="0" w:color="auto"/>
                    <w:left w:val="none" w:sz="0" w:space="0" w:color="auto"/>
                    <w:bottom w:val="none" w:sz="0" w:space="0" w:color="auto"/>
                    <w:right w:val="none" w:sz="0" w:space="0" w:color="auto"/>
                  </w:divBdr>
                  <w:divsChild>
                    <w:div w:id="1936162565">
                      <w:marLeft w:val="0"/>
                      <w:marRight w:val="0"/>
                      <w:marTop w:val="0"/>
                      <w:marBottom w:val="0"/>
                      <w:divBdr>
                        <w:top w:val="none" w:sz="0" w:space="0" w:color="auto"/>
                        <w:left w:val="none" w:sz="0" w:space="0" w:color="auto"/>
                        <w:bottom w:val="none" w:sz="0" w:space="0" w:color="auto"/>
                        <w:right w:val="none" w:sz="0" w:space="0" w:color="auto"/>
                      </w:divBdr>
                    </w:div>
                  </w:divsChild>
                </w:div>
                <w:div w:id="333341654">
                  <w:marLeft w:val="0"/>
                  <w:marRight w:val="0"/>
                  <w:marTop w:val="0"/>
                  <w:marBottom w:val="0"/>
                  <w:divBdr>
                    <w:top w:val="none" w:sz="0" w:space="0" w:color="auto"/>
                    <w:left w:val="none" w:sz="0" w:space="0" w:color="auto"/>
                    <w:bottom w:val="none" w:sz="0" w:space="0" w:color="auto"/>
                    <w:right w:val="none" w:sz="0" w:space="0" w:color="auto"/>
                  </w:divBdr>
                  <w:divsChild>
                    <w:div w:id="2034499948">
                      <w:marLeft w:val="0"/>
                      <w:marRight w:val="0"/>
                      <w:marTop w:val="0"/>
                      <w:marBottom w:val="0"/>
                      <w:divBdr>
                        <w:top w:val="none" w:sz="0" w:space="0" w:color="auto"/>
                        <w:left w:val="none" w:sz="0" w:space="0" w:color="auto"/>
                        <w:bottom w:val="none" w:sz="0" w:space="0" w:color="auto"/>
                        <w:right w:val="none" w:sz="0" w:space="0" w:color="auto"/>
                      </w:divBdr>
                    </w:div>
                  </w:divsChild>
                </w:div>
                <w:div w:id="340931794">
                  <w:marLeft w:val="0"/>
                  <w:marRight w:val="0"/>
                  <w:marTop w:val="0"/>
                  <w:marBottom w:val="0"/>
                  <w:divBdr>
                    <w:top w:val="none" w:sz="0" w:space="0" w:color="auto"/>
                    <w:left w:val="none" w:sz="0" w:space="0" w:color="auto"/>
                    <w:bottom w:val="none" w:sz="0" w:space="0" w:color="auto"/>
                    <w:right w:val="none" w:sz="0" w:space="0" w:color="auto"/>
                  </w:divBdr>
                  <w:divsChild>
                    <w:div w:id="1729766723">
                      <w:marLeft w:val="0"/>
                      <w:marRight w:val="0"/>
                      <w:marTop w:val="0"/>
                      <w:marBottom w:val="0"/>
                      <w:divBdr>
                        <w:top w:val="none" w:sz="0" w:space="0" w:color="auto"/>
                        <w:left w:val="none" w:sz="0" w:space="0" w:color="auto"/>
                        <w:bottom w:val="none" w:sz="0" w:space="0" w:color="auto"/>
                        <w:right w:val="none" w:sz="0" w:space="0" w:color="auto"/>
                      </w:divBdr>
                    </w:div>
                  </w:divsChild>
                </w:div>
                <w:div w:id="375784245">
                  <w:marLeft w:val="0"/>
                  <w:marRight w:val="0"/>
                  <w:marTop w:val="0"/>
                  <w:marBottom w:val="0"/>
                  <w:divBdr>
                    <w:top w:val="none" w:sz="0" w:space="0" w:color="auto"/>
                    <w:left w:val="none" w:sz="0" w:space="0" w:color="auto"/>
                    <w:bottom w:val="none" w:sz="0" w:space="0" w:color="auto"/>
                    <w:right w:val="none" w:sz="0" w:space="0" w:color="auto"/>
                  </w:divBdr>
                  <w:divsChild>
                    <w:div w:id="1194268150">
                      <w:marLeft w:val="0"/>
                      <w:marRight w:val="0"/>
                      <w:marTop w:val="0"/>
                      <w:marBottom w:val="0"/>
                      <w:divBdr>
                        <w:top w:val="none" w:sz="0" w:space="0" w:color="auto"/>
                        <w:left w:val="none" w:sz="0" w:space="0" w:color="auto"/>
                        <w:bottom w:val="none" w:sz="0" w:space="0" w:color="auto"/>
                        <w:right w:val="none" w:sz="0" w:space="0" w:color="auto"/>
                      </w:divBdr>
                    </w:div>
                  </w:divsChild>
                </w:div>
                <w:div w:id="406614261">
                  <w:marLeft w:val="0"/>
                  <w:marRight w:val="0"/>
                  <w:marTop w:val="0"/>
                  <w:marBottom w:val="0"/>
                  <w:divBdr>
                    <w:top w:val="none" w:sz="0" w:space="0" w:color="auto"/>
                    <w:left w:val="none" w:sz="0" w:space="0" w:color="auto"/>
                    <w:bottom w:val="none" w:sz="0" w:space="0" w:color="auto"/>
                    <w:right w:val="none" w:sz="0" w:space="0" w:color="auto"/>
                  </w:divBdr>
                  <w:divsChild>
                    <w:div w:id="391972872">
                      <w:marLeft w:val="0"/>
                      <w:marRight w:val="0"/>
                      <w:marTop w:val="0"/>
                      <w:marBottom w:val="0"/>
                      <w:divBdr>
                        <w:top w:val="none" w:sz="0" w:space="0" w:color="auto"/>
                        <w:left w:val="none" w:sz="0" w:space="0" w:color="auto"/>
                        <w:bottom w:val="none" w:sz="0" w:space="0" w:color="auto"/>
                        <w:right w:val="none" w:sz="0" w:space="0" w:color="auto"/>
                      </w:divBdr>
                    </w:div>
                  </w:divsChild>
                </w:div>
                <w:div w:id="466822802">
                  <w:marLeft w:val="0"/>
                  <w:marRight w:val="0"/>
                  <w:marTop w:val="0"/>
                  <w:marBottom w:val="0"/>
                  <w:divBdr>
                    <w:top w:val="none" w:sz="0" w:space="0" w:color="auto"/>
                    <w:left w:val="none" w:sz="0" w:space="0" w:color="auto"/>
                    <w:bottom w:val="none" w:sz="0" w:space="0" w:color="auto"/>
                    <w:right w:val="none" w:sz="0" w:space="0" w:color="auto"/>
                  </w:divBdr>
                  <w:divsChild>
                    <w:div w:id="1801725892">
                      <w:marLeft w:val="0"/>
                      <w:marRight w:val="0"/>
                      <w:marTop w:val="0"/>
                      <w:marBottom w:val="0"/>
                      <w:divBdr>
                        <w:top w:val="none" w:sz="0" w:space="0" w:color="auto"/>
                        <w:left w:val="none" w:sz="0" w:space="0" w:color="auto"/>
                        <w:bottom w:val="none" w:sz="0" w:space="0" w:color="auto"/>
                        <w:right w:val="none" w:sz="0" w:space="0" w:color="auto"/>
                      </w:divBdr>
                    </w:div>
                  </w:divsChild>
                </w:div>
                <w:div w:id="515192559">
                  <w:marLeft w:val="0"/>
                  <w:marRight w:val="0"/>
                  <w:marTop w:val="0"/>
                  <w:marBottom w:val="0"/>
                  <w:divBdr>
                    <w:top w:val="none" w:sz="0" w:space="0" w:color="auto"/>
                    <w:left w:val="none" w:sz="0" w:space="0" w:color="auto"/>
                    <w:bottom w:val="none" w:sz="0" w:space="0" w:color="auto"/>
                    <w:right w:val="none" w:sz="0" w:space="0" w:color="auto"/>
                  </w:divBdr>
                  <w:divsChild>
                    <w:div w:id="38287902">
                      <w:marLeft w:val="0"/>
                      <w:marRight w:val="0"/>
                      <w:marTop w:val="0"/>
                      <w:marBottom w:val="0"/>
                      <w:divBdr>
                        <w:top w:val="none" w:sz="0" w:space="0" w:color="auto"/>
                        <w:left w:val="none" w:sz="0" w:space="0" w:color="auto"/>
                        <w:bottom w:val="none" w:sz="0" w:space="0" w:color="auto"/>
                        <w:right w:val="none" w:sz="0" w:space="0" w:color="auto"/>
                      </w:divBdr>
                    </w:div>
                  </w:divsChild>
                </w:div>
                <w:div w:id="556475076">
                  <w:marLeft w:val="0"/>
                  <w:marRight w:val="0"/>
                  <w:marTop w:val="0"/>
                  <w:marBottom w:val="0"/>
                  <w:divBdr>
                    <w:top w:val="none" w:sz="0" w:space="0" w:color="auto"/>
                    <w:left w:val="none" w:sz="0" w:space="0" w:color="auto"/>
                    <w:bottom w:val="none" w:sz="0" w:space="0" w:color="auto"/>
                    <w:right w:val="none" w:sz="0" w:space="0" w:color="auto"/>
                  </w:divBdr>
                  <w:divsChild>
                    <w:div w:id="2083552993">
                      <w:marLeft w:val="0"/>
                      <w:marRight w:val="0"/>
                      <w:marTop w:val="0"/>
                      <w:marBottom w:val="0"/>
                      <w:divBdr>
                        <w:top w:val="none" w:sz="0" w:space="0" w:color="auto"/>
                        <w:left w:val="none" w:sz="0" w:space="0" w:color="auto"/>
                        <w:bottom w:val="none" w:sz="0" w:space="0" w:color="auto"/>
                        <w:right w:val="none" w:sz="0" w:space="0" w:color="auto"/>
                      </w:divBdr>
                    </w:div>
                  </w:divsChild>
                </w:div>
                <w:div w:id="559513071">
                  <w:marLeft w:val="0"/>
                  <w:marRight w:val="0"/>
                  <w:marTop w:val="0"/>
                  <w:marBottom w:val="0"/>
                  <w:divBdr>
                    <w:top w:val="none" w:sz="0" w:space="0" w:color="auto"/>
                    <w:left w:val="none" w:sz="0" w:space="0" w:color="auto"/>
                    <w:bottom w:val="none" w:sz="0" w:space="0" w:color="auto"/>
                    <w:right w:val="none" w:sz="0" w:space="0" w:color="auto"/>
                  </w:divBdr>
                  <w:divsChild>
                    <w:div w:id="1749041054">
                      <w:marLeft w:val="0"/>
                      <w:marRight w:val="0"/>
                      <w:marTop w:val="0"/>
                      <w:marBottom w:val="0"/>
                      <w:divBdr>
                        <w:top w:val="none" w:sz="0" w:space="0" w:color="auto"/>
                        <w:left w:val="none" w:sz="0" w:space="0" w:color="auto"/>
                        <w:bottom w:val="none" w:sz="0" w:space="0" w:color="auto"/>
                        <w:right w:val="none" w:sz="0" w:space="0" w:color="auto"/>
                      </w:divBdr>
                    </w:div>
                  </w:divsChild>
                </w:div>
                <w:div w:id="606470365">
                  <w:marLeft w:val="0"/>
                  <w:marRight w:val="0"/>
                  <w:marTop w:val="0"/>
                  <w:marBottom w:val="0"/>
                  <w:divBdr>
                    <w:top w:val="none" w:sz="0" w:space="0" w:color="auto"/>
                    <w:left w:val="none" w:sz="0" w:space="0" w:color="auto"/>
                    <w:bottom w:val="none" w:sz="0" w:space="0" w:color="auto"/>
                    <w:right w:val="none" w:sz="0" w:space="0" w:color="auto"/>
                  </w:divBdr>
                  <w:divsChild>
                    <w:div w:id="2084639579">
                      <w:marLeft w:val="0"/>
                      <w:marRight w:val="0"/>
                      <w:marTop w:val="0"/>
                      <w:marBottom w:val="0"/>
                      <w:divBdr>
                        <w:top w:val="none" w:sz="0" w:space="0" w:color="auto"/>
                        <w:left w:val="none" w:sz="0" w:space="0" w:color="auto"/>
                        <w:bottom w:val="none" w:sz="0" w:space="0" w:color="auto"/>
                        <w:right w:val="none" w:sz="0" w:space="0" w:color="auto"/>
                      </w:divBdr>
                    </w:div>
                  </w:divsChild>
                </w:div>
                <w:div w:id="620573252">
                  <w:marLeft w:val="0"/>
                  <w:marRight w:val="0"/>
                  <w:marTop w:val="0"/>
                  <w:marBottom w:val="0"/>
                  <w:divBdr>
                    <w:top w:val="none" w:sz="0" w:space="0" w:color="auto"/>
                    <w:left w:val="none" w:sz="0" w:space="0" w:color="auto"/>
                    <w:bottom w:val="none" w:sz="0" w:space="0" w:color="auto"/>
                    <w:right w:val="none" w:sz="0" w:space="0" w:color="auto"/>
                  </w:divBdr>
                  <w:divsChild>
                    <w:div w:id="1577016024">
                      <w:marLeft w:val="0"/>
                      <w:marRight w:val="0"/>
                      <w:marTop w:val="0"/>
                      <w:marBottom w:val="0"/>
                      <w:divBdr>
                        <w:top w:val="none" w:sz="0" w:space="0" w:color="auto"/>
                        <w:left w:val="none" w:sz="0" w:space="0" w:color="auto"/>
                        <w:bottom w:val="none" w:sz="0" w:space="0" w:color="auto"/>
                        <w:right w:val="none" w:sz="0" w:space="0" w:color="auto"/>
                      </w:divBdr>
                    </w:div>
                  </w:divsChild>
                </w:div>
                <w:div w:id="740366724">
                  <w:marLeft w:val="0"/>
                  <w:marRight w:val="0"/>
                  <w:marTop w:val="0"/>
                  <w:marBottom w:val="0"/>
                  <w:divBdr>
                    <w:top w:val="none" w:sz="0" w:space="0" w:color="auto"/>
                    <w:left w:val="none" w:sz="0" w:space="0" w:color="auto"/>
                    <w:bottom w:val="none" w:sz="0" w:space="0" w:color="auto"/>
                    <w:right w:val="none" w:sz="0" w:space="0" w:color="auto"/>
                  </w:divBdr>
                  <w:divsChild>
                    <w:div w:id="2116630326">
                      <w:marLeft w:val="0"/>
                      <w:marRight w:val="0"/>
                      <w:marTop w:val="0"/>
                      <w:marBottom w:val="0"/>
                      <w:divBdr>
                        <w:top w:val="none" w:sz="0" w:space="0" w:color="auto"/>
                        <w:left w:val="none" w:sz="0" w:space="0" w:color="auto"/>
                        <w:bottom w:val="none" w:sz="0" w:space="0" w:color="auto"/>
                        <w:right w:val="none" w:sz="0" w:space="0" w:color="auto"/>
                      </w:divBdr>
                    </w:div>
                  </w:divsChild>
                </w:div>
                <w:div w:id="751125368">
                  <w:marLeft w:val="0"/>
                  <w:marRight w:val="0"/>
                  <w:marTop w:val="0"/>
                  <w:marBottom w:val="0"/>
                  <w:divBdr>
                    <w:top w:val="none" w:sz="0" w:space="0" w:color="auto"/>
                    <w:left w:val="none" w:sz="0" w:space="0" w:color="auto"/>
                    <w:bottom w:val="none" w:sz="0" w:space="0" w:color="auto"/>
                    <w:right w:val="none" w:sz="0" w:space="0" w:color="auto"/>
                  </w:divBdr>
                  <w:divsChild>
                    <w:div w:id="1767846523">
                      <w:marLeft w:val="0"/>
                      <w:marRight w:val="0"/>
                      <w:marTop w:val="0"/>
                      <w:marBottom w:val="0"/>
                      <w:divBdr>
                        <w:top w:val="none" w:sz="0" w:space="0" w:color="auto"/>
                        <w:left w:val="none" w:sz="0" w:space="0" w:color="auto"/>
                        <w:bottom w:val="none" w:sz="0" w:space="0" w:color="auto"/>
                        <w:right w:val="none" w:sz="0" w:space="0" w:color="auto"/>
                      </w:divBdr>
                    </w:div>
                  </w:divsChild>
                </w:div>
                <w:div w:id="889993734">
                  <w:marLeft w:val="0"/>
                  <w:marRight w:val="0"/>
                  <w:marTop w:val="0"/>
                  <w:marBottom w:val="0"/>
                  <w:divBdr>
                    <w:top w:val="none" w:sz="0" w:space="0" w:color="auto"/>
                    <w:left w:val="none" w:sz="0" w:space="0" w:color="auto"/>
                    <w:bottom w:val="none" w:sz="0" w:space="0" w:color="auto"/>
                    <w:right w:val="none" w:sz="0" w:space="0" w:color="auto"/>
                  </w:divBdr>
                  <w:divsChild>
                    <w:div w:id="1635988285">
                      <w:marLeft w:val="0"/>
                      <w:marRight w:val="0"/>
                      <w:marTop w:val="0"/>
                      <w:marBottom w:val="0"/>
                      <w:divBdr>
                        <w:top w:val="none" w:sz="0" w:space="0" w:color="auto"/>
                        <w:left w:val="none" w:sz="0" w:space="0" w:color="auto"/>
                        <w:bottom w:val="none" w:sz="0" w:space="0" w:color="auto"/>
                        <w:right w:val="none" w:sz="0" w:space="0" w:color="auto"/>
                      </w:divBdr>
                    </w:div>
                  </w:divsChild>
                </w:div>
                <w:div w:id="902328131">
                  <w:marLeft w:val="0"/>
                  <w:marRight w:val="0"/>
                  <w:marTop w:val="0"/>
                  <w:marBottom w:val="0"/>
                  <w:divBdr>
                    <w:top w:val="none" w:sz="0" w:space="0" w:color="auto"/>
                    <w:left w:val="none" w:sz="0" w:space="0" w:color="auto"/>
                    <w:bottom w:val="none" w:sz="0" w:space="0" w:color="auto"/>
                    <w:right w:val="none" w:sz="0" w:space="0" w:color="auto"/>
                  </w:divBdr>
                  <w:divsChild>
                    <w:div w:id="1866289396">
                      <w:marLeft w:val="0"/>
                      <w:marRight w:val="0"/>
                      <w:marTop w:val="0"/>
                      <w:marBottom w:val="0"/>
                      <w:divBdr>
                        <w:top w:val="none" w:sz="0" w:space="0" w:color="auto"/>
                        <w:left w:val="none" w:sz="0" w:space="0" w:color="auto"/>
                        <w:bottom w:val="none" w:sz="0" w:space="0" w:color="auto"/>
                        <w:right w:val="none" w:sz="0" w:space="0" w:color="auto"/>
                      </w:divBdr>
                    </w:div>
                  </w:divsChild>
                </w:div>
                <w:div w:id="906644124">
                  <w:marLeft w:val="0"/>
                  <w:marRight w:val="0"/>
                  <w:marTop w:val="0"/>
                  <w:marBottom w:val="0"/>
                  <w:divBdr>
                    <w:top w:val="none" w:sz="0" w:space="0" w:color="auto"/>
                    <w:left w:val="none" w:sz="0" w:space="0" w:color="auto"/>
                    <w:bottom w:val="none" w:sz="0" w:space="0" w:color="auto"/>
                    <w:right w:val="none" w:sz="0" w:space="0" w:color="auto"/>
                  </w:divBdr>
                  <w:divsChild>
                    <w:div w:id="1501849879">
                      <w:marLeft w:val="0"/>
                      <w:marRight w:val="0"/>
                      <w:marTop w:val="0"/>
                      <w:marBottom w:val="0"/>
                      <w:divBdr>
                        <w:top w:val="none" w:sz="0" w:space="0" w:color="auto"/>
                        <w:left w:val="none" w:sz="0" w:space="0" w:color="auto"/>
                        <w:bottom w:val="none" w:sz="0" w:space="0" w:color="auto"/>
                        <w:right w:val="none" w:sz="0" w:space="0" w:color="auto"/>
                      </w:divBdr>
                    </w:div>
                  </w:divsChild>
                </w:div>
                <w:div w:id="917448264">
                  <w:marLeft w:val="0"/>
                  <w:marRight w:val="0"/>
                  <w:marTop w:val="0"/>
                  <w:marBottom w:val="0"/>
                  <w:divBdr>
                    <w:top w:val="none" w:sz="0" w:space="0" w:color="auto"/>
                    <w:left w:val="none" w:sz="0" w:space="0" w:color="auto"/>
                    <w:bottom w:val="none" w:sz="0" w:space="0" w:color="auto"/>
                    <w:right w:val="none" w:sz="0" w:space="0" w:color="auto"/>
                  </w:divBdr>
                  <w:divsChild>
                    <w:div w:id="1644695908">
                      <w:marLeft w:val="0"/>
                      <w:marRight w:val="0"/>
                      <w:marTop w:val="0"/>
                      <w:marBottom w:val="0"/>
                      <w:divBdr>
                        <w:top w:val="none" w:sz="0" w:space="0" w:color="auto"/>
                        <w:left w:val="none" w:sz="0" w:space="0" w:color="auto"/>
                        <w:bottom w:val="none" w:sz="0" w:space="0" w:color="auto"/>
                        <w:right w:val="none" w:sz="0" w:space="0" w:color="auto"/>
                      </w:divBdr>
                    </w:div>
                  </w:divsChild>
                </w:div>
                <w:div w:id="930047279">
                  <w:marLeft w:val="0"/>
                  <w:marRight w:val="0"/>
                  <w:marTop w:val="0"/>
                  <w:marBottom w:val="0"/>
                  <w:divBdr>
                    <w:top w:val="none" w:sz="0" w:space="0" w:color="auto"/>
                    <w:left w:val="none" w:sz="0" w:space="0" w:color="auto"/>
                    <w:bottom w:val="none" w:sz="0" w:space="0" w:color="auto"/>
                    <w:right w:val="none" w:sz="0" w:space="0" w:color="auto"/>
                  </w:divBdr>
                  <w:divsChild>
                    <w:div w:id="1286690937">
                      <w:marLeft w:val="0"/>
                      <w:marRight w:val="0"/>
                      <w:marTop w:val="0"/>
                      <w:marBottom w:val="0"/>
                      <w:divBdr>
                        <w:top w:val="none" w:sz="0" w:space="0" w:color="auto"/>
                        <w:left w:val="none" w:sz="0" w:space="0" w:color="auto"/>
                        <w:bottom w:val="none" w:sz="0" w:space="0" w:color="auto"/>
                        <w:right w:val="none" w:sz="0" w:space="0" w:color="auto"/>
                      </w:divBdr>
                    </w:div>
                  </w:divsChild>
                </w:div>
                <w:div w:id="997341291">
                  <w:marLeft w:val="0"/>
                  <w:marRight w:val="0"/>
                  <w:marTop w:val="0"/>
                  <w:marBottom w:val="0"/>
                  <w:divBdr>
                    <w:top w:val="none" w:sz="0" w:space="0" w:color="auto"/>
                    <w:left w:val="none" w:sz="0" w:space="0" w:color="auto"/>
                    <w:bottom w:val="none" w:sz="0" w:space="0" w:color="auto"/>
                    <w:right w:val="none" w:sz="0" w:space="0" w:color="auto"/>
                  </w:divBdr>
                  <w:divsChild>
                    <w:div w:id="1673988538">
                      <w:marLeft w:val="0"/>
                      <w:marRight w:val="0"/>
                      <w:marTop w:val="0"/>
                      <w:marBottom w:val="0"/>
                      <w:divBdr>
                        <w:top w:val="none" w:sz="0" w:space="0" w:color="auto"/>
                        <w:left w:val="none" w:sz="0" w:space="0" w:color="auto"/>
                        <w:bottom w:val="none" w:sz="0" w:space="0" w:color="auto"/>
                        <w:right w:val="none" w:sz="0" w:space="0" w:color="auto"/>
                      </w:divBdr>
                    </w:div>
                  </w:divsChild>
                </w:div>
                <w:div w:id="1001397281">
                  <w:marLeft w:val="0"/>
                  <w:marRight w:val="0"/>
                  <w:marTop w:val="0"/>
                  <w:marBottom w:val="0"/>
                  <w:divBdr>
                    <w:top w:val="none" w:sz="0" w:space="0" w:color="auto"/>
                    <w:left w:val="none" w:sz="0" w:space="0" w:color="auto"/>
                    <w:bottom w:val="none" w:sz="0" w:space="0" w:color="auto"/>
                    <w:right w:val="none" w:sz="0" w:space="0" w:color="auto"/>
                  </w:divBdr>
                  <w:divsChild>
                    <w:div w:id="1171871928">
                      <w:marLeft w:val="0"/>
                      <w:marRight w:val="0"/>
                      <w:marTop w:val="0"/>
                      <w:marBottom w:val="0"/>
                      <w:divBdr>
                        <w:top w:val="none" w:sz="0" w:space="0" w:color="auto"/>
                        <w:left w:val="none" w:sz="0" w:space="0" w:color="auto"/>
                        <w:bottom w:val="none" w:sz="0" w:space="0" w:color="auto"/>
                        <w:right w:val="none" w:sz="0" w:space="0" w:color="auto"/>
                      </w:divBdr>
                    </w:div>
                  </w:divsChild>
                </w:div>
                <w:div w:id="1045830372">
                  <w:marLeft w:val="0"/>
                  <w:marRight w:val="0"/>
                  <w:marTop w:val="0"/>
                  <w:marBottom w:val="0"/>
                  <w:divBdr>
                    <w:top w:val="none" w:sz="0" w:space="0" w:color="auto"/>
                    <w:left w:val="none" w:sz="0" w:space="0" w:color="auto"/>
                    <w:bottom w:val="none" w:sz="0" w:space="0" w:color="auto"/>
                    <w:right w:val="none" w:sz="0" w:space="0" w:color="auto"/>
                  </w:divBdr>
                  <w:divsChild>
                    <w:div w:id="1800537533">
                      <w:marLeft w:val="0"/>
                      <w:marRight w:val="0"/>
                      <w:marTop w:val="0"/>
                      <w:marBottom w:val="0"/>
                      <w:divBdr>
                        <w:top w:val="none" w:sz="0" w:space="0" w:color="auto"/>
                        <w:left w:val="none" w:sz="0" w:space="0" w:color="auto"/>
                        <w:bottom w:val="none" w:sz="0" w:space="0" w:color="auto"/>
                        <w:right w:val="none" w:sz="0" w:space="0" w:color="auto"/>
                      </w:divBdr>
                    </w:div>
                  </w:divsChild>
                </w:div>
                <w:div w:id="1070273715">
                  <w:marLeft w:val="0"/>
                  <w:marRight w:val="0"/>
                  <w:marTop w:val="0"/>
                  <w:marBottom w:val="0"/>
                  <w:divBdr>
                    <w:top w:val="none" w:sz="0" w:space="0" w:color="auto"/>
                    <w:left w:val="none" w:sz="0" w:space="0" w:color="auto"/>
                    <w:bottom w:val="none" w:sz="0" w:space="0" w:color="auto"/>
                    <w:right w:val="none" w:sz="0" w:space="0" w:color="auto"/>
                  </w:divBdr>
                  <w:divsChild>
                    <w:div w:id="1407144791">
                      <w:marLeft w:val="0"/>
                      <w:marRight w:val="0"/>
                      <w:marTop w:val="0"/>
                      <w:marBottom w:val="0"/>
                      <w:divBdr>
                        <w:top w:val="none" w:sz="0" w:space="0" w:color="auto"/>
                        <w:left w:val="none" w:sz="0" w:space="0" w:color="auto"/>
                        <w:bottom w:val="none" w:sz="0" w:space="0" w:color="auto"/>
                        <w:right w:val="none" w:sz="0" w:space="0" w:color="auto"/>
                      </w:divBdr>
                    </w:div>
                  </w:divsChild>
                </w:div>
                <w:div w:id="1074352074">
                  <w:marLeft w:val="0"/>
                  <w:marRight w:val="0"/>
                  <w:marTop w:val="0"/>
                  <w:marBottom w:val="0"/>
                  <w:divBdr>
                    <w:top w:val="none" w:sz="0" w:space="0" w:color="auto"/>
                    <w:left w:val="none" w:sz="0" w:space="0" w:color="auto"/>
                    <w:bottom w:val="none" w:sz="0" w:space="0" w:color="auto"/>
                    <w:right w:val="none" w:sz="0" w:space="0" w:color="auto"/>
                  </w:divBdr>
                  <w:divsChild>
                    <w:div w:id="806582983">
                      <w:marLeft w:val="0"/>
                      <w:marRight w:val="0"/>
                      <w:marTop w:val="0"/>
                      <w:marBottom w:val="0"/>
                      <w:divBdr>
                        <w:top w:val="none" w:sz="0" w:space="0" w:color="auto"/>
                        <w:left w:val="none" w:sz="0" w:space="0" w:color="auto"/>
                        <w:bottom w:val="none" w:sz="0" w:space="0" w:color="auto"/>
                        <w:right w:val="none" w:sz="0" w:space="0" w:color="auto"/>
                      </w:divBdr>
                    </w:div>
                  </w:divsChild>
                </w:div>
                <w:div w:id="1090932312">
                  <w:marLeft w:val="0"/>
                  <w:marRight w:val="0"/>
                  <w:marTop w:val="0"/>
                  <w:marBottom w:val="0"/>
                  <w:divBdr>
                    <w:top w:val="none" w:sz="0" w:space="0" w:color="auto"/>
                    <w:left w:val="none" w:sz="0" w:space="0" w:color="auto"/>
                    <w:bottom w:val="none" w:sz="0" w:space="0" w:color="auto"/>
                    <w:right w:val="none" w:sz="0" w:space="0" w:color="auto"/>
                  </w:divBdr>
                  <w:divsChild>
                    <w:div w:id="1899587800">
                      <w:marLeft w:val="0"/>
                      <w:marRight w:val="0"/>
                      <w:marTop w:val="0"/>
                      <w:marBottom w:val="0"/>
                      <w:divBdr>
                        <w:top w:val="none" w:sz="0" w:space="0" w:color="auto"/>
                        <w:left w:val="none" w:sz="0" w:space="0" w:color="auto"/>
                        <w:bottom w:val="none" w:sz="0" w:space="0" w:color="auto"/>
                        <w:right w:val="none" w:sz="0" w:space="0" w:color="auto"/>
                      </w:divBdr>
                    </w:div>
                  </w:divsChild>
                </w:div>
                <w:div w:id="1112170362">
                  <w:marLeft w:val="0"/>
                  <w:marRight w:val="0"/>
                  <w:marTop w:val="0"/>
                  <w:marBottom w:val="0"/>
                  <w:divBdr>
                    <w:top w:val="none" w:sz="0" w:space="0" w:color="auto"/>
                    <w:left w:val="none" w:sz="0" w:space="0" w:color="auto"/>
                    <w:bottom w:val="none" w:sz="0" w:space="0" w:color="auto"/>
                    <w:right w:val="none" w:sz="0" w:space="0" w:color="auto"/>
                  </w:divBdr>
                  <w:divsChild>
                    <w:div w:id="592396858">
                      <w:marLeft w:val="0"/>
                      <w:marRight w:val="0"/>
                      <w:marTop w:val="0"/>
                      <w:marBottom w:val="0"/>
                      <w:divBdr>
                        <w:top w:val="none" w:sz="0" w:space="0" w:color="auto"/>
                        <w:left w:val="none" w:sz="0" w:space="0" w:color="auto"/>
                        <w:bottom w:val="none" w:sz="0" w:space="0" w:color="auto"/>
                        <w:right w:val="none" w:sz="0" w:space="0" w:color="auto"/>
                      </w:divBdr>
                    </w:div>
                  </w:divsChild>
                </w:div>
                <w:div w:id="1113129173">
                  <w:marLeft w:val="0"/>
                  <w:marRight w:val="0"/>
                  <w:marTop w:val="0"/>
                  <w:marBottom w:val="0"/>
                  <w:divBdr>
                    <w:top w:val="none" w:sz="0" w:space="0" w:color="auto"/>
                    <w:left w:val="none" w:sz="0" w:space="0" w:color="auto"/>
                    <w:bottom w:val="none" w:sz="0" w:space="0" w:color="auto"/>
                    <w:right w:val="none" w:sz="0" w:space="0" w:color="auto"/>
                  </w:divBdr>
                  <w:divsChild>
                    <w:div w:id="883448446">
                      <w:marLeft w:val="0"/>
                      <w:marRight w:val="0"/>
                      <w:marTop w:val="0"/>
                      <w:marBottom w:val="0"/>
                      <w:divBdr>
                        <w:top w:val="none" w:sz="0" w:space="0" w:color="auto"/>
                        <w:left w:val="none" w:sz="0" w:space="0" w:color="auto"/>
                        <w:bottom w:val="none" w:sz="0" w:space="0" w:color="auto"/>
                        <w:right w:val="none" w:sz="0" w:space="0" w:color="auto"/>
                      </w:divBdr>
                    </w:div>
                  </w:divsChild>
                </w:div>
                <w:div w:id="1114402384">
                  <w:marLeft w:val="0"/>
                  <w:marRight w:val="0"/>
                  <w:marTop w:val="0"/>
                  <w:marBottom w:val="0"/>
                  <w:divBdr>
                    <w:top w:val="none" w:sz="0" w:space="0" w:color="auto"/>
                    <w:left w:val="none" w:sz="0" w:space="0" w:color="auto"/>
                    <w:bottom w:val="none" w:sz="0" w:space="0" w:color="auto"/>
                    <w:right w:val="none" w:sz="0" w:space="0" w:color="auto"/>
                  </w:divBdr>
                  <w:divsChild>
                    <w:div w:id="72943802">
                      <w:marLeft w:val="0"/>
                      <w:marRight w:val="0"/>
                      <w:marTop w:val="0"/>
                      <w:marBottom w:val="0"/>
                      <w:divBdr>
                        <w:top w:val="none" w:sz="0" w:space="0" w:color="auto"/>
                        <w:left w:val="none" w:sz="0" w:space="0" w:color="auto"/>
                        <w:bottom w:val="none" w:sz="0" w:space="0" w:color="auto"/>
                        <w:right w:val="none" w:sz="0" w:space="0" w:color="auto"/>
                      </w:divBdr>
                    </w:div>
                  </w:divsChild>
                </w:div>
                <w:div w:id="1114638985">
                  <w:marLeft w:val="0"/>
                  <w:marRight w:val="0"/>
                  <w:marTop w:val="0"/>
                  <w:marBottom w:val="0"/>
                  <w:divBdr>
                    <w:top w:val="none" w:sz="0" w:space="0" w:color="auto"/>
                    <w:left w:val="none" w:sz="0" w:space="0" w:color="auto"/>
                    <w:bottom w:val="none" w:sz="0" w:space="0" w:color="auto"/>
                    <w:right w:val="none" w:sz="0" w:space="0" w:color="auto"/>
                  </w:divBdr>
                  <w:divsChild>
                    <w:div w:id="295641739">
                      <w:marLeft w:val="0"/>
                      <w:marRight w:val="0"/>
                      <w:marTop w:val="0"/>
                      <w:marBottom w:val="0"/>
                      <w:divBdr>
                        <w:top w:val="none" w:sz="0" w:space="0" w:color="auto"/>
                        <w:left w:val="none" w:sz="0" w:space="0" w:color="auto"/>
                        <w:bottom w:val="none" w:sz="0" w:space="0" w:color="auto"/>
                        <w:right w:val="none" w:sz="0" w:space="0" w:color="auto"/>
                      </w:divBdr>
                    </w:div>
                  </w:divsChild>
                </w:div>
                <w:div w:id="1125927626">
                  <w:marLeft w:val="0"/>
                  <w:marRight w:val="0"/>
                  <w:marTop w:val="0"/>
                  <w:marBottom w:val="0"/>
                  <w:divBdr>
                    <w:top w:val="none" w:sz="0" w:space="0" w:color="auto"/>
                    <w:left w:val="none" w:sz="0" w:space="0" w:color="auto"/>
                    <w:bottom w:val="none" w:sz="0" w:space="0" w:color="auto"/>
                    <w:right w:val="none" w:sz="0" w:space="0" w:color="auto"/>
                  </w:divBdr>
                  <w:divsChild>
                    <w:div w:id="1896428823">
                      <w:marLeft w:val="0"/>
                      <w:marRight w:val="0"/>
                      <w:marTop w:val="0"/>
                      <w:marBottom w:val="0"/>
                      <w:divBdr>
                        <w:top w:val="none" w:sz="0" w:space="0" w:color="auto"/>
                        <w:left w:val="none" w:sz="0" w:space="0" w:color="auto"/>
                        <w:bottom w:val="none" w:sz="0" w:space="0" w:color="auto"/>
                        <w:right w:val="none" w:sz="0" w:space="0" w:color="auto"/>
                      </w:divBdr>
                    </w:div>
                  </w:divsChild>
                </w:div>
                <w:div w:id="1126704914">
                  <w:marLeft w:val="0"/>
                  <w:marRight w:val="0"/>
                  <w:marTop w:val="0"/>
                  <w:marBottom w:val="0"/>
                  <w:divBdr>
                    <w:top w:val="none" w:sz="0" w:space="0" w:color="auto"/>
                    <w:left w:val="none" w:sz="0" w:space="0" w:color="auto"/>
                    <w:bottom w:val="none" w:sz="0" w:space="0" w:color="auto"/>
                    <w:right w:val="none" w:sz="0" w:space="0" w:color="auto"/>
                  </w:divBdr>
                  <w:divsChild>
                    <w:div w:id="166681034">
                      <w:marLeft w:val="0"/>
                      <w:marRight w:val="0"/>
                      <w:marTop w:val="0"/>
                      <w:marBottom w:val="0"/>
                      <w:divBdr>
                        <w:top w:val="none" w:sz="0" w:space="0" w:color="auto"/>
                        <w:left w:val="none" w:sz="0" w:space="0" w:color="auto"/>
                        <w:bottom w:val="none" w:sz="0" w:space="0" w:color="auto"/>
                        <w:right w:val="none" w:sz="0" w:space="0" w:color="auto"/>
                      </w:divBdr>
                    </w:div>
                  </w:divsChild>
                </w:div>
                <w:div w:id="1126850536">
                  <w:marLeft w:val="0"/>
                  <w:marRight w:val="0"/>
                  <w:marTop w:val="0"/>
                  <w:marBottom w:val="0"/>
                  <w:divBdr>
                    <w:top w:val="none" w:sz="0" w:space="0" w:color="auto"/>
                    <w:left w:val="none" w:sz="0" w:space="0" w:color="auto"/>
                    <w:bottom w:val="none" w:sz="0" w:space="0" w:color="auto"/>
                    <w:right w:val="none" w:sz="0" w:space="0" w:color="auto"/>
                  </w:divBdr>
                  <w:divsChild>
                    <w:div w:id="407195241">
                      <w:marLeft w:val="0"/>
                      <w:marRight w:val="0"/>
                      <w:marTop w:val="0"/>
                      <w:marBottom w:val="0"/>
                      <w:divBdr>
                        <w:top w:val="none" w:sz="0" w:space="0" w:color="auto"/>
                        <w:left w:val="none" w:sz="0" w:space="0" w:color="auto"/>
                        <w:bottom w:val="none" w:sz="0" w:space="0" w:color="auto"/>
                        <w:right w:val="none" w:sz="0" w:space="0" w:color="auto"/>
                      </w:divBdr>
                    </w:div>
                  </w:divsChild>
                </w:div>
                <w:div w:id="1134329213">
                  <w:marLeft w:val="0"/>
                  <w:marRight w:val="0"/>
                  <w:marTop w:val="0"/>
                  <w:marBottom w:val="0"/>
                  <w:divBdr>
                    <w:top w:val="none" w:sz="0" w:space="0" w:color="auto"/>
                    <w:left w:val="none" w:sz="0" w:space="0" w:color="auto"/>
                    <w:bottom w:val="none" w:sz="0" w:space="0" w:color="auto"/>
                    <w:right w:val="none" w:sz="0" w:space="0" w:color="auto"/>
                  </w:divBdr>
                  <w:divsChild>
                    <w:div w:id="198127858">
                      <w:marLeft w:val="0"/>
                      <w:marRight w:val="0"/>
                      <w:marTop w:val="0"/>
                      <w:marBottom w:val="0"/>
                      <w:divBdr>
                        <w:top w:val="none" w:sz="0" w:space="0" w:color="auto"/>
                        <w:left w:val="none" w:sz="0" w:space="0" w:color="auto"/>
                        <w:bottom w:val="none" w:sz="0" w:space="0" w:color="auto"/>
                        <w:right w:val="none" w:sz="0" w:space="0" w:color="auto"/>
                      </w:divBdr>
                    </w:div>
                  </w:divsChild>
                </w:div>
                <w:div w:id="1158232896">
                  <w:marLeft w:val="0"/>
                  <w:marRight w:val="0"/>
                  <w:marTop w:val="0"/>
                  <w:marBottom w:val="0"/>
                  <w:divBdr>
                    <w:top w:val="none" w:sz="0" w:space="0" w:color="auto"/>
                    <w:left w:val="none" w:sz="0" w:space="0" w:color="auto"/>
                    <w:bottom w:val="none" w:sz="0" w:space="0" w:color="auto"/>
                    <w:right w:val="none" w:sz="0" w:space="0" w:color="auto"/>
                  </w:divBdr>
                  <w:divsChild>
                    <w:div w:id="1128622396">
                      <w:marLeft w:val="0"/>
                      <w:marRight w:val="0"/>
                      <w:marTop w:val="0"/>
                      <w:marBottom w:val="0"/>
                      <w:divBdr>
                        <w:top w:val="none" w:sz="0" w:space="0" w:color="auto"/>
                        <w:left w:val="none" w:sz="0" w:space="0" w:color="auto"/>
                        <w:bottom w:val="none" w:sz="0" w:space="0" w:color="auto"/>
                        <w:right w:val="none" w:sz="0" w:space="0" w:color="auto"/>
                      </w:divBdr>
                    </w:div>
                  </w:divsChild>
                </w:div>
                <w:div w:id="1246961281">
                  <w:marLeft w:val="0"/>
                  <w:marRight w:val="0"/>
                  <w:marTop w:val="0"/>
                  <w:marBottom w:val="0"/>
                  <w:divBdr>
                    <w:top w:val="none" w:sz="0" w:space="0" w:color="auto"/>
                    <w:left w:val="none" w:sz="0" w:space="0" w:color="auto"/>
                    <w:bottom w:val="none" w:sz="0" w:space="0" w:color="auto"/>
                    <w:right w:val="none" w:sz="0" w:space="0" w:color="auto"/>
                  </w:divBdr>
                  <w:divsChild>
                    <w:div w:id="653949375">
                      <w:marLeft w:val="0"/>
                      <w:marRight w:val="0"/>
                      <w:marTop w:val="0"/>
                      <w:marBottom w:val="0"/>
                      <w:divBdr>
                        <w:top w:val="none" w:sz="0" w:space="0" w:color="auto"/>
                        <w:left w:val="none" w:sz="0" w:space="0" w:color="auto"/>
                        <w:bottom w:val="none" w:sz="0" w:space="0" w:color="auto"/>
                        <w:right w:val="none" w:sz="0" w:space="0" w:color="auto"/>
                      </w:divBdr>
                    </w:div>
                  </w:divsChild>
                </w:div>
                <w:div w:id="1252741498">
                  <w:marLeft w:val="0"/>
                  <w:marRight w:val="0"/>
                  <w:marTop w:val="0"/>
                  <w:marBottom w:val="0"/>
                  <w:divBdr>
                    <w:top w:val="none" w:sz="0" w:space="0" w:color="auto"/>
                    <w:left w:val="none" w:sz="0" w:space="0" w:color="auto"/>
                    <w:bottom w:val="none" w:sz="0" w:space="0" w:color="auto"/>
                    <w:right w:val="none" w:sz="0" w:space="0" w:color="auto"/>
                  </w:divBdr>
                  <w:divsChild>
                    <w:div w:id="296299298">
                      <w:marLeft w:val="0"/>
                      <w:marRight w:val="0"/>
                      <w:marTop w:val="0"/>
                      <w:marBottom w:val="0"/>
                      <w:divBdr>
                        <w:top w:val="none" w:sz="0" w:space="0" w:color="auto"/>
                        <w:left w:val="none" w:sz="0" w:space="0" w:color="auto"/>
                        <w:bottom w:val="none" w:sz="0" w:space="0" w:color="auto"/>
                        <w:right w:val="none" w:sz="0" w:space="0" w:color="auto"/>
                      </w:divBdr>
                    </w:div>
                  </w:divsChild>
                </w:div>
                <w:div w:id="1264917751">
                  <w:marLeft w:val="0"/>
                  <w:marRight w:val="0"/>
                  <w:marTop w:val="0"/>
                  <w:marBottom w:val="0"/>
                  <w:divBdr>
                    <w:top w:val="none" w:sz="0" w:space="0" w:color="auto"/>
                    <w:left w:val="none" w:sz="0" w:space="0" w:color="auto"/>
                    <w:bottom w:val="none" w:sz="0" w:space="0" w:color="auto"/>
                    <w:right w:val="none" w:sz="0" w:space="0" w:color="auto"/>
                  </w:divBdr>
                  <w:divsChild>
                    <w:div w:id="1041788447">
                      <w:marLeft w:val="0"/>
                      <w:marRight w:val="0"/>
                      <w:marTop w:val="0"/>
                      <w:marBottom w:val="0"/>
                      <w:divBdr>
                        <w:top w:val="none" w:sz="0" w:space="0" w:color="auto"/>
                        <w:left w:val="none" w:sz="0" w:space="0" w:color="auto"/>
                        <w:bottom w:val="none" w:sz="0" w:space="0" w:color="auto"/>
                        <w:right w:val="none" w:sz="0" w:space="0" w:color="auto"/>
                      </w:divBdr>
                    </w:div>
                  </w:divsChild>
                </w:div>
                <w:div w:id="1308164661">
                  <w:marLeft w:val="0"/>
                  <w:marRight w:val="0"/>
                  <w:marTop w:val="0"/>
                  <w:marBottom w:val="0"/>
                  <w:divBdr>
                    <w:top w:val="none" w:sz="0" w:space="0" w:color="auto"/>
                    <w:left w:val="none" w:sz="0" w:space="0" w:color="auto"/>
                    <w:bottom w:val="none" w:sz="0" w:space="0" w:color="auto"/>
                    <w:right w:val="none" w:sz="0" w:space="0" w:color="auto"/>
                  </w:divBdr>
                  <w:divsChild>
                    <w:div w:id="1334724311">
                      <w:marLeft w:val="0"/>
                      <w:marRight w:val="0"/>
                      <w:marTop w:val="0"/>
                      <w:marBottom w:val="0"/>
                      <w:divBdr>
                        <w:top w:val="none" w:sz="0" w:space="0" w:color="auto"/>
                        <w:left w:val="none" w:sz="0" w:space="0" w:color="auto"/>
                        <w:bottom w:val="none" w:sz="0" w:space="0" w:color="auto"/>
                        <w:right w:val="none" w:sz="0" w:space="0" w:color="auto"/>
                      </w:divBdr>
                    </w:div>
                  </w:divsChild>
                </w:div>
                <w:div w:id="1312755400">
                  <w:marLeft w:val="0"/>
                  <w:marRight w:val="0"/>
                  <w:marTop w:val="0"/>
                  <w:marBottom w:val="0"/>
                  <w:divBdr>
                    <w:top w:val="none" w:sz="0" w:space="0" w:color="auto"/>
                    <w:left w:val="none" w:sz="0" w:space="0" w:color="auto"/>
                    <w:bottom w:val="none" w:sz="0" w:space="0" w:color="auto"/>
                    <w:right w:val="none" w:sz="0" w:space="0" w:color="auto"/>
                  </w:divBdr>
                  <w:divsChild>
                    <w:div w:id="2020351700">
                      <w:marLeft w:val="0"/>
                      <w:marRight w:val="0"/>
                      <w:marTop w:val="0"/>
                      <w:marBottom w:val="0"/>
                      <w:divBdr>
                        <w:top w:val="none" w:sz="0" w:space="0" w:color="auto"/>
                        <w:left w:val="none" w:sz="0" w:space="0" w:color="auto"/>
                        <w:bottom w:val="none" w:sz="0" w:space="0" w:color="auto"/>
                        <w:right w:val="none" w:sz="0" w:space="0" w:color="auto"/>
                      </w:divBdr>
                    </w:div>
                  </w:divsChild>
                </w:div>
                <w:div w:id="1322343197">
                  <w:marLeft w:val="0"/>
                  <w:marRight w:val="0"/>
                  <w:marTop w:val="0"/>
                  <w:marBottom w:val="0"/>
                  <w:divBdr>
                    <w:top w:val="none" w:sz="0" w:space="0" w:color="auto"/>
                    <w:left w:val="none" w:sz="0" w:space="0" w:color="auto"/>
                    <w:bottom w:val="none" w:sz="0" w:space="0" w:color="auto"/>
                    <w:right w:val="none" w:sz="0" w:space="0" w:color="auto"/>
                  </w:divBdr>
                  <w:divsChild>
                    <w:div w:id="846872352">
                      <w:marLeft w:val="0"/>
                      <w:marRight w:val="0"/>
                      <w:marTop w:val="0"/>
                      <w:marBottom w:val="0"/>
                      <w:divBdr>
                        <w:top w:val="none" w:sz="0" w:space="0" w:color="auto"/>
                        <w:left w:val="none" w:sz="0" w:space="0" w:color="auto"/>
                        <w:bottom w:val="none" w:sz="0" w:space="0" w:color="auto"/>
                        <w:right w:val="none" w:sz="0" w:space="0" w:color="auto"/>
                      </w:divBdr>
                    </w:div>
                  </w:divsChild>
                </w:div>
                <w:div w:id="1371538797">
                  <w:marLeft w:val="0"/>
                  <w:marRight w:val="0"/>
                  <w:marTop w:val="0"/>
                  <w:marBottom w:val="0"/>
                  <w:divBdr>
                    <w:top w:val="none" w:sz="0" w:space="0" w:color="auto"/>
                    <w:left w:val="none" w:sz="0" w:space="0" w:color="auto"/>
                    <w:bottom w:val="none" w:sz="0" w:space="0" w:color="auto"/>
                    <w:right w:val="none" w:sz="0" w:space="0" w:color="auto"/>
                  </w:divBdr>
                  <w:divsChild>
                    <w:div w:id="706761679">
                      <w:marLeft w:val="0"/>
                      <w:marRight w:val="0"/>
                      <w:marTop w:val="0"/>
                      <w:marBottom w:val="0"/>
                      <w:divBdr>
                        <w:top w:val="none" w:sz="0" w:space="0" w:color="auto"/>
                        <w:left w:val="none" w:sz="0" w:space="0" w:color="auto"/>
                        <w:bottom w:val="none" w:sz="0" w:space="0" w:color="auto"/>
                        <w:right w:val="none" w:sz="0" w:space="0" w:color="auto"/>
                      </w:divBdr>
                    </w:div>
                  </w:divsChild>
                </w:div>
                <w:div w:id="1383872414">
                  <w:marLeft w:val="0"/>
                  <w:marRight w:val="0"/>
                  <w:marTop w:val="0"/>
                  <w:marBottom w:val="0"/>
                  <w:divBdr>
                    <w:top w:val="none" w:sz="0" w:space="0" w:color="auto"/>
                    <w:left w:val="none" w:sz="0" w:space="0" w:color="auto"/>
                    <w:bottom w:val="none" w:sz="0" w:space="0" w:color="auto"/>
                    <w:right w:val="none" w:sz="0" w:space="0" w:color="auto"/>
                  </w:divBdr>
                  <w:divsChild>
                    <w:div w:id="1795246724">
                      <w:marLeft w:val="0"/>
                      <w:marRight w:val="0"/>
                      <w:marTop w:val="0"/>
                      <w:marBottom w:val="0"/>
                      <w:divBdr>
                        <w:top w:val="none" w:sz="0" w:space="0" w:color="auto"/>
                        <w:left w:val="none" w:sz="0" w:space="0" w:color="auto"/>
                        <w:bottom w:val="none" w:sz="0" w:space="0" w:color="auto"/>
                        <w:right w:val="none" w:sz="0" w:space="0" w:color="auto"/>
                      </w:divBdr>
                    </w:div>
                  </w:divsChild>
                </w:div>
                <w:div w:id="1404446968">
                  <w:marLeft w:val="0"/>
                  <w:marRight w:val="0"/>
                  <w:marTop w:val="0"/>
                  <w:marBottom w:val="0"/>
                  <w:divBdr>
                    <w:top w:val="none" w:sz="0" w:space="0" w:color="auto"/>
                    <w:left w:val="none" w:sz="0" w:space="0" w:color="auto"/>
                    <w:bottom w:val="none" w:sz="0" w:space="0" w:color="auto"/>
                    <w:right w:val="none" w:sz="0" w:space="0" w:color="auto"/>
                  </w:divBdr>
                  <w:divsChild>
                    <w:div w:id="2115594036">
                      <w:marLeft w:val="0"/>
                      <w:marRight w:val="0"/>
                      <w:marTop w:val="0"/>
                      <w:marBottom w:val="0"/>
                      <w:divBdr>
                        <w:top w:val="none" w:sz="0" w:space="0" w:color="auto"/>
                        <w:left w:val="none" w:sz="0" w:space="0" w:color="auto"/>
                        <w:bottom w:val="none" w:sz="0" w:space="0" w:color="auto"/>
                        <w:right w:val="none" w:sz="0" w:space="0" w:color="auto"/>
                      </w:divBdr>
                    </w:div>
                  </w:divsChild>
                </w:div>
                <w:div w:id="1434865616">
                  <w:marLeft w:val="0"/>
                  <w:marRight w:val="0"/>
                  <w:marTop w:val="0"/>
                  <w:marBottom w:val="0"/>
                  <w:divBdr>
                    <w:top w:val="none" w:sz="0" w:space="0" w:color="auto"/>
                    <w:left w:val="none" w:sz="0" w:space="0" w:color="auto"/>
                    <w:bottom w:val="none" w:sz="0" w:space="0" w:color="auto"/>
                    <w:right w:val="none" w:sz="0" w:space="0" w:color="auto"/>
                  </w:divBdr>
                  <w:divsChild>
                    <w:div w:id="1602953868">
                      <w:marLeft w:val="0"/>
                      <w:marRight w:val="0"/>
                      <w:marTop w:val="0"/>
                      <w:marBottom w:val="0"/>
                      <w:divBdr>
                        <w:top w:val="none" w:sz="0" w:space="0" w:color="auto"/>
                        <w:left w:val="none" w:sz="0" w:space="0" w:color="auto"/>
                        <w:bottom w:val="none" w:sz="0" w:space="0" w:color="auto"/>
                        <w:right w:val="none" w:sz="0" w:space="0" w:color="auto"/>
                      </w:divBdr>
                    </w:div>
                  </w:divsChild>
                </w:div>
                <w:div w:id="1435662528">
                  <w:marLeft w:val="0"/>
                  <w:marRight w:val="0"/>
                  <w:marTop w:val="0"/>
                  <w:marBottom w:val="0"/>
                  <w:divBdr>
                    <w:top w:val="none" w:sz="0" w:space="0" w:color="auto"/>
                    <w:left w:val="none" w:sz="0" w:space="0" w:color="auto"/>
                    <w:bottom w:val="none" w:sz="0" w:space="0" w:color="auto"/>
                    <w:right w:val="none" w:sz="0" w:space="0" w:color="auto"/>
                  </w:divBdr>
                  <w:divsChild>
                    <w:div w:id="490609781">
                      <w:marLeft w:val="0"/>
                      <w:marRight w:val="0"/>
                      <w:marTop w:val="0"/>
                      <w:marBottom w:val="0"/>
                      <w:divBdr>
                        <w:top w:val="none" w:sz="0" w:space="0" w:color="auto"/>
                        <w:left w:val="none" w:sz="0" w:space="0" w:color="auto"/>
                        <w:bottom w:val="none" w:sz="0" w:space="0" w:color="auto"/>
                        <w:right w:val="none" w:sz="0" w:space="0" w:color="auto"/>
                      </w:divBdr>
                    </w:div>
                  </w:divsChild>
                </w:div>
                <w:div w:id="1457485880">
                  <w:marLeft w:val="0"/>
                  <w:marRight w:val="0"/>
                  <w:marTop w:val="0"/>
                  <w:marBottom w:val="0"/>
                  <w:divBdr>
                    <w:top w:val="none" w:sz="0" w:space="0" w:color="auto"/>
                    <w:left w:val="none" w:sz="0" w:space="0" w:color="auto"/>
                    <w:bottom w:val="none" w:sz="0" w:space="0" w:color="auto"/>
                    <w:right w:val="none" w:sz="0" w:space="0" w:color="auto"/>
                  </w:divBdr>
                  <w:divsChild>
                    <w:div w:id="222109277">
                      <w:marLeft w:val="0"/>
                      <w:marRight w:val="0"/>
                      <w:marTop w:val="0"/>
                      <w:marBottom w:val="0"/>
                      <w:divBdr>
                        <w:top w:val="none" w:sz="0" w:space="0" w:color="auto"/>
                        <w:left w:val="none" w:sz="0" w:space="0" w:color="auto"/>
                        <w:bottom w:val="none" w:sz="0" w:space="0" w:color="auto"/>
                        <w:right w:val="none" w:sz="0" w:space="0" w:color="auto"/>
                      </w:divBdr>
                    </w:div>
                  </w:divsChild>
                </w:div>
                <w:div w:id="1458715155">
                  <w:marLeft w:val="0"/>
                  <w:marRight w:val="0"/>
                  <w:marTop w:val="0"/>
                  <w:marBottom w:val="0"/>
                  <w:divBdr>
                    <w:top w:val="none" w:sz="0" w:space="0" w:color="auto"/>
                    <w:left w:val="none" w:sz="0" w:space="0" w:color="auto"/>
                    <w:bottom w:val="none" w:sz="0" w:space="0" w:color="auto"/>
                    <w:right w:val="none" w:sz="0" w:space="0" w:color="auto"/>
                  </w:divBdr>
                  <w:divsChild>
                    <w:div w:id="386804398">
                      <w:marLeft w:val="0"/>
                      <w:marRight w:val="0"/>
                      <w:marTop w:val="0"/>
                      <w:marBottom w:val="0"/>
                      <w:divBdr>
                        <w:top w:val="none" w:sz="0" w:space="0" w:color="auto"/>
                        <w:left w:val="none" w:sz="0" w:space="0" w:color="auto"/>
                        <w:bottom w:val="none" w:sz="0" w:space="0" w:color="auto"/>
                        <w:right w:val="none" w:sz="0" w:space="0" w:color="auto"/>
                      </w:divBdr>
                    </w:div>
                  </w:divsChild>
                </w:div>
                <w:div w:id="1463961288">
                  <w:marLeft w:val="0"/>
                  <w:marRight w:val="0"/>
                  <w:marTop w:val="0"/>
                  <w:marBottom w:val="0"/>
                  <w:divBdr>
                    <w:top w:val="none" w:sz="0" w:space="0" w:color="auto"/>
                    <w:left w:val="none" w:sz="0" w:space="0" w:color="auto"/>
                    <w:bottom w:val="none" w:sz="0" w:space="0" w:color="auto"/>
                    <w:right w:val="none" w:sz="0" w:space="0" w:color="auto"/>
                  </w:divBdr>
                  <w:divsChild>
                    <w:div w:id="734813536">
                      <w:marLeft w:val="0"/>
                      <w:marRight w:val="0"/>
                      <w:marTop w:val="0"/>
                      <w:marBottom w:val="0"/>
                      <w:divBdr>
                        <w:top w:val="none" w:sz="0" w:space="0" w:color="auto"/>
                        <w:left w:val="none" w:sz="0" w:space="0" w:color="auto"/>
                        <w:bottom w:val="none" w:sz="0" w:space="0" w:color="auto"/>
                        <w:right w:val="none" w:sz="0" w:space="0" w:color="auto"/>
                      </w:divBdr>
                    </w:div>
                  </w:divsChild>
                </w:div>
                <w:div w:id="1512142553">
                  <w:marLeft w:val="0"/>
                  <w:marRight w:val="0"/>
                  <w:marTop w:val="0"/>
                  <w:marBottom w:val="0"/>
                  <w:divBdr>
                    <w:top w:val="none" w:sz="0" w:space="0" w:color="auto"/>
                    <w:left w:val="none" w:sz="0" w:space="0" w:color="auto"/>
                    <w:bottom w:val="none" w:sz="0" w:space="0" w:color="auto"/>
                    <w:right w:val="none" w:sz="0" w:space="0" w:color="auto"/>
                  </w:divBdr>
                  <w:divsChild>
                    <w:div w:id="1831481136">
                      <w:marLeft w:val="0"/>
                      <w:marRight w:val="0"/>
                      <w:marTop w:val="0"/>
                      <w:marBottom w:val="0"/>
                      <w:divBdr>
                        <w:top w:val="none" w:sz="0" w:space="0" w:color="auto"/>
                        <w:left w:val="none" w:sz="0" w:space="0" w:color="auto"/>
                        <w:bottom w:val="none" w:sz="0" w:space="0" w:color="auto"/>
                        <w:right w:val="none" w:sz="0" w:space="0" w:color="auto"/>
                      </w:divBdr>
                    </w:div>
                  </w:divsChild>
                </w:div>
                <w:div w:id="1517232688">
                  <w:marLeft w:val="0"/>
                  <w:marRight w:val="0"/>
                  <w:marTop w:val="0"/>
                  <w:marBottom w:val="0"/>
                  <w:divBdr>
                    <w:top w:val="none" w:sz="0" w:space="0" w:color="auto"/>
                    <w:left w:val="none" w:sz="0" w:space="0" w:color="auto"/>
                    <w:bottom w:val="none" w:sz="0" w:space="0" w:color="auto"/>
                    <w:right w:val="none" w:sz="0" w:space="0" w:color="auto"/>
                  </w:divBdr>
                  <w:divsChild>
                    <w:div w:id="439495532">
                      <w:marLeft w:val="0"/>
                      <w:marRight w:val="0"/>
                      <w:marTop w:val="0"/>
                      <w:marBottom w:val="0"/>
                      <w:divBdr>
                        <w:top w:val="none" w:sz="0" w:space="0" w:color="auto"/>
                        <w:left w:val="none" w:sz="0" w:space="0" w:color="auto"/>
                        <w:bottom w:val="none" w:sz="0" w:space="0" w:color="auto"/>
                        <w:right w:val="none" w:sz="0" w:space="0" w:color="auto"/>
                      </w:divBdr>
                    </w:div>
                  </w:divsChild>
                </w:div>
                <w:div w:id="1528250703">
                  <w:marLeft w:val="0"/>
                  <w:marRight w:val="0"/>
                  <w:marTop w:val="0"/>
                  <w:marBottom w:val="0"/>
                  <w:divBdr>
                    <w:top w:val="none" w:sz="0" w:space="0" w:color="auto"/>
                    <w:left w:val="none" w:sz="0" w:space="0" w:color="auto"/>
                    <w:bottom w:val="none" w:sz="0" w:space="0" w:color="auto"/>
                    <w:right w:val="none" w:sz="0" w:space="0" w:color="auto"/>
                  </w:divBdr>
                  <w:divsChild>
                    <w:div w:id="125588852">
                      <w:marLeft w:val="0"/>
                      <w:marRight w:val="0"/>
                      <w:marTop w:val="0"/>
                      <w:marBottom w:val="0"/>
                      <w:divBdr>
                        <w:top w:val="none" w:sz="0" w:space="0" w:color="auto"/>
                        <w:left w:val="none" w:sz="0" w:space="0" w:color="auto"/>
                        <w:bottom w:val="none" w:sz="0" w:space="0" w:color="auto"/>
                        <w:right w:val="none" w:sz="0" w:space="0" w:color="auto"/>
                      </w:divBdr>
                    </w:div>
                  </w:divsChild>
                </w:div>
                <w:div w:id="1537231113">
                  <w:marLeft w:val="0"/>
                  <w:marRight w:val="0"/>
                  <w:marTop w:val="0"/>
                  <w:marBottom w:val="0"/>
                  <w:divBdr>
                    <w:top w:val="none" w:sz="0" w:space="0" w:color="auto"/>
                    <w:left w:val="none" w:sz="0" w:space="0" w:color="auto"/>
                    <w:bottom w:val="none" w:sz="0" w:space="0" w:color="auto"/>
                    <w:right w:val="none" w:sz="0" w:space="0" w:color="auto"/>
                  </w:divBdr>
                  <w:divsChild>
                    <w:div w:id="1128351261">
                      <w:marLeft w:val="0"/>
                      <w:marRight w:val="0"/>
                      <w:marTop w:val="0"/>
                      <w:marBottom w:val="0"/>
                      <w:divBdr>
                        <w:top w:val="none" w:sz="0" w:space="0" w:color="auto"/>
                        <w:left w:val="none" w:sz="0" w:space="0" w:color="auto"/>
                        <w:bottom w:val="none" w:sz="0" w:space="0" w:color="auto"/>
                        <w:right w:val="none" w:sz="0" w:space="0" w:color="auto"/>
                      </w:divBdr>
                    </w:div>
                  </w:divsChild>
                </w:div>
                <w:div w:id="1542088048">
                  <w:marLeft w:val="0"/>
                  <w:marRight w:val="0"/>
                  <w:marTop w:val="0"/>
                  <w:marBottom w:val="0"/>
                  <w:divBdr>
                    <w:top w:val="none" w:sz="0" w:space="0" w:color="auto"/>
                    <w:left w:val="none" w:sz="0" w:space="0" w:color="auto"/>
                    <w:bottom w:val="none" w:sz="0" w:space="0" w:color="auto"/>
                    <w:right w:val="none" w:sz="0" w:space="0" w:color="auto"/>
                  </w:divBdr>
                  <w:divsChild>
                    <w:div w:id="1815024977">
                      <w:marLeft w:val="0"/>
                      <w:marRight w:val="0"/>
                      <w:marTop w:val="0"/>
                      <w:marBottom w:val="0"/>
                      <w:divBdr>
                        <w:top w:val="none" w:sz="0" w:space="0" w:color="auto"/>
                        <w:left w:val="none" w:sz="0" w:space="0" w:color="auto"/>
                        <w:bottom w:val="none" w:sz="0" w:space="0" w:color="auto"/>
                        <w:right w:val="none" w:sz="0" w:space="0" w:color="auto"/>
                      </w:divBdr>
                    </w:div>
                  </w:divsChild>
                </w:div>
                <w:div w:id="1566722944">
                  <w:marLeft w:val="0"/>
                  <w:marRight w:val="0"/>
                  <w:marTop w:val="0"/>
                  <w:marBottom w:val="0"/>
                  <w:divBdr>
                    <w:top w:val="none" w:sz="0" w:space="0" w:color="auto"/>
                    <w:left w:val="none" w:sz="0" w:space="0" w:color="auto"/>
                    <w:bottom w:val="none" w:sz="0" w:space="0" w:color="auto"/>
                    <w:right w:val="none" w:sz="0" w:space="0" w:color="auto"/>
                  </w:divBdr>
                  <w:divsChild>
                    <w:div w:id="1242956873">
                      <w:marLeft w:val="0"/>
                      <w:marRight w:val="0"/>
                      <w:marTop w:val="0"/>
                      <w:marBottom w:val="0"/>
                      <w:divBdr>
                        <w:top w:val="none" w:sz="0" w:space="0" w:color="auto"/>
                        <w:left w:val="none" w:sz="0" w:space="0" w:color="auto"/>
                        <w:bottom w:val="none" w:sz="0" w:space="0" w:color="auto"/>
                        <w:right w:val="none" w:sz="0" w:space="0" w:color="auto"/>
                      </w:divBdr>
                    </w:div>
                  </w:divsChild>
                </w:div>
                <w:div w:id="1603537911">
                  <w:marLeft w:val="0"/>
                  <w:marRight w:val="0"/>
                  <w:marTop w:val="0"/>
                  <w:marBottom w:val="0"/>
                  <w:divBdr>
                    <w:top w:val="none" w:sz="0" w:space="0" w:color="auto"/>
                    <w:left w:val="none" w:sz="0" w:space="0" w:color="auto"/>
                    <w:bottom w:val="none" w:sz="0" w:space="0" w:color="auto"/>
                    <w:right w:val="none" w:sz="0" w:space="0" w:color="auto"/>
                  </w:divBdr>
                  <w:divsChild>
                    <w:div w:id="1542204078">
                      <w:marLeft w:val="0"/>
                      <w:marRight w:val="0"/>
                      <w:marTop w:val="0"/>
                      <w:marBottom w:val="0"/>
                      <w:divBdr>
                        <w:top w:val="none" w:sz="0" w:space="0" w:color="auto"/>
                        <w:left w:val="none" w:sz="0" w:space="0" w:color="auto"/>
                        <w:bottom w:val="none" w:sz="0" w:space="0" w:color="auto"/>
                        <w:right w:val="none" w:sz="0" w:space="0" w:color="auto"/>
                      </w:divBdr>
                    </w:div>
                  </w:divsChild>
                </w:div>
                <w:div w:id="1605964362">
                  <w:marLeft w:val="0"/>
                  <w:marRight w:val="0"/>
                  <w:marTop w:val="0"/>
                  <w:marBottom w:val="0"/>
                  <w:divBdr>
                    <w:top w:val="none" w:sz="0" w:space="0" w:color="auto"/>
                    <w:left w:val="none" w:sz="0" w:space="0" w:color="auto"/>
                    <w:bottom w:val="none" w:sz="0" w:space="0" w:color="auto"/>
                    <w:right w:val="none" w:sz="0" w:space="0" w:color="auto"/>
                  </w:divBdr>
                  <w:divsChild>
                    <w:div w:id="686710563">
                      <w:marLeft w:val="0"/>
                      <w:marRight w:val="0"/>
                      <w:marTop w:val="0"/>
                      <w:marBottom w:val="0"/>
                      <w:divBdr>
                        <w:top w:val="none" w:sz="0" w:space="0" w:color="auto"/>
                        <w:left w:val="none" w:sz="0" w:space="0" w:color="auto"/>
                        <w:bottom w:val="none" w:sz="0" w:space="0" w:color="auto"/>
                        <w:right w:val="none" w:sz="0" w:space="0" w:color="auto"/>
                      </w:divBdr>
                    </w:div>
                  </w:divsChild>
                </w:div>
                <w:div w:id="1608386719">
                  <w:marLeft w:val="0"/>
                  <w:marRight w:val="0"/>
                  <w:marTop w:val="0"/>
                  <w:marBottom w:val="0"/>
                  <w:divBdr>
                    <w:top w:val="none" w:sz="0" w:space="0" w:color="auto"/>
                    <w:left w:val="none" w:sz="0" w:space="0" w:color="auto"/>
                    <w:bottom w:val="none" w:sz="0" w:space="0" w:color="auto"/>
                    <w:right w:val="none" w:sz="0" w:space="0" w:color="auto"/>
                  </w:divBdr>
                  <w:divsChild>
                    <w:div w:id="2060398367">
                      <w:marLeft w:val="0"/>
                      <w:marRight w:val="0"/>
                      <w:marTop w:val="0"/>
                      <w:marBottom w:val="0"/>
                      <w:divBdr>
                        <w:top w:val="none" w:sz="0" w:space="0" w:color="auto"/>
                        <w:left w:val="none" w:sz="0" w:space="0" w:color="auto"/>
                        <w:bottom w:val="none" w:sz="0" w:space="0" w:color="auto"/>
                        <w:right w:val="none" w:sz="0" w:space="0" w:color="auto"/>
                      </w:divBdr>
                    </w:div>
                  </w:divsChild>
                </w:div>
                <w:div w:id="1612937105">
                  <w:marLeft w:val="0"/>
                  <w:marRight w:val="0"/>
                  <w:marTop w:val="0"/>
                  <w:marBottom w:val="0"/>
                  <w:divBdr>
                    <w:top w:val="none" w:sz="0" w:space="0" w:color="auto"/>
                    <w:left w:val="none" w:sz="0" w:space="0" w:color="auto"/>
                    <w:bottom w:val="none" w:sz="0" w:space="0" w:color="auto"/>
                    <w:right w:val="none" w:sz="0" w:space="0" w:color="auto"/>
                  </w:divBdr>
                  <w:divsChild>
                    <w:div w:id="995761713">
                      <w:marLeft w:val="0"/>
                      <w:marRight w:val="0"/>
                      <w:marTop w:val="0"/>
                      <w:marBottom w:val="0"/>
                      <w:divBdr>
                        <w:top w:val="none" w:sz="0" w:space="0" w:color="auto"/>
                        <w:left w:val="none" w:sz="0" w:space="0" w:color="auto"/>
                        <w:bottom w:val="none" w:sz="0" w:space="0" w:color="auto"/>
                        <w:right w:val="none" w:sz="0" w:space="0" w:color="auto"/>
                      </w:divBdr>
                    </w:div>
                  </w:divsChild>
                </w:div>
                <w:div w:id="1631401008">
                  <w:marLeft w:val="0"/>
                  <w:marRight w:val="0"/>
                  <w:marTop w:val="0"/>
                  <w:marBottom w:val="0"/>
                  <w:divBdr>
                    <w:top w:val="none" w:sz="0" w:space="0" w:color="auto"/>
                    <w:left w:val="none" w:sz="0" w:space="0" w:color="auto"/>
                    <w:bottom w:val="none" w:sz="0" w:space="0" w:color="auto"/>
                    <w:right w:val="none" w:sz="0" w:space="0" w:color="auto"/>
                  </w:divBdr>
                  <w:divsChild>
                    <w:div w:id="1557812736">
                      <w:marLeft w:val="0"/>
                      <w:marRight w:val="0"/>
                      <w:marTop w:val="0"/>
                      <w:marBottom w:val="0"/>
                      <w:divBdr>
                        <w:top w:val="none" w:sz="0" w:space="0" w:color="auto"/>
                        <w:left w:val="none" w:sz="0" w:space="0" w:color="auto"/>
                        <w:bottom w:val="none" w:sz="0" w:space="0" w:color="auto"/>
                        <w:right w:val="none" w:sz="0" w:space="0" w:color="auto"/>
                      </w:divBdr>
                    </w:div>
                  </w:divsChild>
                </w:div>
                <w:div w:id="1645237890">
                  <w:marLeft w:val="0"/>
                  <w:marRight w:val="0"/>
                  <w:marTop w:val="0"/>
                  <w:marBottom w:val="0"/>
                  <w:divBdr>
                    <w:top w:val="none" w:sz="0" w:space="0" w:color="auto"/>
                    <w:left w:val="none" w:sz="0" w:space="0" w:color="auto"/>
                    <w:bottom w:val="none" w:sz="0" w:space="0" w:color="auto"/>
                    <w:right w:val="none" w:sz="0" w:space="0" w:color="auto"/>
                  </w:divBdr>
                  <w:divsChild>
                    <w:div w:id="288559014">
                      <w:marLeft w:val="0"/>
                      <w:marRight w:val="0"/>
                      <w:marTop w:val="0"/>
                      <w:marBottom w:val="0"/>
                      <w:divBdr>
                        <w:top w:val="none" w:sz="0" w:space="0" w:color="auto"/>
                        <w:left w:val="none" w:sz="0" w:space="0" w:color="auto"/>
                        <w:bottom w:val="none" w:sz="0" w:space="0" w:color="auto"/>
                        <w:right w:val="none" w:sz="0" w:space="0" w:color="auto"/>
                      </w:divBdr>
                    </w:div>
                  </w:divsChild>
                </w:div>
                <w:div w:id="1649282807">
                  <w:marLeft w:val="0"/>
                  <w:marRight w:val="0"/>
                  <w:marTop w:val="0"/>
                  <w:marBottom w:val="0"/>
                  <w:divBdr>
                    <w:top w:val="none" w:sz="0" w:space="0" w:color="auto"/>
                    <w:left w:val="none" w:sz="0" w:space="0" w:color="auto"/>
                    <w:bottom w:val="none" w:sz="0" w:space="0" w:color="auto"/>
                    <w:right w:val="none" w:sz="0" w:space="0" w:color="auto"/>
                  </w:divBdr>
                  <w:divsChild>
                    <w:div w:id="18094578">
                      <w:marLeft w:val="0"/>
                      <w:marRight w:val="0"/>
                      <w:marTop w:val="0"/>
                      <w:marBottom w:val="0"/>
                      <w:divBdr>
                        <w:top w:val="none" w:sz="0" w:space="0" w:color="auto"/>
                        <w:left w:val="none" w:sz="0" w:space="0" w:color="auto"/>
                        <w:bottom w:val="none" w:sz="0" w:space="0" w:color="auto"/>
                        <w:right w:val="none" w:sz="0" w:space="0" w:color="auto"/>
                      </w:divBdr>
                    </w:div>
                  </w:divsChild>
                </w:div>
                <w:div w:id="1705597280">
                  <w:marLeft w:val="0"/>
                  <w:marRight w:val="0"/>
                  <w:marTop w:val="0"/>
                  <w:marBottom w:val="0"/>
                  <w:divBdr>
                    <w:top w:val="none" w:sz="0" w:space="0" w:color="auto"/>
                    <w:left w:val="none" w:sz="0" w:space="0" w:color="auto"/>
                    <w:bottom w:val="none" w:sz="0" w:space="0" w:color="auto"/>
                    <w:right w:val="none" w:sz="0" w:space="0" w:color="auto"/>
                  </w:divBdr>
                  <w:divsChild>
                    <w:div w:id="1677998156">
                      <w:marLeft w:val="0"/>
                      <w:marRight w:val="0"/>
                      <w:marTop w:val="0"/>
                      <w:marBottom w:val="0"/>
                      <w:divBdr>
                        <w:top w:val="none" w:sz="0" w:space="0" w:color="auto"/>
                        <w:left w:val="none" w:sz="0" w:space="0" w:color="auto"/>
                        <w:bottom w:val="none" w:sz="0" w:space="0" w:color="auto"/>
                        <w:right w:val="none" w:sz="0" w:space="0" w:color="auto"/>
                      </w:divBdr>
                    </w:div>
                  </w:divsChild>
                </w:div>
                <w:div w:id="1709914282">
                  <w:marLeft w:val="0"/>
                  <w:marRight w:val="0"/>
                  <w:marTop w:val="0"/>
                  <w:marBottom w:val="0"/>
                  <w:divBdr>
                    <w:top w:val="none" w:sz="0" w:space="0" w:color="auto"/>
                    <w:left w:val="none" w:sz="0" w:space="0" w:color="auto"/>
                    <w:bottom w:val="none" w:sz="0" w:space="0" w:color="auto"/>
                    <w:right w:val="none" w:sz="0" w:space="0" w:color="auto"/>
                  </w:divBdr>
                  <w:divsChild>
                    <w:div w:id="298417867">
                      <w:marLeft w:val="0"/>
                      <w:marRight w:val="0"/>
                      <w:marTop w:val="0"/>
                      <w:marBottom w:val="0"/>
                      <w:divBdr>
                        <w:top w:val="none" w:sz="0" w:space="0" w:color="auto"/>
                        <w:left w:val="none" w:sz="0" w:space="0" w:color="auto"/>
                        <w:bottom w:val="none" w:sz="0" w:space="0" w:color="auto"/>
                        <w:right w:val="none" w:sz="0" w:space="0" w:color="auto"/>
                      </w:divBdr>
                    </w:div>
                  </w:divsChild>
                </w:div>
                <w:div w:id="1712461765">
                  <w:marLeft w:val="0"/>
                  <w:marRight w:val="0"/>
                  <w:marTop w:val="0"/>
                  <w:marBottom w:val="0"/>
                  <w:divBdr>
                    <w:top w:val="none" w:sz="0" w:space="0" w:color="auto"/>
                    <w:left w:val="none" w:sz="0" w:space="0" w:color="auto"/>
                    <w:bottom w:val="none" w:sz="0" w:space="0" w:color="auto"/>
                    <w:right w:val="none" w:sz="0" w:space="0" w:color="auto"/>
                  </w:divBdr>
                  <w:divsChild>
                    <w:div w:id="1107697312">
                      <w:marLeft w:val="0"/>
                      <w:marRight w:val="0"/>
                      <w:marTop w:val="0"/>
                      <w:marBottom w:val="0"/>
                      <w:divBdr>
                        <w:top w:val="none" w:sz="0" w:space="0" w:color="auto"/>
                        <w:left w:val="none" w:sz="0" w:space="0" w:color="auto"/>
                        <w:bottom w:val="none" w:sz="0" w:space="0" w:color="auto"/>
                        <w:right w:val="none" w:sz="0" w:space="0" w:color="auto"/>
                      </w:divBdr>
                    </w:div>
                  </w:divsChild>
                </w:div>
                <w:div w:id="1762598686">
                  <w:marLeft w:val="0"/>
                  <w:marRight w:val="0"/>
                  <w:marTop w:val="0"/>
                  <w:marBottom w:val="0"/>
                  <w:divBdr>
                    <w:top w:val="none" w:sz="0" w:space="0" w:color="auto"/>
                    <w:left w:val="none" w:sz="0" w:space="0" w:color="auto"/>
                    <w:bottom w:val="none" w:sz="0" w:space="0" w:color="auto"/>
                    <w:right w:val="none" w:sz="0" w:space="0" w:color="auto"/>
                  </w:divBdr>
                  <w:divsChild>
                    <w:div w:id="656760785">
                      <w:marLeft w:val="0"/>
                      <w:marRight w:val="0"/>
                      <w:marTop w:val="0"/>
                      <w:marBottom w:val="0"/>
                      <w:divBdr>
                        <w:top w:val="none" w:sz="0" w:space="0" w:color="auto"/>
                        <w:left w:val="none" w:sz="0" w:space="0" w:color="auto"/>
                        <w:bottom w:val="none" w:sz="0" w:space="0" w:color="auto"/>
                        <w:right w:val="none" w:sz="0" w:space="0" w:color="auto"/>
                      </w:divBdr>
                    </w:div>
                  </w:divsChild>
                </w:div>
                <w:div w:id="1789547909">
                  <w:marLeft w:val="0"/>
                  <w:marRight w:val="0"/>
                  <w:marTop w:val="0"/>
                  <w:marBottom w:val="0"/>
                  <w:divBdr>
                    <w:top w:val="none" w:sz="0" w:space="0" w:color="auto"/>
                    <w:left w:val="none" w:sz="0" w:space="0" w:color="auto"/>
                    <w:bottom w:val="none" w:sz="0" w:space="0" w:color="auto"/>
                    <w:right w:val="none" w:sz="0" w:space="0" w:color="auto"/>
                  </w:divBdr>
                  <w:divsChild>
                    <w:div w:id="143399714">
                      <w:marLeft w:val="0"/>
                      <w:marRight w:val="0"/>
                      <w:marTop w:val="0"/>
                      <w:marBottom w:val="0"/>
                      <w:divBdr>
                        <w:top w:val="none" w:sz="0" w:space="0" w:color="auto"/>
                        <w:left w:val="none" w:sz="0" w:space="0" w:color="auto"/>
                        <w:bottom w:val="none" w:sz="0" w:space="0" w:color="auto"/>
                        <w:right w:val="none" w:sz="0" w:space="0" w:color="auto"/>
                      </w:divBdr>
                    </w:div>
                  </w:divsChild>
                </w:div>
                <w:div w:id="1794057639">
                  <w:marLeft w:val="0"/>
                  <w:marRight w:val="0"/>
                  <w:marTop w:val="0"/>
                  <w:marBottom w:val="0"/>
                  <w:divBdr>
                    <w:top w:val="none" w:sz="0" w:space="0" w:color="auto"/>
                    <w:left w:val="none" w:sz="0" w:space="0" w:color="auto"/>
                    <w:bottom w:val="none" w:sz="0" w:space="0" w:color="auto"/>
                    <w:right w:val="none" w:sz="0" w:space="0" w:color="auto"/>
                  </w:divBdr>
                  <w:divsChild>
                    <w:div w:id="992028040">
                      <w:marLeft w:val="0"/>
                      <w:marRight w:val="0"/>
                      <w:marTop w:val="0"/>
                      <w:marBottom w:val="0"/>
                      <w:divBdr>
                        <w:top w:val="none" w:sz="0" w:space="0" w:color="auto"/>
                        <w:left w:val="none" w:sz="0" w:space="0" w:color="auto"/>
                        <w:bottom w:val="none" w:sz="0" w:space="0" w:color="auto"/>
                        <w:right w:val="none" w:sz="0" w:space="0" w:color="auto"/>
                      </w:divBdr>
                    </w:div>
                  </w:divsChild>
                </w:div>
                <w:div w:id="1799495071">
                  <w:marLeft w:val="0"/>
                  <w:marRight w:val="0"/>
                  <w:marTop w:val="0"/>
                  <w:marBottom w:val="0"/>
                  <w:divBdr>
                    <w:top w:val="none" w:sz="0" w:space="0" w:color="auto"/>
                    <w:left w:val="none" w:sz="0" w:space="0" w:color="auto"/>
                    <w:bottom w:val="none" w:sz="0" w:space="0" w:color="auto"/>
                    <w:right w:val="none" w:sz="0" w:space="0" w:color="auto"/>
                  </w:divBdr>
                  <w:divsChild>
                    <w:div w:id="1630352574">
                      <w:marLeft w:val="0"/>
                      <w:marRight w:val="0"/>
                      <w:marTop w:val="0"/>
                      <w:marBottom w:val="0"/>
                      <w:divBdr>
                        <w:top w:val="none" w:sz="0" w:space="0" w:color="auto"/>
                        <w:left w:val="none" w:sz="0" w:space="0" w:color="auto"/>
                        <w:bottom w:val="none" w:sz="0" w:space="0" w:color="auto"/>
                        <w:right w:val="none" w:sz="0" w:space="0" w:color="auto"/>
                      </w:divBdr>
                    </w:div>
                  </w:divsChild>
                </w:div>
                <w:div w:id="1885486245">
                  <w:marLeft w:val="0"/>
                  <w:marRight w:val="0"/>
                  <w:marTop w:val="0"/>
                  <w:marBottom w:val="0"/>
                  <w:divBdr>
                    <w:top w:val="none" w:sz="0" w:space="0" w:color="auto"/>
                    <w:left w:val="none" w:sz="0" w:space="0" w:color="auto"/>
                    <w:bottom w:val="none" w:sz="0" w:space="0" w:color="auto"/>
                    <w:right w:val="none" w:sz="0" w:space="0" w:color="auto"/>
                  </w:divBdr>
                  <w:divsChild>
                    <w:div w:id="1610232915">
                      <w:marLeft w:val="0"/>
                      <w:marRight w:val="0"/>
                      <w:marTop w:val="0"/>
                      <w:marBottom w:val="0"/>
                      <w:divBdr>
                        <w:top w:val="none" w:sz="0" w:space="0" w:color="auto"/>
                        <w:left w:val="none" w:sz="0" w:space="0" w:color="auto"/>
                        <w:bottom w:val="none" w:sz="0" w:space="0" w:color="auto"/>
                        <w:right w:val="none" w:sz="0" w:space="0" w:color="auto"/>
                      </w:divBdr>
                    </w:div>
                  </w:divsChild>
                </w:div>
                <w:div w:id="1981226410">
                  <w:marLeft w:val="0"/>
                  <w:marRight w:val="0"/>
                  <w:marTop w:val="0"/>
                  <w:marBottom w:val="0"/>
                  <w:divBdr>
                    <w:top w:val="none" w:sz="0" w:space="0" w:color="auto"/>
                    <w:left w:val="none" w:sz="0" w:space="0" w:color="auto"/>
                    <w:bottom w:val="none" w:sz="0" w:space="0" w:color="auto"/>
                    <w:right w:val="none" w:sz="0" w:space="0" w:color="auto"/>
                  </w:divBdr>
                  <w:divsChild>
                    <w:div w:id="426120680">
                      <w:marLeft w:val="0"/>
                      <w:marRight w:val="0"/>
                      <w:marTop w:val="0"/>
                      <w:marBottom w:val="0"/>
                      <w:divBdr>
                        <w:top w:val="none" w:sz="0" w:space="0" w:color="auto"/>
                        <w:left w:val="none" w:sz="0" w:space="0" w:color="auto"/>
                        <w:bottom w:val="none" w:sz="0" w:space="0" w:color="auto"/>
                        <w:right w:val="none" w:sz="0" w:space="0" w:color="auto"/>
                      </w:divBdr>
                    </w:div>
                  </w:divsChild>
                </w:div>
                <w:div w:id="1990010083">
                  <w:marLeft w:val="0"/>
                  <w:marRight w:val="0"/>
                  <w:marTop w:val="0"/>
                  <w:marBottom w:val="0"/>
                  <w:divBdr>
                    <w:top w:val="none" w:sz="0" w:space="0" w:color="auto"/>
                    <w:left w:val="none" w:sz="0" w:space="0" w:color="auto"/>
                    <w:bottom w:val="none" w:sz="0" w:space="0" w:color="auto"/>
                    <w:right w:val="none" w:sz="0" w:space="0" w:color="auto"/>
                  </w:divBdr>
                  <w:divsChild>
                    <w:div w:id="631331669">
                      <w:marLeft w:val="0"/>
                      <w:marRight w:val="0"/>
                      <w:marTop w:val="0"/>
                      <w:marBottom w:val="0"/>
                      <w:divBdr>
                        <w:top w:val="none" w:sz="0" w:space="0" w:color="auto"/>
                        <w:left w:val="none" w:sz="0" w:space="0" w:color="auto"/>
                        <w:bottom w:val="none" w:sz="0" w:space="0" w:color="auto"/>
                        <w:right w:val="none" w:sz="0" w:space="0" w:color="auto"/>
                      </w:divBdr>
                    </w:div>
                  </w:divsChild>
                </w:div>
                <w:div w:id="1992127426">
                  <w:marLeft w:val="0"/>
                  <w:marRight w:val="0"/>
                  <w:marTop w:val="0"/>
                  <w:marBottom w:val="0"/>
                  <w:divBdr>
                    <w:top w:val="none" w:sz="0" w:space="0" w:color="auto"/>
                    <w:left w:val="none" w:sz="0" w:space="0" w:color="auto"/>
                    <w:bottom w:val="none" w:sz="0" w:space="0" w:color="auto"/>
                    <w:right w:val="none" w:sz="0" w:space="0" w:color="auto"/>
                  </w:divBdr>
                  <w:divsChild>
                    <w:div w:id="220672130">
                      <w:marLeft w:val="0"/>
                      <w:marRight w:val="0"/>
                      <w:marTop w:val="0"/>
                      <w:marBottom w:val="0"/>
                      <w:divBdr>
                        <w:top w:val="none" w:sz="0" w:space="0" w:color="auto"/>
                        <w:left w:val="none" w:sz="0" w:space="0" w:color="auto"/>
                        <w:bottom w:val="none" w:sz="0" w:space="0" w:color="auto"/>
                        <w:right w:val="none" w:sz="0" w:space="0" w:color="auto"/>
                      </w:divBdr>
                    </w:div>
                  </w:divsChild>
                </w:div>
                <w:div w:id="1995064792">
                  <w:marLeft w:val="0"/>
                  <w:marRight w:val="0"/>
                  <w:marTop w:val="0"/>
                  <w:marBottom w:val="0"/>
                  <w:divBdr>
                    <w:top w:val="none" w:sz="0" w:space="0" w:color="auto"/>
                    <w:left w:val="none" w:sz="0" w:space="0" w:color="auto"/>
                    <w:bottom w:val="none" w:sz="0" w:space="0" w:color="auto"/>
                    <w:right w:val="none" w:sz="0" w:space="0" w:color="auto"/>
                  </w:divBdr>
                  <w:divsChild>
                    <w:div w:id="96026535">
                      <w:marLeft w:val="0"/>
                      <w:marRight w:val="0"/>
                      <w:marTop w:val="0"/>
                      <w:marBottom w:val="0"/>
                      <w:divBdr>
                        <w:top w:val="none" w:sz="0" w:space="0" w:color="auto"/>
                        <w:left w:val="none" w:sz="0" w:space="0" w:color="auto"/>
                        <w:bottom w:val="none" w:sz="0" w:space="0" w:color="auto"/>
                        <w:right w:val="none" w:sz="0" w:space="0" w:color="auto"/>
                      </w:divBdr>
                    </w:div>
                  </w:divsChild>
                </w:div>
                <w:div w:id="2006589392">
                  <w:marLeft w:val="0"/>
                  <w:marRight w:val="0"/>
                  <w:marTop w:val="0"/>
                  <w:marBottom w:val="0"/>
                  <w:divBdr>
                    <w:top w:val="none" w:sz="0" w:space="0" w:color="auto"/>
                    <w:left w:val="none" w:sz="0" w:space="0" w:color="auto"/>
                    <w:bottom w:val="none" w:sz="0" w:space="0" w:color="auto"/>
                    <w:right w:val="none" w:sz="0" w:space="0" w:color="auto"/>
                  </w:divBdr>
                  <w:divsChild>
                    <w:div w:id="1670865406">
                      <w:marLeft w:val="0"/>
                      <w:marRight w:val="0"/>
                      <w:marTop w:val="0"/>
                      <w:marBottom w:val="0"/>
                      <w:divBdr>
                        <w:top w:val="none" w:sz="0" w:space="0" w:color="auto"/>
                        <w:left w:val="none" w:sz="0" w:space="0" w:color="auto"/>
                        <w:bottom w:val="none" w:sz="0" w:space="0" w:color="auto"/>
                        <w:right w:val="none" w:sz="0" w:space="0" w:color="auto"/>
                      </w:divBdr>
                    </w:div>
                  </w:divsChild>
                </w:div>
                <w:div w:id="2038844918">
                  <w:marLeft w:val="0"/>
                  <w:marRight w:val="0"/>
                  <w:marTop w:val="0"/>
                  <w:marBottom w:val="0"/>
                  <w:divBdr>
                    <w:top w:val="none" w:sz="0" w:space="0" w:color="auto"/>
                    <w:left w:val="none" w:sz="0" w:space="0" w:color="auto"/>
                    <w:bottom w:val="none" w:sz="0" w:space="0" w:color="auto"/>
                    <w:right w:val="none" w:sz="0" w:space="0" w:color="auto"/>
                  </w:divBdr>
                  <w:divsChild>
                    <w:div w:id="1745639326">
                      <w:marLeft w:val="0"/>
                      <w:marRight w:val="0"/>
                      <w:marTop w:val="0"/>
                      <w:marBottom w:val="0"/>
                      <w:divBdr>
                        <w:top w:val="none" w:sz="0" w:space="0" w:color="auto"/>
                        <w:left w:val="none" w:sz="0" w:space="0" w:color="auto"/>
                        <w:bottom w:val="none" w:sz="0" w:space="0" w:color="auto"/>
                        <w:right w:val="none" w:sz="0" w:space="0" w:color="auto"/>
                      </w:divBdr>
                    </w:div>
                  </w:divsChild>
                </w:div>
                <w:div w:id="2044861423">
                  <w:marLeft w:val="0"/>
                  <w:marRight w:val="0"/>
                  <w:marTop w:val="0"/>
                  <w:marBottom w:val="0"/>
                  <w:divBdr>
                    <w:top w:val="none" w:sz="0" w:space="0" w:color="auto"/>
                    <w:left w:val="none" w:sz="0" w:space="0" w:color="auto"/>
                    <w:bottom w:val="none" w:sz="0" w:space="0" w:color="auto"/>
                    <w:right w:val="none" w:sz="0" w:space="0" w:color="auto"/>
                  </w:divBdr>
                  <w:divsChild>
                    <w:div w:id="732317961">
                      <w:marLeft w:val="0"/>
                      <w:marRight w:val="0"/>
                      <w:marTop w:val="0"/>
                      <w:marBottom w:val="0"/>
                      <w:divBdr>
                        <w:top w:val="none" w:sz="0" w:space="0" w:color="auto"/>
                        <w:left w:val="none" w:sz="0" w:space="0" w:color="auto"/>
                        <w:bottom w:val="none" w:sz="0" w:space="0" w:color="auto"/>
                        <w:right w:val="none" w:sz="0" w:space="0" w:color="auto"/>
                      </w:divBdr>
                    </w:div>
                  </w:divsChild>
                </w:div>
                <w:div w:id="2057199012">
                  <w:marLeft w:val="0"/>
                  <w:marRight w:val="0"/>
                  <w:marTop w:val="0"/>
                  <w:marBottom w:val="0"/>
                  <w:divBdr>
                    <w:top w:val="none" w:sz="0" w:space="0" w:color="auto"/>
                    <w:left w:val="none" w:sz="0" w:space="0" w:color="auto"/>
                    <w:bottom w:val="none" w:sz="0" w:space="0" w:color="auto"/>
                    <w:right w:val="none" w:sz="0" w:space="0" w:color="auto"/>
                  </w:divBdr>
                  <w:divsChild>
                    <w:div w:id="1200631698">
                      <w:marLeft w:val="0"/>
                      <w:marRight w:val="0"/>
                      <w:marTop w:val="0"/>
                      <w:marBottom w:val="0"/>
                      <w:divBdr>
                        <w:top w:val="none" w:sz="0" w:space="0" w:color="auto"/>
                        <w:left w:val="none" w:sz="0" w:space="0" w:color="auto"/>
                        <w:bottom w:val="none" w:sz="0" w:space="0" w:color="auto"/>
                        <w:right w:val="none" w:sz="0" w:space="0" w:color="auto"/>
                      </w:divBdr>
                    </w:div>
                  </w:divsChild>
                </w:div>
                <w:div w:id="2124884659">
                  <w:marLeft w:val="0"/>
                  <w:marRight w:val="0"/>
                  <w:marTop w:val="0"/>
                  <w:marBottom w:val="0"/>
                  <w:divBdr>
                    <w:top w:val="none" w:sz="0" w:space="0" w:color="auto"/>
                    <w:left w:val="none" w:sz="0" w:space="0" w:color="auto"/>
                    <w:bottom w:val="none" w:sz="0" w:space="0" w:color="auto"/>
                    <w:right w:val="none" w:sz="0" w:space="0" w:color="auto"/>
                  </w:divBdr>
                  <w:divsChild>
                    <w:div w:id="72318674">
                      <w:marLeft w:val="0"/>
                      <w:marRight w:val="0"/>
                      <w:marTop w:val="0"/>
                      <w:marBottom w:val="0"/>
                      <w:divBdr>
                        <w:top w:val="none" w:sz="0" w:space="0" w:color="auto"/>
                        <w:left w:val="none" w:sz="0" w:space="0" w:color="auto"/>
                        <w:bottom w:val="none" w:sz="0" w:space="0" w:color="auto"/>
                        <w:right w:val="none" w:sz="0" w:space="0" w:color="auto"/>
                      </w:divBdr>
                    </w:div>
                  </w:divsChild>
                </w:div>
                <w:div w:id="2130009584">
                  <w:marLeft w:val="0"/>
                  <w:marRight w:val="0"/>
                  <w:marTop w:val="0"/>
                  <w:marBottom w:val="0"/>
                  <w:divBdr>
                    <w:top w:val="none" w:sz="0" w:space="0" w:color="auto"/>
                    <w:left w:val="none" w:sz="0" w:space="0" w:color="auto"/>
                    <w:bottom w:val="none" w:sz="0" w:space="0" w:color="auto"/>
                    <w:right w:val="none" w:sz="0" w:space="0" w:color="auto"/>
                  </w:divBdr>
                  <w:divsChild>
                    <w:div w:id="1250456928">
                      <w:marLeft w:val="0"/>
                      <w:marRight w:val="0"/>
                      <w:marTop w:val="0"/>
                      <w:marBottom w:val="0"/>
                      <w:divBdr>
                        <w:top w:val="none" w:sz="0" w:space="0" w:color="auto"/>
                        <w:left w:val="none" w:sz="0" w:space="0" w:color="auto"/>
                        <w:bottom w:val="none" w:sz="0" w:space="0" w:color="auto"/>
                        <w:right w:val="none" w:sz="0" w:space="0" w:color="auto"/>
                      </w:divBdr>
                    </w:div>
                    <w:div w:id="1822309392">
                      <w:marLeft w:val="0"/>
                      <w:marRight w:val="0"/>
                      <w:marTop w:val="0"/>
                      <w:marBottom w:val="0"/>
                      <w:divBdr>
                        <w:top w:val="none" w:sz="0" w:space="0" w:color="auto"/>
                        <w:left w:val="none" w:sz="0" w:space="0" w:color="auto"/>
                        <w:bottom w:val="none" w:sz="0" w:space="0" w:color="auto"/>
                        <w:right w:val="none" w:sz="0" w:space="0" w:color="auto"/>
                      </w:divBdr>
                    </w:div>
                  </w:divsChild>
                </w:div>
                <w:div w:id="2142532170">
                  <w:marLeft w:val="0"/>
                  <w:marRight w:val="0"/>
                  <w:marTop w:val="0"/>
                  <w:marBottom w:val="0"/>
                  <w:divBdr>
                    <w:top w:val="none" w:sz="0" w:space="0" w:color="auto"/>
                    <w:left w:val="none" w:sz="0" w:space="0" w:color="auto"/>
                    <w:bottom w:val="none" w:sz="0" w:space="0" w:color="auto"/>
                    <w:right w:val="none" w:sz="0" w:space="0" w:color="auto"/>
                  </w:divBdr>
                  <w:divsChild>
                    <w:div w:id="16862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31320">
      <w:bodyDiv w:val="1"/>
      <w:marLeft w:val="0"/>
      <w:marRight w:val="0"/>
      <w:marTop w:val="0"/>
      <w:marBottom w:val="0"/>
      <w:divBdr>
        <w:top w:val="none" w:sz="0" w:space="0" w:color="auto"/>
        <w:left w:val="none" w:sz="0" w:space="0" w:color="auto"/>
        <w:bottom w:val="none" w:sz="0" w:space="0" w:color="auto"/>
        <w:right w:val="none" w:sz="0" w:space="0" w:color="auto"/>
      </w:divBdr>
      <w:divsChild>
        <w:div w:id="81799371">
          <w:marLeft w:val="0"/>
          <w:marRight w:val="0"/>
          <w:marTop w:val="0"/>
          <w:marBottom w:val="0"/>
          <w:divBdr>
            <w:top w:val="none" w:sz="0" w:space="0" w:color="auto"/>
            <w:left w:val="none" w:sz="0" w:space="0" w:color="auto"/>
            <w:bottom w:val="none" w:sz="0" w:space="0" w:color="auto"/>
            <w:right w:val="none" w:sz="0" w:space="0" w:color="auto"/>
          </w:divBdr>
          <w:divsChild>
            <w:div w:id="1555773888">
              <w:marLeft w:val="0"/>
              <w:marRight w:val="0"/>
              <w:marTop w:val="0"/>
              <w:marBottom w:val="0"/>
              <w:divBdr>
                <w:top w:val="none" w:sz="0" w:space="0" w:color="auto"/>
                <w:left w:val="none" w:sz="0" w:space="0" w:color="auto"/>
                <w:bottom w:val="none" w:sz="0" w:space="0" w:color="auto"/>
                <w:right w:val="none" w:sz="0" w:space="0" w:color="auto"/>
              </w:divBdr>
              <w:divsChild>
                <w:div w:id="12262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4609">
      <w:bodyDiv w:val="1"/>
      <w:marLeft w:val="0"/>
      <w:marRight w:val="0"/>
      <w:marTop w:val="0"/>
      <w:marBottom w:val="0"/>
      <w:divBdr>
        <w:top w:val="none" w:sz="0" w:space="0" w:color="auto"/>
        <w:left w:val="none" w:sz="0" w:space="0" w:color="auto"/>
        <w:bottom w:val="none" w:sz="0" w:space="0" w:color="auto"/>
        <w:right w:val="none" w:sz="0" w:space="0" w:color="auto"/>
      </w:divBdr>
      <w:divsChild>
        <w:div w:id="1161460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1712251">
              <w:marLeft w:val="0"/>
              <w:marRight w:val="0"/>
              <w:marTop w:val="0"/>
              <w:marBottom w:val="0"/>
              <w:divBdr>
                <w:top w:val="none" w:sz="0" w:space="0" w:color="auto"/>
                <w:left w:val="none" w:sz="0" w:space="0" w:color="auto"/>
                <w:bottom w:val="none" w:sz="0" w:space="0" w:color="auto"/>
                <w:right w:val="none" w:sz="0" w:space="0" w:color="auto"/>
              </w:divBdr>
              <w:divsChild>
                <w:div w:id="550964350">
                  <w:marLeft w:val="0"/>
                  <w:marRight w:val="0"/>
                  <w:marTop w:val="0"/>
                  <w:marBottom w:val="0"/>
                  <w:divBdr>
                    <w:top w:val="none" w:sz="0" w:space="0" w:color="auto"/>
                    <w:left w:val="none" w:sz="0" w:space="0" w:color="auto"/>
                    <w:bottom w:val="none" w:sz="0" w:space="0" w:color="auto"/>
                    <w:right w:val="none" w:sz="0" w:space="0" w:color="auto"/>
                  </w:divBdr>
                  <w:divsChild>
                    <w:div w:id="1897931466">
                      <w:marLeft w:val="0"/>
                      <w:marRight w:val="0"/>
                      <w:marTop w:val="0"/>
                      <w:marBottom w:val="0"/>
                      <w:divBdr>
                        <w:top w:val="none" w:sz="0" w:space="0" w:color="auto"/>
                        <w:left w:val="none" w:sz="0" w:space="0" w:color="auto"/>
                        <w:bottom w:val="none" w:sz="0" w:space="0" w:color="auto"/>
                        <w:right w:val="none" w:sz="0" w:space="0" w:color="auto"/>
                      </w:divBdr>
                      <w:divsChild>
                        <w:div w:id="2113284188">
                          <w:marLeft w:val="0"/>
                          <w:marRight w:val="0"/>
                          <w:marTop w:val="0"/>
                          <w:marBottom w:val="0"/>
                          <w:divBdr>
                            <w:top w:val="none" w:sz="0" w:space="0" w:color="auto"/>
                            <w:left w:val="none" w:sz="0" w:space="0" w:color="auto"/>
                            <w:bottom w:val="none" w:sz="0" w:space="0" w:color="auto"/>
                            <w:right w:val="none" w:sz="0" w:space="0" w:color="auto"/>
                          </w:divBdr>
                          <w:divsChild>
                            <w:div w:id="176116415">
                              <w:marLeft w:val="0"/>
                              <w:marRight w:val="0"/>
                              <w:marTop w:val="0"/>
                              <w:marBottom w:val="0"/>
                              <w:divBdr>
                                <w:top w:val="none" w:sz="0" w:space="0" w:color="auto"/>
                                <w:left w:val="none" w:sz="0" w:space="0" w:color="auto"/>
                                <w:bottom w:val="none" w:sz="0" w:space="0" w:color="auto"/>
                                <w:right w:val="none" w:sz="0" w:space="0" w:color="auto"/>
                              </w:divBdr>
                              <w:divsChild>
                                <w:div w:id="296689466">
                                  <w:marLeft w:val="0"/>
                                  <w:marRight w:val="0"/>
                                  <w:marTop w:val="0"/>
                                  <w:marBottom w:val="0"/>
                                  <w:divBdr>
                                    <w:top w:val="none" w:sz="0" w:space="0" w:color="auto"/>
                                    <w:left w:val="none" w:sz="0" w:space="0" w:color="auto"/>
                                    <w:bottom w:val="none" w:sz="0" w:space="0" w:color="auto"/>
                                    <w:right w:val="none" w:sz="0" w:space="0" w:color="auto"/>
                                  </w:divBdr>
                                  <w:divsChild>
                                    <w:div w:id="346948742">
                                      <w:marLeft w:val="0"/>
                                      <w:marRight w:val="0"/>
                                      <w:marTop w:val="0"/>
                                      <w:marBottom w:val="0"/>
                                      <w:divBdr>
                                        <w:top w:val="none" w:sz="0" w:space="0" w:color="auto"/>
                                        <w:left w:val="none" w:sz="0" w:space="0" w:color="auto"/>
                                        <w:bottom w:val="none" w:sz="0" w:space="0" w:color="auto"/>
                                        <w:right w:val="none" w:sz="0" w:space="0" w:color="auto"/>
                                      </w:divBdr>
                                      <w:divsChild>
                                        <w:div w:id="92626934">
                                          <w:marLeft w:val="0"/>
                                          <w:marRight w:val="0"/>
                                          <w:marTop w:val="0"/>
                                          <w:marBottom w:val="0"/>
                                          <w:divBdr>
                                            <w:top w:val="none" w:sz="0" w:space="0" w:color="auto"/>
                                            <w:left w:val="none" w:sz="0" w:space="0" w:color="auto"/>
                                            <w:bottom w:val="none" w:sz="0" w:space="0" w:color="auto"/>
                                            <w:right w:val="none" w:sz="0" w:space="0" w:color="auto"/>
                                          </w:divBdr>
                                          <w:divsChild>
                                            <w:div w:id="3538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414670">
      <w:bodyDiv w:val="1"/>
      <w:marLeft w:val="0"/>
      <w:marRight w:val="0"/>
      <w:marTop w:val="0"/>
      <w:marBottom w:val="0"/>
      <w:divBdr>
        <w:top w:val="none" w:sz="0" w:space="0" w:color="auto"/>
        <w:left w:val="none" w:sz="0" w:space="0" w:color="auto"/>
        <w:bottom w:val="none" w:sz="0" w:space="0" w:color="auto"/>
        <w:right w:val="none" w:sz="0" w:space="0" w:color="auto"/>
      </w:divBdr>
      <w:divsChild>
        <w:div w:id="2147119235">
          <w:marLeft w:val="0"/>
          <w:marRight w:val="0"/>
          <w:marTop w:val="0"/>
          <w:marBottom w:val="0"/>
          <w:divBdr>
            <w:top w:val="none" w:sz="0" w:space="0" w:color="auto"/>
            <w:left w:val="none" w:sz="0" w:space="0" w:color="auto"/>
            <w:bottom w:val="none" w:sz="0" w:space="0" w:color="auto"/>
            <w:right w:val="none" w:sz="0" w:space="0" w:color="auto"/>
          </w:divBdr>
          <w:divsChild>
            <w:div w:id="652416595">
              <w:marLeft w:val="0"/>
              <w:marRight w:val="0"/>
              <w:marTop w:val="0"/>
              <w:marBottom w:val="0"/>
              <w:divBdr>
                <w:top w:val="none" w:sz="0" w:space="0" w:color="auto"/>
                <w:left w:val="none" w:sz="0" w:space="0" w:color="auto"/>
                <w:bottom w:val="none" w:sz="0" w:space="0" w:color="auto"/>
                <w:right w:val="none" w:sz="0" w:space="0" w:color="auto"/>
              </w:divBdr>
              <w:divsChild>
                <w:div w:id="6958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28625">
      <w:bodyDiv w:val="1"/>
      <w:marLeft w:val="0"/>
      <w:marRight w:val="0"/>
      <w:marTop w:val="0"/>
      <w:marBottom w:val="0"/>
      <w:divBdr>
        <w:top w:val="none" w:sz="0" w:space="0" w:color="auto"/>
        <w:left w:val="none" w:sz="0" w:space="0" w:color="auto"/>
        <w:bottom w:val="none" w:sz="0" w:space="0" w:color="auto"/>
        <w:right w:val="none" w:sz="0" w:space="0" w:color="auto"/>
      </w:divBdr>
      <w:divsChild>
        <w:div w:id="4151722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0274770">
              <w:marLeft w:val="0"/>
              <w:marRight w:val="0"/>
              <w:marTop w:val="0"/>
              <w:marBottom w:val="0"/>
              <w:divBdr>
                <w:top w:val="none" w:sz="0" w:space="0" w:color="auto"/>
                <w:left w:val="none" w:sz="0" w:space="0" w:color="auto"/>
                <w:bottom w:val="none" w:sz="0" w:space="0" w:color="auto"/>
                <w:right w:val="none" w:sz="0" w:space="0" w:color="auto"/>
              </w:divBdr>
              <w:divsChild>
                <w:div w:id="849636974">
                  <w:marLeft w:val="0"/>
                  <w:marRight w:val="0"/>
                  <w:marTop w:val="0"/>
                  <w:marBottom w:val="0"/>
                  <w:divBdr>
                    <w:top w:val="none" w:sz="0" w:space="0" w:color="auto"/>
                    <w:left w:val="none" w:sz="0" w:space="0" w:color="auto"/>
                    <w:bottom w:val="none" w:sz="0" w:space="0" w:color="auto"/>
                    <w:right w:val="none" w:sz="0" w:space="0" w:color="auto"/>
                  </w:divBdr>
                  <w:divsChild>
                    <w:div w:id="14333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bankrate.com/calculators/retirement/roth-traditional-ira-calculator.aspx" TargetMode="External"/><Relationship Id="rId14" Type="http://schemas.openxmlformats.org/officeDocument/2006/relationships/image" Target="media/image6.jp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SkillMark\Web%20Instructional%20Design\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CFD70-7D21-D04E-B592-931FB60C7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G:\SkillMark\Web Instructional Design\01 In Development\Template\EPUB New Course Template.dotx</Template>
  <TotalTime>353</TotalTime>
  <Pages>104</Pages>
  <Words>26725</Words>
  <Characters>152334</Characters>
  <Application>Microsoft Macintosh Word</Application>
  <DocSecurity>0</DocSecurity>
  <Lines>1269</Lines>
  <Paragraphs>357</Paragraphs>
  <ScaleCrop>false</ScaleCrop>
  <HeadingPairs>
    <vt:vector size="2" baseType="variant">
      <vt:variant>
        <vt:lpstr>Title</vt:lpstr>
      </vt:variant>
      <vt:variant>
        <vt:i4>1</vt:i4>
      </vt:variant>
    </vt:vector>
  </HeadingPairs>
  <TitlesOfParts>
    <vt:vector size="1" baseType="lpstr">
      <vt:lpstr>Advising the Affluent Client: Retirement Planning</vt:lpstr>
    </vt:vector>
  </TitlesOfParts>
  <Company>Greene Consulting</Company>
  <LinksUpToDate>false</LinksUpToDate>
  <CharactersWithSpaces>178702</CharactersWithSpaces>
  <SharedDoc>false</SharedDoc>
  <HLinks>
    <vt:vector size="156" baseType="variant">
      <vt:variant>
        <vt:i4>1507405</vt:i4>
      </vt:variant>
      <vt:variant>
        <vt:i4>60</vt:i4>
      </vt:variant>
      <vt:variant>
        <vt:i4>0</vt:i4>
      </vt:variant>
      <vt:variant>
        <vt:i4>5</vt:i4>
      </vt:variant>
      <vt:variant>
        <vt:lpwstr>http://www.quotationspage.com/quotes/Aldous_Huxley/</vt:lpwstr>
      </vt:variant>
      <vt:variant>
        <vt:lpwstr/>
      </vt:variant>
      <vt:variant>
        <vt:i4>3342449</vt:i4>
      </vt:variant>
      <vt:variant>
        <vt:i4>57</vt:i4>
      </vt:variant>
      <vt:variant>
        <vt:i4>0</vt:i4>
      </vt:variant>
      <vt:variant>
        <vt:i4>5</vt:i4>
      </vt:variant>
      <vt:variant>
        <vt:lpwstr>http://www.quotationspage.com/quote/24957.html</vt:lpwstr>
      </vt:variant>
      <vt:variant>
        <vt:lpwstr/>
      </vt:variant>
      <vt:variant>
        <vt:i4>6094921</vt:i4>
      </vt:variant>
      <vt:variant>
        <vt:i4>54</vt:i4>
      </vt:variant>
      <vt:variant>
        <vt:i4>0</vt:i4>
      </vt:variant>
      <vt:variant>
        <vt:i4>5</vt:i4>
      </vt:variant>
      <vt:variant>
        <vt:lpwstr>http://www.medicare.gov/</vt:lpwstr>
      </vt:variant>
      <vt:variant>
        <vt:lpwstr/>
      </vt:variant>
      <vt:variant>
        <vt:i4>2621442</vt:i4>
      </vt:variant>
      <vt:variant>
        <vt:i4>0</vt:i4>
      </vt:variant>
      <vt:variant>
        <vt:i4>0</vt:i4>
      </vt:variant>
      <vt:variant>
        <vt:i4>5</vt:i4>
      </vt:variant>
      <vt:variant>
        <vt:lpwstr>http://www.greeneconsults.com/topclass/greene/retirement_planning/1040.pdf</vt:lpwstr>
      </vt:variant>
      <vt:variant>
        <vt:lpwstr/>
      </vt:variant>
      <vt:variant>
        <vt:i4>3539014</vt:i4>
      </vt:variant>
      <vt:variant>
        <vt:i4>2058</vt:i4>
      </vt:variant>
      <vt:variant>
        <vt:i4>1026</vt:i4>
      </vt:variant>
      <vt:variant>
        <vt:i4>1</vt:i4>
      </vt:variant>
      <vt:variant>
        <vt:lpwstr>gc_logo_small</vt:lpwstr>
      </vt:variant>
      <vt:variant>
        <vt:lpwstr/>
      </vt:variant>
      <vt:variant>
        <vt:i4>196652</vt:i4>
      </vt:variant>
      <vt:variant>
        <vt:i4>9764</vt:i4>
      </vt:variant>
      <vt:variant>
        <vt:i4>1027</vt:i4>
      </vt:variant>
      <vt:variant>
        <vt:i4>1</vt:i4>
      </vt:variant>
      <vt:variant>
        <vt:lpwstr>DocumentationIcon_32px</vt:lpwstr>
      </vt:variant>
      <vt:variant>
        <vt:lpwstr/>
      </vt:variant>
      <vt:variant>
        <vt:i4>49</vt:i4>
      </vt:variant>
      <vt:variant>
        <vt:i4>113705</vt:i4>
      </vt:variant>
      <vt:variant>
        <vt:i4>1032</vt:i4>
      </vt:variant>
      <vt:variant>
        <vt:i4>1</vt:i4>
      </vt:variant>
      <vt:variant>
        <vt:lpwstr>2013 Form 1040 Page 1</vt:lpwstr>
      </vt:variant>
      <vt:variant>
        <vt:lpwstr/>
      </vt:variant>
      <vt:variant>
        <vt:i4>50</vt:i4>
      </vt:variant>
      <vt:variant>
        <vt:i4>113707</vt:i4>
      </vt:variant>
      <vt:variant>
        <vt:i4>1033</vt:i4>
      </vt:variant>
      <vt:variant>
        <vt:i4>1</vt:i4>
      </vt:variant>
      <vt:variant>
        <vt:lpwstr>2013 Form 1040 Page 2</vt:lpwstr>
      </vt:variant>
      <vt:variant>
        <vt:lpwstr/>
      </vt:variant>
      <vt:variant>
        <vt:i4>1245283</vt:i4>
      </vt:variant>
      <vt:variant>
        <vt:i4>122221</vt:i4>
      </vt:variant>
      <vt:variant>
        <vt:i4>1052</vt:i4>
      </vt:variant>
      <vt:variant>
        <vt:i4>1</vt:i4>
      </vt:variant>
      <vt:variant>
        <vt:lpwstr>test_tip_icon</vt:lpwstr>
      </vt:variant>
      <vt:variant>
        <vt:lpwstr/>
      </vt:variant>
      <vt:variant>
        <vt:i4>1245283</vt:i4>
      </vt:variant>
      <vt:variant>
        <vt:i4>133521</vt:i4>
      </vt:variant>
      <vt:variant>
        <vt:i4>1044</vt:i4>
      </vt:variant>
      <vt:variant>
        <vt:i4>1</vt:i4>
      </vt:variant>
      <vt:variant>
        <vt:lpwstr>test_tip_icon</vt:lpwstr>
      </vt:variant>
      <vt:variant>
        <vt:lpwstr/>
      </vt:variant>
      <vt:variant>
        <vt:i4>1245283</vt:i4>
      </vt:variant>
      <vt:variant>
        <vt:i4>142269</vt:i4>
      </vt:variant>
      <vt:variant>
        <vt:i4>1037</vt:i4>
      </vt:variant>
      <vt:variant>
        <vt:i4>1</vt:i4>
      </vt:variant>
      <vt:variant>
        <vt:lpwstr>test_tip_icon</vt:lpwstr>
      </vt:variant>
      <vt:variant>
        <vt:lpwstr/>
      </vt:variant>
      <vt:variant>
        <vt:i4>1245283</vt:i4>
      </vt:variant>
      <vt:variant>
        <vt:i4>143160</vt:i4>
      </vt:variant>
      <vt:variant>
        <vt:i4>1036</vt:i4>
      </vt:variant>
      <vt:variant>
        <vt:i4>1</vt:i4>
      </vt:variant>
      <vt:variant>
        <vt:lpwstr>test_tip_icon</vt:lpwstr>
      </vt:variant>
      <vt:variant>
        <vt:lpwstr/>
      </vt:variant>
      <vt:variant>
        <vt:i4>1245283</vt:i4>
      </vt:variant>
      <vt:variant>
        <vt:i4>163984</vt:i4>
      </vt:variant>
      <vt:variant>
        <vt:i4>1038</vt:i4>
      </vt:variant>
      <vt:variant>
        <vt:i4>1</vt:i4>
      </vt:variant>
      <vt:variant>
        <vt:lpwstr>test_tip_icon</vt:lpwstr>
      </vt:variant>
      <vt:variant>
        <vt:lpwstr/>
      </vt:variant>
      <vt:variant>
        <vt:i4>3670038</vt:i4>
      </vt:variant>
      <vt:variant>
        <vt:i4>229776</vt:i4>
      </vt:variant>
      <vt:variant>
        <vt:i4>1041</vt:i4>
      </vt:variant>
      <vt:variant>
        <vt:i4>1</vt:i4>
      </vt:variant>
      <vt:variant>
        <vt:lpwstr>Qualified Plans</vt:lpwstr>
      </vt:variant>
      <vt:variant>
        <vt:lpwstr/>
      </vt:variant>
      <vt:variant>
        <vt:i4>1572900</vt:i4>
      </vt:variant>
      <vt:variant>
        <vt:i4>236973</vt:i4>
      </vt:variant>
      <vt:variant>
        <vt:i4>1042</vt:i4>
      </vt:variant>
      <vt:variant>
        <vt:i4>1</vt:i4>
      </vt:variant>
      <vt:variant>
        <vt:lpwstr>Qualified Plans 2</vt:lpwstr>
      </vt:variant>
      <vt:variant>
        <vt:lpwstr/>
      </vt:variant>
      <vt:variant>
        <vt:i4>196652</vt:i4>
      </vt:variant>
      <vt:variant>
        <vt:i4>306382</vt:i4>
      </vt:variant>
      <vt:variant>
        <vt:i4>1046</vt:i4>
      </vt:variant>
      <vt:variant>
        <vt:i4>1</vt:i4>
      </vt:variant>
      <vt:variant>
        <vt:lpwstr>DocumentationIcon_32px</vt:lpwstr>
      </vt:variant>
      <vt:variant>
        <vt:lpwstr/>
      </vt:variant>
      <vt:variant>
        <vt:i4>196652</vt:i4>
      </vt:variant>
      <vt:variant>
        <vt:i4>310464</vt:i4>
      </vt:variant>
      <vt:variant>
        <vt:i4>1047</vt:i4>
      </vt:variant>
      <vt:variant>
        <vt:i4>1</vt:i4>
      </vt:variant>
      <vt:variant>
        <vt:lpwstr>DocumentationIcon_32px</vt:lpwstr>
      </vt:variant>
      <vt:variant>
        <vt:lpwstr/>
      </vt:variant>
      <vt:variant>
        <vt:i4>196652</vt:i4>
      </vt:variant>
      <vt:variant>
        <vt:i4>310508</vt:i4>
      </vt:variant>
      <vt:variant>
        <vt:i4>1048</vt:i4>
      </vt:variant>
      <vt:variant>
        <vt:i4>1</vt:i4>
      </vt:variant>
      <vt:variant>
        <vt:lpwstr>DocumentationIcon_32px</vt:lpwstr>
      </vt:variant>
      <vt:variant>
        <vt:lpwstr/>
      </vt:variant>
      <vt:variant>
        <vt:i4>196652</vt:i4>
      </vt:variant>
      <vt:variant>
        <vt:i4>310626</vt:i4>
      </vt:variant>
      <vt:variant>
        <vt:i4>1049</vt:i4>
      </vt:variant>
      <vt:variant>
        <vt:i4>1</vt:i4>
      </vt:variant>
      <vt:variant>
        <vt:lpwstr>DocumentationIcon_32px</vt:lpwstr>
      </vt:variant>
      <vt:variant>
        <vt:lpwstr/>
      </vt:variant>
      <vt:variant>
        <vt:i4>196652</vt:i4>
      </vt:variant>
      <vt:variant>
        <vt:i4>310685</vt:i4>
      </vt:variant>
      <vt:variant>
        <vt:i4>1050</vt:i4>
      </vt:variant>
      <vt:variant>
        <vt:i4>1</vt:i4>
      </vt:variant>
      <vt:variant>
        <vt:lpwstr>DocumentationIcon_32px</vt:lpwstr>
      </vt:variant>
      <vt:variant>
        <vt:lpwstr/>
      </vt:variant>
      <vt:variant>
        <vt:i4>196652</vt:i4>
      </vt:variant>
      <vt:variant>
        <vt:i4>310762</vt:i4>
      </vt:variant>
      <vt:variant>
        <vt:i4>1051</vt:i4>
      </vt:variant>
      <vt:variant>
        <vt:i4>1</vt:i4>
      </vt:variant>
      <vt:variant>
        <vt:lpwstr>DocumentationIcon_32px</vt:lpwstr>
      </vt:variant>
      <vt:variant>
        <vt:lpwstr/>
      </vt:variant>
      <vt:variant>
        <vt:i4>2818105</vt:i4>
      </vt:variant>
      <vt:variant>
        <vt:i4>-1</vt:i4>
      </vt:variant>
      <vt:variant>
        <vt:i4>2062</vt:i4>
      </vt:variant>
      <vt:variant>
        <vt:i4>1</vt:i4>
      </vt:variant>
      <vt:variant>
        <vt:lpwstr>gca logo_whitespace</vt:lpwstr>
      </vt:variant>
      <vt:variant>
        <vt:lpwstr/>
      </vt:variant>
      <vt:variant>
        <vt:i4>2818105</vt:i4>
      </vt:variant>
      <vt:variant>
        <vt:i4>-1</vt:i4>
      </vt:variant>
      <vt:variant>
        <vt:i4>2063</vt:i4>
      </vt:variant>
      <vt:variant>
        <vt:i4>1</vt:i4>
      </vt:variant>
      <vt:variant>
        <vt:lpwstr>gca logo_whitespace</vt:lpwstr>
      </vt:variant>
      <vt:variant>
        <vt:lpwstr/>
      </vt:variant>
      <vt:variant>
        <vt:i4>2818105</vt:i4>
      </vt:variant>
      <vt:variant>
        <vt:i4>-1</vt:i4>
      </vt:variant>
      <vt:variant>
        <vt:i4>2064</vt:i4>
      </vt:variant>
      <vt:variant>
        <vt:i4>1</vt:i4>
      </vt:variant>
      <vt:variant>
        <vt:lpwstr>gca logo_whitespace</vt:lpwstr>
      </vt:variant>
      <vt:variant>
        <vt:lpwstr/>
      </vt:variant>
      <vt:variant>
        <vt:i4>2818105</vt:i4>
      </vt:variant>
      <vt:variant>
        <vt:i4>-1</vt:i4>
      </vt:variant>
      <vt:variant>
        <vt:i4>2065</vt:i4>
      </vt:variant>
      <vt:variant>
        <vt:i4>1</vt:i4>
      </vt:variant>
      <vt:variant>
        <vt:lpwstr>gca logo_whitespace</vt:lpwstr>
      </vt:variant>
      <vt:variant>
        <vt:lpwstr/>
      </vt:variant>
      <vt:variant>
        <vt:i4>5046374</vt:i4>
      </vt:variant>
      <vt:variant>
        <vt:i4>-1</vt:i4>
      </vt:variant>
      <vt:variant>
        <vt:i4>1028</vt:i4>
      </vt:variant>
      <vt:variant>
        <vt:i4>1</vt:i4>
      </vt:variant>
      <vt:variant>
        <vt:lpwstr>Beach Graphic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Advising the Affluent Client: Retirement Planning</dc:title>
  <dc:subject/>
  <dc:creator>Greene Consulting</dc:creator>
  <cp:keywords/>
  <dc:description/>
  <cp:lastModifiedBy>Patti Lee</cp:lastModifiedBy>
  <cp:revision>118</cp:revision>
  <cp:lastPrinted>2016-01-12T19:06:00Z</cp:lastPrinted>
  <dcterms:created xsi:type="dcterms:W3CDTF">2015-01-21T18:30:00Z</dcterms:created>
  <dcterms:modified xsi:type="dcterms:W3CDTF">2016-01-18T19:29:00Z</dcterms:modified>
</cp:coreProperties>
</file>