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8E0BA" w14:textId="77777777" w:rsidR="001863B0" w:rsidRDefault="001863B0" w:rsidP="001863B0"/>
    <w:p w14:paraId="1551EA0F" w14:textId="77777777" w:rsidR="001863B0" w:rsidRDefault="001863B0" w:rsidP="001863B0"/>
    <w:p w14:paraId="028CF48E" w14:textId="77777777" w:rsidR="001863B0" w:rsidRDefault="001863B0" w:rsidP="001863B0"/>
    <w:p w14:paraId="748EA5EA" w14:textId="77777777" w:rsidR="001863B0" w:rsidRDefault="00FF26D0" w:rsidP="001863B0">
      <w:r>
        <w:rPr>
          <w:noProof/>
        </w:rPr>
        <w:drawing>
          <wp:anchor distT="0" distB="0" distL="114300" distR="114300" simplePos="0" relativeHeight="251657728" behindDoc="1" locked="0" layoutInCell="1" allowOverlap="1" wp14:anchorId="6A860112" wp14:editId="31E40D0C">
            <wp:simplePos x="0" y="0"/>
            <wp:positionH relativeFrom="column">
              <wp:posOffset>4752975</wp:posOffset>
            </wp:positionH>
            <wp:positionV relativeFrom="paragraph">
              <wp:posOffset>135255</wp:posOffset>
            </wp:positionV>
            <wp:extent cx="1199515" cy="624205"/>
            <wp:effectExtent l="0" t="0" r="0" b="10795"/>
            <wp:wrapThrough wrapText="bothSides">
              <wp:wrapPolygon edited="0">
                <wp:start x="0" y="0"/>
                <wp:lineTo x="0" y="21095"/>
                <wp:lineTo x="21040" y="21095"/>
                <wp:lineTo x="21040" y="0"/>
                <wp:lineTo x="0" y="0"/>
              </wp:wrapPolygon>
            </wp:wrapThrough>
            <wp:docPr id="9" name="Picture 2"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a logo_whitesp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9515" cy="624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7FFEA8" w14:textId="77777777" w:rsidR="001863B0" w:rsidRDefault="001863B0" w:rsidP="001863B0"/>
    <w:p w14:paraId="0C59308D" w14:textId="77777777" w:rsidR="001863B0" w:rsidRDefault="001863B0" w:rsidP="001863B0">
      <w:pPr>
        <w:jc w:val="right"/>
      </w:pPr>
    </w:p>
    <w:p w14:paraId="54A84991" w14:textId="77777777" w:rsidR="001863B0" w:rsidRDefault="001863B0" w:rsidP="001863B0">
      <w:pPr>
        <w:jc w:val="right"/>
      </w:pPr>
    </w:p>
    <w:p w14:paraId="571B304B" w14:textId="77777777" w:rsidR="001863B0" w:rsidRDefault="001863B0" w:rsidP="001863B0">
      <w:pPr>
        <w:jc w:val="right"/>
      </w:pPr>
      <w:r>
        <w:t>__________________________________________________________</w:t>
      </w:r>
    </w:p>
    <w:p w14:paraId="4918874F" w14:textId="77777777" w:rsidR="001863B0" w:rsidRDefault="001863B0" w:rsidP="001863B0">
      <w:pPr>
        <w:jc w:val="right"/>
        <w:rPr>
          <w:b/>
          <w:color w:val="183864"/>
          <w:sz w:val="44"/>
          <w:szCs w:val="72"/>
        </w:rPr>
      </w:pPr>
    </w:p>
    <w:p w14:paraId="4D0BC847" w14:textId="77777777" w:rsidR="001863B0" w:rsidRDefault="001863B0" w:rsidP="001863B0">
      <w:pPr>
        <w:spacing w:after="0"/>
        <w:jc w:val="right"/>
        <w:rPr>
          <w:b/>
          <w:color w:val="183864"/>
          <w:sz w:val="44"/>
          <w:szCs w:val="72"/>
        </w:rPr>
      </w:pPr>
      <w:r>
        <w:rPr>
          <w:color w:val="183864"/>
          <w:sz w:val="44"/>
          <w:szCs w:val="72"/>
        </w:rPr>
        <w:t xml:space="preserve"> </w:t>
      </w:r>
      <w:r>
        <w:rPr>
          <w:b/>
          <w:color w:val="183864"/>
          <w:sz w:val="44"/>
          <w:szCs w:val="72"/>
        </w:rPr>
        <w:t>Transfer Taxation Part 1: Common</w:t>
      </w:r>
    </w:p>
    <w:p w14:paraId="580F18D1" w14:textId="77777777" w:rsidR="001863B0" w:rsidRDefault="001863B0" w:rsidP="001863B0">
      <w:pPr>
        <w:spacing w:before="0"/>
        <w:jc w:val="right"/>
        <w:rPr>
          <w:b/>
          <w:color w:val="183864"/>
          <w:sz w:val="44"/>
          <w:szCs w:val="72"/>
        </w:rPr>
      </w:pPr>
      <w:r>
        <w:rPr>
          <w:b/>
          <w:color w:val="183864"/>
          <w:sz w:val="44"/>
          <w:szCs w:val="72"/>
        </w:rPr>
        <w:t>Elements of Estate and Gift Taxes</w:t>
      </w:r>
    </w:p>
    <w:p w14:paraId="5637FFA3" w14:textId="77777777" w:rsidR="001863B0" w:rsidRDefault="001863B0" w:rsidP="001863B0"/>
    <w:p w14:paraId="3D56F7C4" w14:textId="77777777" w:rsidR="001863B0" w:rsidRDefault="001863B0" w:rsidP="001863B0"/>
    <w:p w14:paraId="4C6BF517" w14:textId="77777777" w:rsidR="00160EF1" w:rsidRDefault="00160EF1" w:rsidP="001863B0">
      <w:bookmarkStart w:id="0" w:name="_GoBack"/>
      <w:bookmarkEnd w:id="0"/>
    </w:p>
    <w:p w14:paraId="64A659DB" w14:textId="77777777" w:rsidR="001863B0" w:rsidRPr="008771A6" w:rsidRDefault="001863B0" w:rsidP="001863B0">
      <w:r w:rsidRPr="00FE688F">
        <w:t xml:space="preserve">© </w:t>
      </w:r>
      <w:r w:rsidR="005F29D2">
        <w:t>2016</w:t>
      </w:r>
      <w:r w:rsidR="005F29D2" w:rsidRPr="00FE688F">
        <w:t xml:space="preserve"> </w:t>
      </w:r>
      <w:r w:rsidRPr="00FE688F">
        <w:t>Greene Consulting Associates, LLC INTENDED SOLELY FO</w:t>
      </w:r>
      <w:r>
        <w:t xml:space="preserve">R USE BY REGISTERED USERS </w:t>
      </w:r>
      <w:r w:rsidRPr="00FE688F">
        <w:t>NOT TO BE REPRODUCED OR</w:t>
      </w:r>
      <w:r>
        <w:t xml:space="preserve"> CIRCULATED</w:t>
      </w:r>
    </w:p>
    <w:p w14:paraId="5CD212FA" w14:textId="77777777" w:rsidR="000A2B7C" w:rsidRPr="00EE4995" w:rsidRDefault="000A2B7C" w:rsidP="001863B0"/>
    <w:p w14:paraId="022EFAA8" w14:textId="77777777" w:rsidR="004A044E" w:rsidRDefault="001863B0" w:rsidP="005F29D2">
      <w:pPr>
        <w:pStyle w:val="Heading2"/>
      </w:pPr>
      <w:r>
        <w:br w:type="page"/>
      </w:r>
    </w:p>
    <w:p w14:paraId="5F52BFD8" w14:textId="77777777" w:rsidR="004A044E" w:rsidRDefault="004A044E" w:rsidP="005F29D2">
      <w:pPr>
        <w:pStyle w:val="Heading2"/>
      </w:pPr>
    </w:p>
    <w:p w14:paraId="04969FE2" w14:textId="77777777" w:rsidR="00E954B6" w:rsidRPr="005627B8" w:rsidRDefault="00E954B6" w:rsidP="005F29D2">
      <w:pPr>
        <w:pStyle w:val="Heading2"/>
      </w:pPr>
      <w:r>
        <w:t>ABOUT GREENE CONSULTING ASSOCIATES, LLC</w:t>
      </w:r>
    </w:p>
    <w:p w14:paraId="2180667D" w14:textId="77777777" w:rsidR="00E954B6" w:rsidRPr="00C86EF3" w:rsidRDefault="00E954B6" w:rsidP="003338C2">
      <w:r w:rsidRPr="00C86EF3">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w:t>
      </w:r>
      <w:r w:rsidR="001C5F9A">
        <w:t>a</w:t>
      </w:r>
      <w:r w:rsidR="001C5F9A" w:rsidRPr="00C86EF3">
        <w:t xml:space="preserve"> </w:t>
      </w:r>
      <w:r w:rsidRPr="00C86EF3">
        <w:t xml:space="preserve">comprehensive suite of online learning </w:t>
      </w:r>
      <w:r w:rsidR="001C5F9A">
        <w:t>courses</w:t>
      </w:r>
      <w:r w:rsidR="001C5F9A" w:rsidRPr="00C86EF3">
        <w:t xml:space="preserve"> </w:t>
      </w:r>
      <w:r w:rsidRPr="00C86EF3">
        <w:t xml:space="preserve">related to investments and wealth management. </w:t>
      </w:r>
    </w:p>
    <w:p w14:paraId="55E88487" w14:textId="77777777" w:rsidR="00E954B6" w:rsidRDefault="00E954B6" w:rsidP="003338C2">
      <w:r w:rsidRPr="00C86EF3">
        <w:t xml:space="preserve">For more information about Greene Consulting or any of its products and services, write Greene Consulting at </w:t>
      </w:r>
      <w:proofErr w:type="spellStart"/>
      <w:r w:rsidR="006A03B9">
        <w:t>Waterstone</w:t>
      </w:r>
      <w:proofErr w:type="spellEnd"/>
      <w:r w:rsidR="006A03B9">
        <w:t xml:space="preserve"> Building, 4751 Best Road, Suite 450, Atlanta, Georgia 30337</w:t>
      </w:r>
      <w:r w:rsidRPr="00C86EF3">
        <w:t xml:space="preserve">. Or, visit the company's website at </w:t>
      </w:r>
      <w:hyperlink r:id="rId10" w:history="1">
        <w:r w:rsidR="001863B0" w:rsidRPr="0096710F">
          <w:rPr>
            <w:rStyle w:val="Hyperlink"/>
          </w:rPr>
          <w:t>www.greeneconsults.com</w:t>
        </w:r>
      </w:hyperlink>
      <w:r w:rsidRPr="00C86EF3">
        <w:t>.</w:t>
      </w:r>
    </w:p>
    <w:p w14:paraId="543114F2" w14:textId="77777777" w:rsidR="001863B0" w:rsidRPr="00C86EF3" w:rsidRDefault="001863B0" w:rsidP="003338C2">
      <w:pPr>
        <w:spacing w:before="0" w:after="0"/>
      </w:pPr>
    </w:p>
    <w:p w14:paraId="79FD62F3" w14:textId="77777777" w:rsidR="0040767F" w:rsidRDefault="001863B0" w:rsidP="004A044E">
      <w:pPr>
        <w:pStyle w:val="Heading2"/>
        <w:jc w:val="center"/>
      </w:pPr>
      <w:r>
        <w:br w:type="page"/>
      </w:r>
      <w:r w:rsidR="0040767F" w:rsidRPr="00AA5448">
        <w:lastRenderedPageBreak/>
        <w:t>Table of Contents</w:t>
      </w:r>
    </w:p>
    <w:p w14:paraId="08C9F8B8" w14:textId="77777777" w:rsidR="0040767F" w:rsidRDefault="0040767F" w:rsidP="0040767F"/>
    <w:p w14:paraId="475768CF" w14:textId="77777777" w:rsidR="0040767F" w:rsidRPr="0040767F" w:rsidRDefault="0040767F" w:rsidP="0040767F">
      <w:r w:rsidRPr="004727A0">
        <w:t>Introduction</w:t>
      </w:r>
    </w:p>
    <w:p w14:paraId="7F5CAF5A" w14:textId="77777777" w:rsidR="0040767F" w:rsidRPr="004727A0" w:rsidRDefault="0040767F" w:rsidP="0040767F">
      <w:pPr>
        <w:rPr>
          <w:rFonts w:eastAsia="Arial Unicode MS"/>
        </w:rPr>
      </w:pPr>
      <w:r>
        <w:t>The Federal Transfer Tax System</w:t>
      </w:r>
      <w:r w:rsidRPr="004727A0">
        <w:t xml:space="preserve"> </w:t>
      </w:r>
    </w:p>
    <w:p w14:paraId="21C00DF4" w14:textId="77777777" w:rsidR="00C83BBB" w:rsidRDefault="00C83BBB" w:rsidP="0040767F">
      <w:r>
        <w:t>Ancient History</w:t>
      </w:r>
    </w:p>
    <w:p w14:paraId="5FE3FFAA" w14:textId="77777777" w:rsidR="0040767F" w:rsidRPr="004727A0" w:rsidRDefault="0040767F" w:rsidP="0040767F">
      <w:pPr>
        <w:rPr>
          <w:rFonts w:eastAsia="Arial Unicode MS"/>
        </w:rPr>
      </w:pPr>
      <w:r>
        <w:t xml:space="preserve">History of </w:t>
      </w:r>
      <w:r w:rsidR="00C83BBB">
        <w:t xml:space="preserve">U.S. </w:t>
      </w:r>
      <w:r>
        <w:t>Transfer Taxes</w:t>
      </w:r>
      <w:r w:rsidRPr="004727A0">
        <w:t xml:space="preserve"> </w:t>
      </w:r>
    </w:p>
    <w:p w14:paraId="48D3F52C" w14:textId="77777777" w:rsidR="0040767F" w:rsidRPr="004727A0" w:rsidRDefault="0040767F" w:rsidP="0040767F">
      <w:pPr>
        <w:rPr>
          <w:rFonts w:eastAsia="Arial Unicode MS"/>
        </w:rPr>
      </w:pPr>
      <w:r>
        <w:t>Transfer Taxation Today</w:t>
      </w:r>
      <w:r w:rsidRPr="004727A0">
        <w:t xml:space="preserve"> </w:t>
      </w:r>
    </w:p>
    <w:p w14:paraId="06717FB7" w14:textId="77777777" w:rsidR="00C83BBB" w:rsidRPr="00160EF1" w:rsidRDefault="00C83BBB" w:rsidP="0040767F">
      <w:r>
        <w:t>Who is Subject to the Gift and Estate Tax?</w:t>
      </w:r>
    </w:p>
    <w:p w14:paraId="4B3D4414" w14:textId="77777777" w:rsidR="0040767F" w:rsidRDefault="0040767F" w:rsidP="0040767F">
      <w:r>
        <w:t xml:space="preserve">The </w:t>
      </w:r>
      <w:r w:rsidR="00C83BBB">
        <w:t xml:space="preserve">Gift and Estate </w:t>
      </w:r>
      <w:r>
        <w:t>Unified Rate Schedule</w:t>
      </w:r>
    </w:p>
    <w:p w14:paraId="0869A0BD" w14:textId="77777777" w:rsidR="00C83BBB" w:rsidRDefault="00C83BBB" w:rsidP="0040767F">
      <w:r>
        <w:t>Practice – Using the Gift and Estate Rate Schedule</w:t>
      </w:r>
    </w:p>
    <w:p w14:paraId="57483499" w14:textId="77777777" w:rsidR="0040767F" w:rsidRPr="004727A0" w:rsidRDefault="00C83BBB" w:rsidP="0040767F">
      <w:pPr>
        <w:rPr>
          <w:rFonts w:eastAsia="Arial Unicode MS"/>
        </w:rPr>
      </w:pPr>
      <w:r>
        <w:t>Why Unify the Gift and Estate Tax?</w:t>
      </w:r>
    </w:p>
    <w:p w14:paraId="0816A56E" w14:textId="77777777" w:rsidR="0040767F" w:rsidRDefault="00C83BBB" w:rsidP="0040767F">
      <w:r>
        <w:t xml:space="preserve">The </w:t>
      </w:r>
      <w:r w:rsidR="0040767F">
        <w:t xml:space="preserve">Applicable Credit </w:t>
      </w:r>
      <w:r>
        <w:t>Amount</w:t>
      </w:r>
    </w:p>
    <w:p w14:paraId="67D52A40" w14:textId="77777777" w:rsidR="00C83BBB" w:rsidRPr="004727A0" w:rsidRDefault="00C83BBB" w:rsidP="0040767F">
      <w:pPr>
        <w:rPr>
          <w:rFonts w:eastAsia="Arial Unicode MS"/>
        </w:rPr>
      </w:pPr>
      <w:r>
        <w:rPr>
          <w:rFonts w:eastAsia="Arial Unicode MS"/>
        </w:rPr>
        <w:t>The Applicable Exclusion Amount</w:t>
      </w:r>
    </w:p>
    <w:p w14:paraId="77C2C96A" w14:textId="77777777" w:rsidR="0040767F" w:rsidRDefault="00C83BBB" w:rsidP="0040767F">
      <w:r>
        <w:t xml:space="preserve">Gift and Estate Tax Deductions: </w:t>
      </w:r>
      <w:r w:rsidR="0040767F">
        <w:t>Unlimited Marital and Charitable</w:t>
      </w:r>
    </w:p>
    <w:p w14:paraId="06B5E47E" w14:textId="77777777" w:rsidR="00CC7CD4" w:rsidRPr="004727A0" w:rsidRDefault="00CC7CD4" w:rsidP="0040767F">
      <w:pPr>
        <w:rPr>
          <w:rFonts w:eastAsia="Arial Unicode MS"/>
        </w:rPr>
      </w:pPr>
      <w:r>
        <w:t>Unlimited Marital Deduction</w:t>
      </w:r>
    </w:p>
    <w:p w14:paraId="0B0B685B" w14:textId="77777777" w:rsidR="0040767F" w:rsidRPr="004727A0" w:rsidRDefault="0040767F" w:rsidP="0040767F">
      <w:pPr>
        <w:rPr>
          <w:rFonts w:eastAsia="Arial Unicode MS"/>
        </w:rPr>
      </w:pPr>
      <w:r>
        <w:t>Review Exercise</w:t>
      </w:r>
    </w:p>
    <w:p w14:paraId="4FAF0F79" w14:textId="77777777" w:rsidR="0040767F" w:rsidRDefault="0040767F" w:rsidP="0040767F">
      <w:r>
        <w:t>Summary</w:t>
      </w:r>
    </w:p>
    <w:p w14:paraId="09F17971" w14:textId="77777777" w:rsidR="0040767F" w:rsidRDefault="0040767F" w:rsidP="0040767F">
      <w:pPr>
        <w:rPr>
          <w:rFonts w:eastAsia="Arial Unicode MS"/>
        </w:rPr>
      </w:pPr>
      <w:r w:rsidRPr="002A2067">
        <w:rPr>
          <w:rFonts w:eastAsia="Arial Unicode MS"/>
        </w:rPr>
        <w:t>Conclusion</w:t>
      </w:r>
    </w:p>
    <w:p w14:paraId="0FCC876C" w14:textId="77777777" w:rsidR="000F6657" w:rsidRDefault="000F6657" w:rsidP="0040767F">
      <w:pPr>
        <w:rPr>
          <w:rFonts w:eastAsia="Arial Unicode MS"/>
        </w:rPr>
      </w:pPr>
    </w:p>
    <w:p w14:paraId="3473E385" w14:textId="77777777" w:rsidR="008207B0" w:rsidRPr="009D1AA2" w:rsidRDefault="0040767F" w:rsidP="005F29D2">
      <w:pPr>
        <w:pStyle w:val="Heading2"/>
      </w:pPr>
      <w:r>
        <w:br w:type="page"/>
      </w:r>
      <w:r w:rsidR="004727A0" w:rsidRPr="005F29D2">
        <w:lastRenderedPageBreak/>
        <w:t>I</w:t>
      </w:r>
      <w:r w:rsidR="008207B0" w:rsidRPr="005F29D2">
        <w:t>ntroduction</w:t>
      </w:r>
      <w:r w:rsidR="008207B0" w:rsidRPr="009D1AA2">
        <w:t xml:space="preserve"> </w:t>
      </w:r>
    </w:p>
    <w:p w14:paraId="5CEC4260" w14:textId="77777777" w:rsidR="009D1AA2" w:rsidRDefault="009D1AA2" w:rsidP="009D1AA2">
      <w:r>
        <w:t xml:space="preserve">The Federal Transfer Tax System addresses the </w:t>
      </w:r>
      <w:r w:rsidRPr="008542BA">
        <w:rPr>
          <w:i/>
        </w:rPr>
        <w:t xml:space="preserve">taxation on the </w:t>
      </w:r>
      <w:r>
        <w:rPr>
          <w:i/>
        </w:rPr>
        <w:t xml:space="preserve">personal </w:t>
      </w:r>
      <w:r w:rsidRPr="008542BA">
        <w:rPr>
          <w:i/>
        </w:rPr>
        <w:t>transfer of assets</w:t>
      </w:r>
      <w:r>
        <w:t xml:space="preserve"> to individuals or entities. Depending upon such circumstances as the amount being transferred, when it is transferred, the manner in which it is being transferred, and </w:t>
      </w:r>
      <w:proofErr w:type="gramStart"/>
      <w:r>
        <w:t>the identify</w:t>
      </w:r>
      <w:proofErr w:type="gramEnd"/>
      <w:r>
        <w:t xml:space="preserve"> of the person or entity to whom it is being transferred, one or more transfer taxes may be accessed. This is true whether the transfer of assets happen during life or at death.</w:t>
      </w:r>
    </w:p>
    <w:p w14:paraId="6EBB4DA4" w14:textId="77777777" w:rsidR="009D1AA2" w:rsidRDefault="009D1AA2" w:rsidP="009D1AA2">
      <w:r>
        <w:t xml:space="preserve">The Federal Transfer Tax System is composed of two parts: </w:t>
      </w:r>
    </w:p>
    <w:p w14:paraId="229E7495" w14:textId="77777777" w:rsidR="009D1AA2" w:rsidRPr="008542BA" w:rsidRDefault="009D1AA2" w:rsidP="009D1AA2">
      <w:pPr>
        <w:pStyle w:val="ListParagraph"/>
        <w:numPr>
          <w:ilvl w:val="0"/>
          <w:numId w:val="36"/>
        </w:numPr>
      </w:pPr>
      <w:r w:rsidRPr="00FF32B2">
        <w:rPr>
          <w:b/>
          <w:i/>
        </w:rPr>
        <w:t>The</w:t>
      </w:r>
      <w:r w:rsidRPr="00595509">
        <w:t xml:space="preserve"> </w:t>
      </w:r>
      <w:r w:rsidRPr="00FF32B2">
        <w:rPr>
          <w:b/>
          <w:i/>
        </w:rPr>
        <w:t>Federal</w:t>
      </w:r>
      <w:r w:rsidRPr="00595509">
        <w:t xml:space="preserve"> </w:t>
      </w:r>
      <w:r>
        <w:rPr>
          <w:b/>
          <w:i/>
        </w:rPr>
        <w:t>Gift and Estate Tax</w:t>
      </w:r>
    </w:p>
    <w:p w14:paraId="33EB301A" w14:textId="77777777" w:rsidR="009D1AA2" w:rsidRPr="00595509" w:rsidRDefault="009D1AA2" w:rsidP="009D1AA2">
      <w:pPr>
        <w:pStyle w:val="ListParagraph"/>
        <w:numPr>
          <w:ilvl w:val="0"/>
          <w:numId w:val="36"/>
        </w:numPr>
      </w:pPr>
      <w:r>
        <w:rPr>
          <w:b/>
          <w:i/>
        </w:rPr>
        <w:t>The Generation</w:t>
      </w:r>
      <w:r w:rsidR="004A044E">
        <w:rPr>
          <w:b/>
          <w:i/>
        </w:rPr>
        <w:t>-</w:t>
      </w:r>
      <w:r>
        <w:rPr>
          <w:b/>
          <w:i/>
        </w:rPr>
        <w:t>Skipping Transfer Tax (GST Tax or GSTT)</w:t>
      </w:r>
    </w:p>
    <w:p w14:paraId="60A12338" w14:textId="77777777" w:rsidR="009D1AA2" w:rsidRPr="00595509" w:rsidRDefault="009D1AA2" w:rsidP="009D1AA2">
      <w:r w:rsidRPr="00595509">
        <w:t>Because of the scope of material, the study of transfer taxation has been broken into segments</w:t>
      </w:r>
      <w:r>
        <w:t xml:space="preserve">, with the first </w:t>
      </w:r>
      <w:r w:rsidR="00F61921">
        <w:t>two</w:t>
      </w:r>
      <w:r>
        <w:t xml:space="preserve"> segments addressing the Federal Gift and Estate Tax and the </w:t>
      </w:r>
      <w:r w:rsidR="00F61921">
        <w:t>third</w:t>
      </w:r>
      <w:r>
        <w:t xml:space="preserve"> segment addressing the Generation</w:t>
      </w:r>
      <w:r w:rsidR="004A044E">
        <w:t>-</w:t>
      </w:r>
      <w:r>
        <w:t>Skipping Transfer Tax</w:t>
      </w:r>
      <w:r w:rsidRPr="00595509">
        <w:t xml:space="preserve">. This first </w:t>
      </w:r>
      <w:r>
        <w:t>segment, Part I,</w:t>
      </w:r>
      <w:r w:rsidRPr="00595509">
        <w:t xml:space="preserve"> will cover the history of transfer taxation and the fundamental elements that are common to both gift taxes and estate taxes. Subsequent lessons will expand this knowledge to address the following subjects:</w:t>
      </w:r>
    </w:p>
    <w:p w14:paraId="20D10A04" w14:textId="77777777" w:rsidR="009D1AA2" w:rsidRPr="00595509" w:rsidRDefault="009D1AA2" w:rsidP="009D1AA2">
      <w:pPr>
        <w:numPr>
          <w:ilvl w:val="0"/>
          <w:numId w:val="35"/>
        </w:numPr>
        <w:spacing w:before="0"/>
      </w:pPr>
      <w:r w:rsidRPr="00595509">
        <w:t xml:space="preserve">Part II – </w:t>
      </w:r>
      <w:r w:rsidR="00F61921">
        <w:t>Unique Elements of Estate and Gift Taxes</w:t>
      </w:r>
    </w:p>
    <w:p w14:paraId="0E79F9CC" w14:textId="77777777" w:rsidR="009D1AA2" w:rsidRPr="00595509" w:rsidRDefault="009D1AA2" w:rsidP="009D1AA2">
      <w:pPr>
        <w:numPr>
          <w:ilvl w:val="0"/>
          <w:numId w:val="35"/>
        </w:numPr>
        <w:spacing w:before="0"/>
      </w:pPr>
      <w:r w:rsidRPr="00595509">
        <w:t>Part IV – Generation</w:t>
      </w:r>
      <w:r w:rsidR="004A044E">
        <w:t>-</w:t>
      </w:r>
      <w:r w:rsidRPr="00595509">
        <w:t>Skipping Transfers</w:t>
      </w:r>
    </w:p>
    <w:p w14:paraId="7870BF61" w14:textId="77777777" w:rsidR="009D1AA2" w:rsidRDefault="009D1AA2" w:rsidP="009D1AA2">
      <w:r>
        <w:t xml:space="preserve">Because estate planning deals with planning for the transfer of assets, an understanding of transfer taxation is critical to understanding estate planning strategies. </w:t>
      </w:r>
      <w:r w:rsidRPr="00595509">
        <w:t>For this reason, knowledge of the material contained herein should be considered as prerequisite to studying more advanced estate planning topics.</w:t>
      </w:r>
    </w:p>
    <w:p w14:paraId="186AD5E4" w14:textId="77777777" w:rsidR="009D1AA2" w:rsidRPr="000941BF" w:rsidRDefault="009D1AA2" w:rsidP="009D1AA2"/>
    <w:tbl>
      <w:tblPr>
        <w:tblW w:w="0" w:type="auto"/>
        <w:tblBorders>
          <w:top w:val="single" w:sz="8" w:space="0" w:color="auto"/>
          <w:left w:val="single" w:sz="8" w:space="0" w:color="auto"/>
          <w:bottom w:val="single" w:sz="8" w:space="0" w:color="auto"/>
          <w:right w:val="single" w:sz="8" w:space="0" w:color="auto"/>
        </w:tblBorders>
        <w:shd w:val="pct20" w:color="auto" w:fill="auto"/>
        <w:tblLook w:val="04A0" w:firstRow="1" w:lastRow="0" w:firstColumn="1" w:lastColumn="0" w:noHBand="0" w:noVBand="1"/>
      </w:tblPr>
      <w:tblGrid>
        <w:gridCol w:w="9576"/>
      </w:tblGrid>
      <w:tr w:rsidR="009D1AA2" w:rsidRPr="000941BF" w14:paraId="39206E99" w14:textId="77777777" w:rsidTr="00160EF1">
        <w:tc>
          <w:tcPr>
            <w:tcW w:w="9576" w:type="dxa"/>
            <w:shd w:val="pct20" w:color="auto" w:fill="auto"/>
          </w:tcPr>
          <w:p w14:paraId="559C43CC" w14:textId="77777777" w:rsidR="009D1AA2" w:rsidRPr="000941BF" w:rsidRDefault="009D1AA2" w:rsidP="00F61921">
            <w:pPr>
              <w:rPr>
                <w:b/>
                <w:bCs/>
              </w:rPr>
            </w:pPr>
            <w:r w:rsidRPr="000941BF">
              <w:rPr>
                <w:b/>
                <w:bCs/>
              </w:rPr>
              <w:t>Objectives:</w:t>
            </w:r>
          </w:p>
          <w:p w14:paraId="66E1DD3F" w14:textId="77777777" w:rsidR="009D1AA2" w:rsidRPr="000941BF" w:rsidRDefault="009D1AA2" w:rsidP="00F61921">
            <w:r w:rsidRPr="000941BF">
              <w:t xml:space="preserve">This </w:t>
            </w:r>
            <w:r>
              <w:t>content</w:t>
            </w:r>
            <w:r w:rsidRPr="000941BF">
              <w:t xml:space="preserve"> is designed to provide a working knowledge of the </w:t>
            </w:r>
            <w:r>
              <w:t xml:space="preserve">Federal Gift </w:t>
            </w:r>
            <w:r w:rsidR="004A044E">
              <w:t xml:space="preserve">And </w:t>
            </w:r>
            <w:r>
              <w:t>Estate</w:t>
            </w:r>
            <w:r w:rsidRPr="000941BF">
              <w:t xml:space="preserve"> </w:t>
            </w:r>
            <w:r w:rsidR="004A044E" w:rsidRPr="000941BF">
              <w:t>Tax System</w:t>
            </w:r>
            <w:r w:rsidRPr="000941BF">
              <w:t xml:space="preserve">. </w:t>
            </w:r>
          </w:p>
          <w:p w14:paraId="01F1A88F" w14:textId="77777777" w:rsidR="009D1AA2" w:rsidRPr="000941BF" w:rsidRDefault="009D1AA2" w:rsidP="00F61921">
            <w:r w:rsidRPr="000941BF">
              <w:t xml:space="preserve">With this knowledge, you will be able to: </w:t>
            </w:r>
          </w:p>
          <w:p w14:paraId="2EDC344A" w14:textId="77777777" w:rsidR="009D1AA2" w:rsidRPr="000941BF" w:rsidRDefault="009D1AA2" w:rsidP="009D1AA2">
            <w:pPr>
              <w:numPr>
                <w:ilvl w:val="0"/>
                <w:numId w:val="7"/>
              </w:numPr>
              <w:spacing w:before="0"/>
            </w:pPr>
            <w:r w:rsidRPr="000941BF">
              <w:t xml:space="preserve">Explain the history of the development of </w:t>
            </w:r>
            <w:r w:rsidR="004A044E">
              <w:t>f</w:t>
            </w:r>
            <w:r w:rsidR="004A044E" w:rsidRPr="000941BF">
              <w:t xml:space="preserve">ederal </w:t>
            </w:r>
            <w:r w:rsidR="004A044E">
              <w:t>transfer t</w:t>
            </w:r>
            <w:r w:rsidR="004A044E" w:rsidRPr="000941BF">
              <w:t xml:space="preserve">axes </w:t>
            </w:r>
            <w:r w:rsidRPr="000941BF">
              <w:t xml:space="preserve">in the United States. </w:t>
            </w:r>
          </w:p>
          <w:p w14:paraId="50CED985" w14:textId="77777777" w:rsidR="009D1AA2" w:rsidRPr="000941BF" w:rsidRDefault="009D1AA2" w:rsidP="009D1AA2">
            <w:pPr>
              <w:numPr>
                <w:ilvl w:val="0"/>
                <w:numId w:val="7"/>
              </w:numPr>
              <w:spacing w:before="0"/>
            </w:pPr>
            <w:r w:rsidRPr="000941BF">
              <w:t xml:space="preserve">Explain the structure of the </w:t>
            </w:r>
            <w:r>
              <w:t>F</w:t>
            </w:r>
            <w:r w:rsidRPr="000941BF">
              <w:t xml:space="preserve">ederal </w:t>
            </w:r>
            <w:r>
              <w:t>G</w:t>
            </w:r>
            <w:r w:rsidRPr="000941BF">
              <w:t xml:space="preserve">ift and </w:t>
            </w:r>
            <w:r>
              <w:t>E</w:t>
            </w:r>
            <w:r w:rsidRPr="000941BF">
              <w:t xml:space="preserve">state </w:t>
            </w:r>
            <w:r>
              <w:t>T</w:t>
            </w:r>
            <w:r w:rsidRPr="000941BF">
              <w:t xml:space="preserve">ax </w:t>
            </w:r>
            <w:r w:rsidR="004A044E">
              <w:t>S</w:t>
            </w:r>
            <w:r w:rsidRPr="000941BF">
              <w:t xml:space="preserve">ystem. </w:t>
            </w:r>
          </w:p>
          <w:p w14:paraId="2A7B9D9B" w14:textId="77777777" w:rsidR="009D1AA2" w:rsidRPr="000941BF" w:rsidRDefault="009D1AA2" w:rsidP="009D1AA2">
            <w:pPr>
              <w:numPr>
                <w:ilvl w:val="0"/>
                <w:numId w:val="7"/>
              </w:numPr>
              <w:spacing w:before="0"/>
            </w:pPr>
            <w:r w:rsidRPr="000941BF">
              <w:t xml:space="preserve">Identify the common elements shared by </w:t>
            </w:r>
            <w:r w:rsidR="004A044E">
              <w:t>f</w:t>
            </w:r>
            <w:r w:rsidR="004A044E" w:rsidRPr="000941BF">
              <w:t xml:space="preserve">ederal </w:t>
            </w:r>
            <w:r w:rsidR="004A044E">
              <w:t>g</w:t>
            </w:r>
            <w:r w:rsidR="004A044E" w:rsidRPr="000941BF">
              <w:t xml:space="preserve">ift and </w:t>
            </w:r>
            <w:r w:rsidR="004A044E">
              <w:t>e</w:t>
            </w:r>
            <w:r w:rsidR="004A044E" w:rsidRPr="000941BF">
              <w:t xml:space="preserve">state </w:t>
            </w:r>
            <w:r w:rsidR="004A044E">
              <w:t>t</w:t>
            </w:r>
            <w:r w:rsidR="004A044E" w:rsidRPr="000941BF">
              <w:t>axes.</w:t>
            </w:r>
            <w:r w:rsidRPr="000941BF">
              <w:t xml:space="preserve"> </w:t>
            </w:r>
          </w:p>
          <w:p w14:paraId="635A186D" w14:textId="77777777" w:rsidR="009D1AA2" w:rsidRPr="000941BF" w:rsidRDefault="009D1AA2" w:rsidP="009D1AA2">
            <w:pPr>
              <w:numPr>
                <w:ilvl w:val="0"/>
                <w:numId w:val="7"/>
              </w:numPr>
              <w:spacing w:before="0"/>
            </w:pPr>
            <w:r w:rsidRPr="000941BF">
              <w:t xml:space="preserve">Utilize the Unified Transfer Tax Rate Schedule. </w:t>
            </w:r>
          </w:p>
          <w:p w14:paraId="1267F4A1" w14:textId="77777777" w:rsidR="009D1AA2" w:rsidRPr="000941BF" w:rsidRDefault="009D1AA2" w:rsidP="004A044E">
            <w:pPr>
              <w:numPr>
                <w:ilvl w:val="0"/>
                <w:numId w:val="7"/>
              </w:numPr>
              <w:spacing w:before="0"/>
            </w:pPr>
            <w:r w:rsidRPr="000941BF">
              <w:t xml:space="preserve">Understand the mechanics of the </w:t>
            </w:r>
            <w:r w:rsidR="004A044E">
              <w:t>f</w:t>
            </w:r>
            <w:r>
              <w:t xml:space="preserve">ederal </w:t>
            </w:r>
            <w:r w:rsidRPr="000941BF">
              <w:t>Applicable Exclusion Amount and Applicable Credit Amount.</w:t>
            </w:r>
          </w:p>
        </w:tc>
      </w:tr>
    </w:tbl>
    <w:p w14:paraId="2C3FC092" w14:textId="77777777" w:rsidR="009D1AA2" w:rsidRDefault="009D1AA2" w:rsidP="009D1AA2"/>
    <w:p w14:paraId="24CB647A" w14:textId="77777777" w:rsidR="009D1AA2" w:rsidRDefault="009D1AA2" w:rsidP="005F29D2">
      <w:pPr>
        <w:pStyle w:val="Heading2"/>
      </w:pPr>
    </w:p>
    <w:p w14:paraId="29DA6215" w14:textId="77777777" w:rsidR="009D1AA2" w:rsidRDefault="009D1AA2">
      <w:pPr>
        <w:spacing w:before="0" w:after="0"/>
        <w:rPr>
          <w:b/>
          <w:bCs/>
          <w:color w:val="244061" w:themeColor="accent1" w:themeShade="80"/>
          <w:sz w:val="40"/>
          <w:szCs w:val="40"/>
        </w:rPr>
      </w:pPr>
      <w:r>
        <w:br w:type="page"/>
      </w:r>
    </w:p>
    <w:p w14:paraId="39F1773A" w14:textId="77777777" w:rsidR="009D1AA2" w:rsidRPr="00EE635F" w:rsidRDefault="009D1AA2" w:rsidP="00160EF1">
      <w:pPr>
        <w:pStyle w:val="Heading2"/>
      </w:pPr>
      <w:r w:rsidRPr="00B91B77">
        <w:lastRenderedPageBreak/>
        <w:t>Ancient History</w:t>
      </w:r>
    </w:p>
    <w:p w14:paraId="7F77BD5D" w14:textId="77777777" w:rsidR="00D957AE" w:rsidRPr="00204A8D" w:rsidRDefault="00D957AE" w:rsidP="00D957AE">
      <w:r w:rsidRPr="00204A8D">
        <w:t>For centuries, society has developed procedures for dealing with the</w:t>
      </w:r>
      <w:r>
        <w:t xml:space="preserve"> transfer of assets at death. </w:t>
      </w:r>
      <w:r w:rsidRPr="00204A8D">
        <w:t xml:space="preserve">As far back as 2900 BC, records indicate the existence of a formal process </w:t>
      </w:r>
      <w:r w:rsidR="00296999">
        <w:t xml:space="preserve">of </w:t>
      </w:r>
      <w:r>
        <w:t xml:space="preserve">asset transfer. </w:t>
      </w:r>
      <w:r w:rsidRPr="00204A8D">
        <w:t xml:space="preserve">The ancient Romans also encouraged </w:t>
      </w:r>
      <w:r w:rsidRPr="0051236B">
        <w:rPr>
          <w:i/>
        </w:rPr>
        <w:t>testamentary</w:t>
      </w:r>
      <w:r>
        <w:t xml:space="preserve"> (at death)</w:t>
      </w:r>
      <w:r w:rsidRPr="00204A8D">
        <w:t xml:space="preserve"> transfers of property so as to prevent widows and orphans from becoming burdens of the state.</w:t>
      </w:r>
    </w:p>
    <w:p w14:paraId="2FA89C10" w14:textId="77777777" w:rsidR="00D957AE" w:rsidRPr="00204A8D" w:rsidRDefault="00D957AE" w:rsidP="00D957AE">
      <w:proofErr w:type="gramStart"/>
      <w:r w:rsidRPr="00204A8D">
        <w:t xml:space="preserve">Our own laws regarding testamentary passage of property stem from English common law, more specifically from the </w:t>
      </w:r>
      <w:r w:rsidRPr="00204A8D">
        <w:rPr>
          <w:b/>
          <w:i/>
        </w:rPr>
        <w:t>1540 Statute of Wills</w:t>
      </w:r>
      <w:r>
        <w:t xml:space="preserve"> in England.</w:t>
      </w:r>
      <w:proofErr w:type="gramEnd"/>
      <w:r>
        <w:t xml:space="preserve"> </w:t>
      </w:r>
      <w:r w:rsidRPr="00204A8D">
        <w:t>This statute allowed all individuals, with the exception of married women, the insane, and infants, the right to dispose o</w:t>
      </w:r>
      <w:r>
        <w:t xml:space="preserve">f property by a written will. </w:t>
      </w:r>
      <w:r w:rsidRPr="00204A8D">
        <w:t xml:space="preserve">While English law is the basis for </w:t>
      </w:r>
      <w:r>
        <w:t xml:space="preserve">most of our </w:t>
      </w:r>
      <w:r w:rsidRPr="00204A8D">
        <w:t>estate planning today, French and Spanish influences can also be found in those states with community property laws.</w:t>
      </w:r>
    </w:p>
    <w:p w14:paraId="7277CE47" w14:textId="77777777" w:rsidR="00D957AE" w:rsidRDefault="00D957AE" w:rsidP="00D957AE">
      <w:pPr>
        <w:pStyle w:val="Heading3"/>
      </w:pPr>
      <w:r>
        <w:t>The American Concept of an Inheritance Tax</w:t>
      </w:r>
    </w:p>
    <w:p w14:paraId="79316A08" w14:textId="77777777" w:rsidR="00D957AE" w:rsidRDefault="00D957AE" w:rsidP="00D957AE">
      <w:r>
        <w:t xml:space="preserve">While laws pertaining to the transfer of property have ancient roots, </w:t>
      </w:r>
      <w:r w:rsidRPr="00204A8D">
        <w:t xml:space="preserve">the </w:t>
      </w:r>
      <w:r>
        <w:t>placement of a tax upon the transfer</w:t>
      </w:r>
      <w:r w:rsidRPr="00204A8D">
        <w:t xml:space="preserve"> </w:t>
      </w:r>
      <w:r>
        <w:t>of property</w:t>
      </w:r>
      <w:r w:rsidRPr="00204A8D">
        <w:t xml:space="preserve"> is</w:t>
      </w:r>
      <w:r>
        <w:t xml:space="preserve"> a relatively modern concept. </w:t>
      </w:r>
      <w:r w:rsidRPr="00204A8D">
        <w:t xml:space="preserve">The philosophy behind the concept in the United States goes back to Thomas Paine, who argued, in his highly influential </w:t>
      </w:r>
      <w:r>
        <w:t xml:space="preserve">publication, </w:t>
      </w:r>
      <w:r w:rsidRPr="00204A8D">
        <w:rPr>
          <w:b/>
          <w:i/>
        </w:rPr>
        <w:t xml:space="preserve">Common </w:t>
      </w:r>
      <w:proofErr w:type="gramStart"/>
      <w:r w:rsidRPr="00204A8D">
        <w:rPr>
          <w:b/>
          <w:i/>
        </w:rPr>
        <w:t>Sense</w:t>
      </w:r>
      <w:r w:rsidRPr="00204A8D">
        <w:t>, that</w:t>
      </w:r>
      <w:proofErr w:type="gramEnd"/>
      <w:r w:rsidRPr="00204A8D">
        <w:t xml:space="preserve"> </w:t>
      </w:r>
      <w:r w:rsidRPr="00B51F34">
        <w:rPr>
          <w:i/>
        </w:rPr>
        <w:t>“all hereditary government is in its nature tyranny.”</w:t>
      </w:r>
      <w:r w:rsidRPr="00204A8D">
        <w:t xml:space="preserve"> </w:t>
      </w:r>
      <w:r>
        <w:t>As he put it, “Hereditary succession… is in its nature an absurdity, because it is impossible to make wisdom hereditary… History informs us that the son of Solomon was a fool.”</w:t>
      </w:r>
    </w:p>
    <w:p w14:paraId="77BDB900" w14:textId="77777777" w:rsidR="00D957AE" w:rsidRDefault="00D957AE" w:rsidP="00D957AE">
      <w:r w:rsidRPr="00204A8D">
        <w:t xml:space="preserve">Subsequently, in </w:t>
      </w:r>
      <w:r w:rsidRPr="00204A8D">
        <w:rPr>
          <w:b/>
          <w:i/>
        </w:rPr>
        <w:t>The Rights of Man</w:t>
      </w:r>
      <w:r w:rsidRPr="00204A8D">
        <w:t xml:space="preserve"> and </w:t>
      </w:r>
      <w:r w:rsidRPr="00204A8D">
        <w:rPr>
          <w:b/>
          <w:i/>
        </w:rPr>
        <w:t>Agrarian Justice</w:t>
      </w:r>
      <w:r w:rsidRPr="00204A8D">
        <w:t xml:space="preserve">, Paine expanded his critique of </w:t>
      </w:r>
      <w:r w:rsidRPr="00B51F34">
        <w:rPr>
          <w:i/>
        </w:rPr>
        <w:t>inherited political power</w:t>
      </w:r>
      <w:r w:rsidRPr="00204A8D">
        <w:t xml:space="preserve"> to include a critique of </w:t>
      </w:r>
      <w:r w:rsidRPr="00B51F34">
        <w:rPr>
          <w:i/>
        </w:rPr>
        <w:t>inherited economic power</w:t>
      </w:r>
      <w:r w:rsidRPr="00204A8D">
        <w:t xml:space="preserve">. He advocated </w:t>
      </w:r>
      <w:r w:rsidRPr="00B51F34">
        <w:rPr>
          <w:b/>
          <w:i/>
        </w:rPr>
        <w:t>an inheritance tax</w:t>
      </w:r>
      <w:r w:rsidRPr="00204A8D">
        <w:t xml:space="preserve"> that </w:t>
      </w:r>
      <w:r>
        <w:t xml:space="preserve">would be levied upon estates at death that </w:t>
      </w:r>
      <w:r w:rsidRPr="00204A8D">
        <w:t>would balance out the unfair distribution of property among the landed gentry</w:t>
      </w:r>
      <w:r>
        <w:t xml:space="preserve">. His proposal was for the tax to be used to provide every individual with 15 pounds sterling upon turning age 21 and to give 10 pounds sterling per year to individuals over the age 50. </w:t>
      </w:r>
    </w:p>
    <w:p w14:paraId="446F3E32" w14:textId="77777777" w:rsidR="009D1AA2" w:rsidRDefault="009D1AA2">
      <w:pPr>
        <w:spacing w:before="0" w:after="0"/>
        <w:rPr>
          <w:b/>
          <w:bCs/>
          <w:color w:val="244061" w:themeColor="accent1" w:themeShade="80"/>
          <w:sz w:val="40"/>
          <w:szCs w:val="40"/>
        </w:rPr>
      </w:pPr>
      <w:r>
        <w:br w:type="page"/>
      </w:r>
    </w:p>
    <w:p w14:paraId="7AB1CE1D" w14:textId="77777777" w:rsidR="008207B0" w:rsidRPr="003338C2" w:rsidRDefault="008207B0" w:rsidP="005F29D2">
      <w:pPr>
        <w:pStyle w:val="Heading2"/>
      </w:pPr>
      <w:r w:rsidRPr="003338C2">
        <w:lastRenderedPageBreak/>
        <w:t xml:space="preserve">History of </w:t>
      </w:r>
      <w:r w:rsidR="003249EB">
        <w:t xml:space="preserve">U.S. </w:t>
      </w:r>
      <w:r w:rsidRPr="003338C2">
        <w:t>Transfer Taxes</w:t>
      </w:r>
    </w:p>
    <w:p w14:paraId="123D3975" w14:textId="77777777" w:rsidR="008207B0" w:rsidRPr="00C86EF3" w:rsidRDefault="008207B0" w:rsidP="003338C2">
      <w:pPr>
        <w:rPr>
          <w:rFonts w:ascii="Arial" w:hAnsi="Arial"/>
          <w:sz w:val="24"/>
          <w:szCs w:val="24"/>
        </w:rPr>
      </w:pPr>
      <w:r w:rsidRPr="007C37CF">
        <w:t xml:space="preserve">Most Americans alive today have never lived in a time without transfer taxes. But transfer taxation in the United States is a fairly modern form of taxation, which developed in stages. Each stage was followed by a change in public behavior that led to Congress responding with the next stage of development. The </w:t>
      </w:r>
      <w:r w:rsidR="00FE0114" w:rsidRPr="007C37CF">
        <w:t>presentation below</w:t>
      </w:r>
      <w:r w:rsidRPr="007C37CF">
        <w:t xml:space="preserve"> will provide information on the progressive development of the transfer tax system</w:t>
      </w:r>
      <w:r w:rsidRPr="00C86EF3">
        <w:rPr>
          <w:rFonts w:ascii="Arial" w:hAnsi="Arial"/>
          <w:sz w:val="24"/>
          <w:szCs w:val="24"/>
        </w:rPr>
        <w:t xml:space="preserve">. </w:t>
      </w:r>
    </w:p>
    <w:p w14:paraId="51D1E7FD" w14:textId="77777777" w:rsidR="008207B0" w:rsidRDefault="00AC38B5" w:rsidP="003338C2">
      <w:pPr>
        <w:rPr>
          <w:b/>
          <w:color w:val="FF0000"/>
        </w:rPr>
      </w:pPr>
      <w:r>
        <w:rPr>
          <w:b/>
          <w:color w:val="FF0000"/>
        </w:rPr>
        <w:t xml:space="preserve">Roll </w:t>
      </w:r>
      <w:r w:rsidR="008207B0" w:rsidRPr="003338C2">
        <w:rPr>
          <w:b/>
          <w:color w:val="FF0000"/>
        </w:rPr>
        <w:t xml:space="preserve">the </w:t>
      </w:r>
      <w:r>
        <w:rPr>
          <w:b/>
          <w:color w:val="FF0000"/>
        </w:rPr>
        <w:t>mouse pointer over each</w:t>
      </w:r>
      <w:r w:rsidR="008207B0" w:rsidRPr="003338C2">
        <w:rPr>
          <w:b/>
          <w:color w:val="FF0000"/>
        </w:rPr>
        <w:t xml:space="preserve"> development path below: </w:t>
      </w:r>
    </w:p>
    <w:p w14:paraId="7CBDAE5F" w14:textId="77777777" w:rsidR="003338C2" w:rsidRDefault="00FF26D0" w:rsidP="008075B0">
      <w:pPr>
        <w:spacing w:before="0" w:after="0"/>
      </w:pPr>
      <w:r>
        <w:rPr>
          <w:noProof/>
        </w:rPr>
        <w:drawing>
          <wp:inline distT="0" distB="0" distL="0" distR="0" wp14:anchorId="14D5425B" wp14:editId="545F4AFD">
            <wp:extent cx="2633345" cy="4072255"/>
            <wp:effectExtent l="0" t="0" r="8255" b="0"/>
            <wp:docPr id="8" name="Picture 1" descr="History of Transfer Tax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of Transfer Taxes 1"/>
                    <pic:cNvPicPr>
                      <a:picLocks noChangeAspect="1" noChangeArrowheads="1"/>
                    </pic:cNvPicPr>
                  </pic:nvPicPr>
                  <pic:blipFill>
                    <a:blip r:embed="rId11">
                      <a:extLst>
                        <a:ext uri="{28A0092B-C50C-407E-A947-70E740481C1C}">
                          <a14:useLocalDpi xmlns:a14="http://schemas.microsoft.com/office/drawing/2010/main" val="0"/>
                        </a:ext>
                      </a:extLst>
                    </a:blip>
                    <a:srcRect b="465"/>
                    <a:stretch>
                      <a:fillRect/>
                    </a:stretch>
                  </pic:blipFill>
                  <pic:spPr bwMode="auto">
                    <a:xfrm>
                      <a:off x="0" y="0"/>
                      <a:ext cx="2633345" cy="4072255"/>
                    </a:xfrm>
                    <a:prstGeom prst="rect">
                      <a:avLst/>
                    </a:prstGeom>
                    <a:noFill/>
                    <a:ln>
                      <a:noFill/>
                    </a:ln>
                  </pic:spPr>
                </pic:pic>
              </a:graphicData>
            </a:graphic>
          </wp:inline>
        </w:drawing>
      </w:r>
    </w:p>
    <w:p w14:paraId="13D76E12" w14:textId="77777777" w:rsidR="008075B0" w:rsidRDefault="00FF26D0" w:rsidP="008075B0">
      <w:pPr>
        <w:spacing w:before="0" w:after="0"/>
      </w:pPr>
      <w:r>
        <w:rPr>
          <w:noProof/>
        </w:rPr>
        <w:drawing>
          <wp:inline distT="0" distB="0" distL="0" distR="0" wp14:anchorId="66CCB302" wp14:editId="55FC5188">
            <wp:extent cx="2599055" cy="2370455"/>
            <wp:effectExtent l="0" t="0" r="0" b="0"/>
            <wp:docPr id="2" name="Picture 2" descr="History of Transfer Tax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y of Transfer Taxes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9055" cy="2370455"/>
                    </a:xfrm>
                    <a:prstGeom prst="rect">
                      <a:avLst/>
                    </a:prstGeom>
                    <a:noFill/>
                    <a:ln>
                      <a:noFill/>
                    </a:ln>
                  </pic:spPr>
                </pic:pic>
              </a:graphicData>
            </a:graphic>
          </wp:inline>
        </w:drawing>
      </w:r>
    </w:p>
    <w:p w14:paraId="4AA6703F" w14:textId="77777777" w:rsidR="008075B0" w:rsidRDefault="008075B0" w:rsidP="008075B0">
      <w:pPr>
        <w:spacing w:before="0" w:after="0"/>
      </w:pPr>
    </w:p>
    <w:p w14:paraId="6E2CF434" w14:textId="77777777" w:rsidR="00A71217" w:rsidRDefault="00A71217" w:rsidP="008075B0">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075B0" w:rsidRPr="003249EB" w14:paraId="61510F76" w14:textId="77777777" w:rsidTr="008075B0">
        <w:tc>
          <w:tcPr>
            <w:tcW w:w="9576" w:type="dxa"/>
            <w:shd w:val="clear" w:color="auto" w:fill="D9D9D9"/>
          </w:tcPr>
          <w:p w14:paraId="4DA16E7E" w14:textId="77777777" w:rsidR="008075B0" w:rsidRPr="00856F20" w:rsidRDefault="008075B0" w:rsidP="00856F20">
            <w:pPr>
              <w:rPr>
                <w:rStyle w:val="Strong"/>
              </w:rPr>
            </w:pPr>
            <w:r w:rsidRPr="00856F20">
              <w:rPr>
                <w:rStyle w:val="Strong"/>
              </w:rPr>
              <w:lastRenderedPageBreak/>
              <w:t>Stage 1 Estate Tax: Tax at Death</w:t>
            </w:r>
          </w:p>
          <w:p w14:paraId="4518BE80" w14:textId="77777777" w:rsidR="008075B0" w:rsidRPr="003249EB" w:rsidRDefault="008075B0" w:rsidP="008075B0">
            <w:r w:rsidRPr="003249EB">
              <w:t>In 1916, Congress approved the implementation of an estate tax as a "temporary measure" to raise revenue.</w:t>
            </w:r>
          </w:p>
        </w:tc>
      </w:tr>
    </w:tbl>
    <w:p w14:paraId="7DCB0F55" w14:textId="77777777" w:rsidR="008075B0" w:rsidRPr="003249EB" w:rsidRDefault="008075B0" w:rsidP="008075B0">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075B0" w:rsidRPr="003249EB" w14:paraId="3212A356" w14:textId="77777777" w:rsidTr="008075B0">
        <w:tc>
          <w:tcPr>
            <w:tcW w:w="9576" w:type="dxa"/>
            <w:shd w:val="clear" w:color="auto" w:fill="D9D9D9"/>
          </w:tcPr>
          <w:p w14:paraId="72183E8A" w14:textId="77777777" w:rsidR="008075B0" w:rsidRPr="00856F20" w:rsidRDefault="00CB505E" w:rsidP="008075B0">
            <w:pPr>
              <w:rPr>
                <w:rStyle w:val="Strong"/>
              </w:rPr>
            </w:pPr>
            <w:r w:rsidRPr="00856F20">
              <w:rPr>
                <w:rStyle w:val="Strong"/>
              </w:rPr>
              <w:t xml:space="preserve">Stage 1: </w:t>
            </w:r>
            <w:r w:rsidR="008075B0" w:rsidRPr="00856F20">
              <w:rPr>
                <w:rStyle w:val="Strong"/>
              </w:rPr>
              <w:t>Public Response</w:t>
            </w:r>
          </w:p>
          <w:p w14:paraId="27242E58" w14:textId="77777777" w:rsidR="008075B0" w:rsidRPr="003249EB" w:rsidRDefault="008075B0" w:rsidP="008075B0">
            <w:r w:rsidRPr="003249EB">
              <w:t>As this "temporary measure" became more permanent, people began looking for ways to avoid the tax. The answer was simple enough: simply transfer assets before you die. If you did not own it when you died, then no tax was due.</w:t>
            </w:r>
          </w:p>
        </w:tc>
      </w:tr>
    </w:tbl>
    <w:p w14:paraId="1010EB05" w14:textId="77777777" w:rsidR="008075B0" w:rsidRPr="003249EB" w:rsidRDefault="008075B0" w:rsidP="008075B0">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075B0" w:rsidRPr="003249EB" w14:paraId="333DB8EB" w14:textId="77777777" w:rsidTr="008075B0">
        <w:tc>
          <w:tcPr>
            <w:tcW w:w="9576" w:type="dxa"/>
            <w:shd w:val="clear" w:color="auto" w:fill="D9D9D9"/>
          </w:tcPr>
          <w:p w14:paraId="7414CAF2" w14:textId="77777777" w:rsidR="008075B0" w:rsidRPr="00856F20" w:rsidRDefault="008075B0" w:rsidP="008075B0">
            <w:pPr>
              <w:rPr>
                <w:rStyle w:val="Strong"/>
              </w:rPr>
            </w:pPr>
            <w:r w:rsidRPr="00856F20">
              <w:rPr>
                <w:rStyle w:val="Strong"/>
              </w:rPr>
              <w:t>Stage 2 Gift Tax: Tax on Lifetime Transfers</w:t>
            </w:r>
          </w:p>
          <w:p w14:paraId="5CBAA597" w14:textId="77777777" w:rsidR="008075B0" w:rsidRPr="003249EB" w:rsidRDefault="008075B0" w:rsidP="008075B0">
            <w:r w:rsidRPr="003249EB">
              <w:t xml:space="preserve">To curtail efforts to avoid taxation by making lifetime gifts, Congress enacted a gift tax in 1924. This gift tax co-existed with the estate tax. Two aspects of this arrangement are important for understanding the evolution into our current form of taxation: </w:t>
            </w:r>
          </w:p>
          <w:p w14:paraId="7F6F7F79" w14:textId="77777777" w:rsidR="008075B0" w:rsidRPr="00856F20" w:rsidRDefault="008075B0" w:rsidP="00160EF1">
            <w:pPr>
              <w:pStyle w:val="ListParagraph"/>
              <w:numPr>
                <w:ilvl w:val="0"/>
                <w:numId w:val="41"/>
              </w:numPr>
              <w:rPr>
                <w:rStyle w:val="Strong"/>
              </w:rPr>
            </w:pPr>
            <w:r w:rsidRPr="00856F20">
              <w:rPr>
                <w:rStyle w:val="Strong"/>
              </w:rPr>
              <w:t xml:space="preserve">The tax rate on gifts was 25% lower than the rate for estates. </w:t>
            </w:r>
          </w:p>
          <w:p w14:paraId="737A3B31" w14:textId="77777777" w:rsidR="008075B0" w:rsidRPr="003249EB" w:rsidRDefault="008075B0" w:rsidP="00160EF1">
            <w:pPr>
              <w:pStyle w:val="ListParagraph"/>
              <w:numPr>
                <w:ilvl w:val="0"/>
                <w:numId w:val="41"/>
              </w:numPr>
              <w:rPr>
                <w:b/>
                <w:bCs/>
                <w:color w:val="800000"/>
                <w:szCs w:val="26"/>
              </w:rPr>
            </w:pPr>
            <w:r w:rsidRPr="00901B90">
              <w:rPr>
                <w:rStyle w:val="Strong"/>
              </w:rPr>
              <w:t>Both taxes were independent of the other</w:t>
            </w:r>
            <w:r w:rsidRPr="00901B90">
              <w:rPr>
                <w:szCs w:val="20"/>
              </w:rPr>
              <w:t>. I</w:t>
            </w:r>
            <w:r w:rsidRPr="003249EB">
              <w:t>n other words, each calculation took place with no consideration of the other.</w:t>
            </w:r>
          </w:p>
        </w:tc>
      </w:tr>
    </w:tbl>
    <w:p w14:paraId="61EBDB6C" w14:textId="77777777" w:rsidR="008075B0" w:rsidRPr="003249EB" w:rsidRDefault="008075B0" w:rsidP="008075B0">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075B0" w:rsidRPr="003249EB" w14:paraId="6EA35458" w14:textId="77777777" w:rsidTr="008075B0">
        <w:tc>
          <w:tcPr>
            <w:tcW w:w="9576" w:type="dxa"/>
            <w:shd w:val="clear" w:color="auto" w:fill="D9D9D9"/>
          </w:tcPr>
          <w:p w14:paraId="304DA616" w14:textId="77777777" w:rsidR="008075B0" w:rsidRPr="00856F20" w:rsidRDefault="00CB505E" w:rsidP="008075B0">
            <w:pPr>
              <w:rPr>
                <w:rStyle w:val="Strong"/>
              </w:rPr>
            </w:pPr>
            <w:r w:rsidRPr="00856F20">
              <w:rPr>
                <w:rStyle w:val="Strong"/>
              </w:rPr>
              <w:t>Stage 2</w:t>
            </w:r>
            <w:r w:rsidR="008075B0" w:rsidRPr="00856F20">
              <w:rPr>
                <w:rStyle w:val="Strong"/>
              </w:rPr>
              <w:t xml:space="preserve">: </w:t>
            </w:r>
            <w:r w:rsidRPr="00856F20">
              <w:rPr>
                <w:rStyle w:val="Strong"/>
              </w:rPr>
              <w:t>Public Response</w:t>
            </w:r>
          </w:p>
          <w:p w14:paraId="2DE96A64" w14:textId="77777777" w:rsidR="008075B0" w:rsidRPr="003249EB" w:rsidRDefault="00CB505E" w:rsidP="00CB505E">
            <w:r w:rsidRPr="003249EB">
              <w:t>Because the gift tax was less, the public continued to have an incentive to explore ways to make lifetime transfers, particularly through trusts, and avoid the estate tax with its higher rate.</w:t>
            </w:r>
          </w:p>
        </w:tc>
      </w:tr>
    </w:tbl>
    <w:p w14:paraId="0AE7A1E4" w14:textId="77777777" w:rsidR="008075B0" w:rsidRPr="003249EB" w:rsidRDefault="008075B0" w:rsidP="008075B0">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075B0" w:rsidRPr="003249EB" w14:paraId="21CBF7DF" w14:textId="77777777" w:rsidTr="008075B0">
        <w:tc>
          <w:tcPr>
            <w:tcW w:w="9576" w:type="dxa"/>
            <w:shd w:val="clear" w:color="auto" w:fill="D9D9D9"/>
          </w:tcPr>
          <w:p w14:paraId="733A6D49" w14:textId="77777777" w:rsidR="008075B0" w:rsidRPr="00856F20" w:rsidRDefault="00CB505E" w:rsidP="008075B0">
            <w:pPr>
              <w:rPr>
                <w:rStyle w:val="Strong"/>
              </w:rPr>
            </w:pPr>
            <w:r w:rsidRPr="00856F20">
              <w:rPr>
                <w:rStyle w:val="Strong"/>
              </w:rPr>
              <w:t xml:space="preserve">Stage 3 Unification of </w:t>
            </w:r>
            <w:r w:rsidR="00601A7A" w:rsidRPr="00856F20">
              <w:rPr>
                <w:rStyle w:val="Strong"/>
              </w:rPr>
              <w:t xml:space="preserve">Gift </w:t>
            </w:r>
            <w:r w:rsidRPr="00856F20">
              <w:rPr>
                <w:rStyle w:val="Strong"/>
              </w:rPr>
              <w:t xml:space="preserve">and </w:t>
            </w:r>
            <w:r w:rsidR="00601A7A" w:rsidRPr="00856F20">
              <w:rPr>
                <w:rStyle w:val="Strong"/>
              </w:rPr>
              <w:t xml:space="preserve">Estate </w:t>
            </w:r>
            <w:r w:rsidRPr="00856F20">
              <w:rPr>
                <w:rStyle w:val="Strong"/>
              </w:rPr>
              <w:t>Tax</w:t>
            </w:r>
          </w:p>
          <w:p w14:paraId="237F71F9" w14:textId="77777777" w:rsidR="00CB505E" w:rsidRPr="003249EB" w:rsidRDefault="00CB505E" w:rsidP="00CB505E">
            <w:r w:rsidRPr="003249EB">
              <w:t xml:space="preserve">Seeking to do away with the preferential tax treatment of lifetime transfers, the Tax Reform Act of 1976 created the Unified </w:t>
            </w:r>
            <w:r w:rsidR="00601A7A" w:rsidRPr="003249EB">
              <w:t xml:space="preserve">Gift </w:t>
            </w:r>
            <w:r w:rsidRPr="003249EB">
              <w:t xml:space="preserve">and </w:t>
            </w:r>
            <w:r w:rsidR="00601A7A" w:rsidRPr="003249EB">
              <w:t xml:space="preserve">Estate </w:t>
            </w:r>
            <w:r w:rsidRPr="003249EB">
              <w:t>Tax. This "unified" approach continues to this day. Its features include:</w:t>
            </w:r>
          </w:p>
          <w:p w14:paraId="6B441906" w14:textId="77777777" w:rsidR="00CB505E" w:rsidRPr="00856F20" w:rsidRDefault="00CB505E" w:rsidP="006B5C7E">
            <w:pPr>
              <w:numPr>
                <w:ilvl w:val="0"/>
                <w:numId w:val="10"/>
              </w:numPr>
              <w:rPr>
                <w:szCs w:val="20"/>
              </w:rPr>
            </w:pPr>
            <w:r w:rsidRPr="00856F20">
              <w:rPr>
                <w:rStyle w:val="Strong"/>
              </w:rPr>
              <w:t>A single tax rate</w:t>
            </w:r>
            <w:r w:rsidRPr="00856F20">
              <w:rPr>
                <w:szCs w:val="20"/>
              </w:rPr>
              <w:t xml:space="preserve"> that is used for calculating both gift and estate taxes.</w:t>
            </w:r>
          </w:p>
          <w:p w14:paraId="2E80E488" w14:textId="77777777" w:rsidR="008075B0" w:rsidRPr="003249EB" w:rsidRDefault="00CB505E" w:rsidP="006B5C7E">
            <w:pPr>
              <w:numPr>
                <w:ilvl w:val="0"/>
                <w:numId w:val="10"/>
              </w:numPr>
            </w:pPr>
            <w:r w:rsidRPr="00901B90">
              <w:rPr>
                <w:rStyle w:val="Strong"/>
              </w:rPr>
              <w:t>Consideration of lifetime transfers when computing the estate tax</w:t>
            </w:r>
            <w:r w:rsidRPr="00901B90">
              <w:rPr>
                <w:bCs/>
                <w:szCs w:val="20"/>
              </w:rPr>
              <w:t>.</w:t>
            </w:r>
            <w:r w:rsidRPr="00901B90">
              <w:rPr>
                <w:szCs w:val="20"/>
              </w:rPr>
              <w:t xml:space="preserve"> In other words, lifetime gifts (after 1976) are added back into the estate when computing the estate tax. A cred</w:t>
            </w:r>
            <w:r w:rsidRPr="003D26C6">
              <w:rPr>
                <w:szCs w:val="20"/>
              </w:rPr>
              <w:t>it is then given for any gift taxes that were paid.</w:t>
            </w:r>
          </w:p>
        </w:tc>
      </w:tr>
    </w:tbl>
    <w:p w14:paraId="28F0DDE9" w14:textId="77777777" w:rsidR="008075B0" w:rsidRPr="003249EB" w:rsidRDefault="008075B0" w:rsidP="008075B0">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075B0" w:rsidRPr="003249EB" w14:paraId="1C38C254" w14:textId="77777777" w:rsidTr="008075B0">
        <w:tc>
          <w:tcPr>
            <w:tcW w:w="9576" w:type="dxa"/>
            <w:shd w:val="clear" w:color="auto" w:fill="D9D9D9"/>
          </w:tcPr>
          <w:p w14:paraId="3B7DFA74" w14:textId="77777777" w:rsidR="008075B0" w:rsidRPr="00856F20" w:rsidRDefault="00CB505E" w:rsidP="008075B0">
            <w:pPr>
              <w:rPr>
                <w:rStyle w:val="Strong"/>
              </w:rPr>
            </w:pPr>
            <w:r w:rsidRPr="00856F20">
              <w:rPr>
                <w:rStyle w:val="Strong"/>
              </w:rPr>
              <w:t>Stage 3: Public Response</w:t>
            </w:r>
          </w:p>
          <w:p w14:paraId="6AFE0091" w14:textId="77777777" w:rsidR="00CB505E" w:rsidRPr="003D26C6" w:rsidRDefault="00CB505E" w:rsidP="00CB505E">
            <w:pPr>
              <w:rPr>
                <w:szCs w:val="20"/>
              </w:rPr>
            </w:pPr>
            <w:r w:rsidRPr="00901B90">
              <w:rPr>
                <w:szCs w:val="20"/>
              </w:rPr>
              <w:t xml:space="preserve">Another way people had learned to avoid transfer taxes was to make transfers that skipped entire generations. </w:t>
            </w:r>
          </w:p>
          <w:p w14:paraId="2D689F02" w14:textId="77777777" w:rsidR="00CB505E" w:rsidRPr="00160EF1" w:rsidRDefault="00CB505E" w:rsidP="00CB505E">
            <w:pPr>
              <w:keepNext/>
              <w:outlineLvl w:val="2"/>
              <w:rPr>
                <w:szCs w:val="20"/>
              </w:rPr>
            </w:pPr>
            <w:r w:rsidRPr="003D26C6">
              <w:rPr>
                <w:b/>
                <w:bCs/>
                <w:szCs w:val="20"/>
              </w:rPr>
              <w:t xml:space="preserve">Example. </w:t>
            </w:r>
            <w:r w:rsidRPr="003D26C6">
              <w:rPr>
                <w:szCs w:val="20"/>
              </w:rPr>
              <w:t xml:space="preserve">Suppose you have three generations: Parent, Child, and Grandchild. Further suppose that your ultimate goal is to keep everything in the family and transfer assets to the grandchild. This </w:t>
            </w:r>
            <w:r w:rsidRPr="00AC38B5">
              <w:rPr>
                <w:szCs w:val="20"/>
              </w:rPr>
              <w:t xml:space="preserve">could be accomplished in two ways. </w:t>
            </w:r>
          </w:p>
          <w:p w14:paraId="21A8CB99" w14:textId="77777777" w:rsidR="00CB505E" w:rsidRPr="00160EF1" w:rsidRDefault="00CB505E" w:rsidP="00CB505E">
            <w:pPr>
              <w:keepNext/>
              <w:ind w:left="360"/>
              <w:outlineLvl w:val="2"/>
              <w:rPr>
                <w:szCs w:val="20"/>
              </w:rPr>
            </w:pPr>
            <w:r w:rsidRPr="00856F20">
              <w:rPr>
                <w:rStyle w:val="Strong"/>
              </w:rPr>
              <w:t>Transfer through the child.</w:t>
            </w:r>
            <w:r w:rsidRPr="00AC38B5">
              <w:rPr>
                <w:szCs w:val="20"/>
              </w:rPr>
              <w:t xml:space="preserve"> Here, the Parent makes a transfer to the Child, who subsequently transfers assets to the original donor's Grandchild. This results in </w:t>
            </w:r>
            <w:r w:rsidRPr="00856F20">
              <w:rPr>
                <w:rStyle w:val="Strong"/>
                <w:i/>
              </w:rPr>
              <w:t>two taxable transfers</w:t>
            </w:r>
            <w:r w:rsidRPr="00AC38B5">
              <w:rPr>
                <w:szCs w:val="20"/>
              </w:rPr>
              <w:t xml:space="preserve">, one for each successive generation. </w:t>
            </w:r>
          </w:p>
          <w:p w14:paraId="63976513" w14:textId="77777777" w:rsidR="00CB505E" w:rsidRPr="00160EF1" w:rsidRDefault="00CB505E" w:rsidP="00CB505E">
            <w:pPr>
              <w:keepNext/>
              <w:ind w:left="360"/>
              <w:outlineLvl w:val="2"/>
              <w:rPr>
                <w:szCs w:val="20"/>
              </w:rPr>
            </w:pPr>
            <w:r w:rsidRPr="00856F20">
              <w:rPr>
                <w:rStyle w:val="Strong"/>
              </w:rPr>
              <w:t>Transfer directly to the grandchild</w:t>
            </w:r>
            <w:r w:rsidRPr="00AC38B5">
              <w:rPr>
                <w:szCs w:val="20"/>
              </w:rPr>
              <w:t xml:space="preserve">. Here, the Parent skips the next generation and </w:t>
            </w:r>
            <w:r w:rsidRPr="00AC38B5">
              <w:rPr>
                <w:szCs w:val="20"/>
              </w:rPr>
              <w:lastRenderedPageBreak/>
              <w:t xml:space="preserve">transfers assets directly to the Grandchild. Only </w:t>
            </w:r>
            <w:r w:rsidRPr="00856F20">
              <w:rPr>
                <w:rStyle w:val="Strong"/>
                <w:i/>
              </w:rPr>
              <w:t>one taxable</w:t>
            </w:r>
            <w:r w:rsidRPr="00AC38B5">
              <w:rPr>
                <w:b/>
                <w:bCs/>
                <w:i/>
                <w:iCs/>
                <w:szCs w:val="20"/>
              </w:rPr>
              <w:t xml:space="preserve"> transfer</w:t>
            </w:r>
            <w:r w:rsidRPr="00AC38B5">
              <w:rPr>
                <w:szCs w:val="20"/>
              </w:rPr>
              <w:t xml:space="preserve"> is made. </w:t>
            </w:r>
          </w:p>
          <w:p w14:paraId="420D8875" w14:textId="77777777" w:rsidR="008075B0" w:rsidRPr="003249EB" w:rsidRDefault="00CB505E" w:rsidP="00CB505E">
            <w:r w:rsidRPr="00AC38B5">
              <w:rPr>
                <w:szCs w:val="20"/>
              </w:rPr>
              <w:t>This skipping of generations became a popular approach to minimizing taxes, and trusts were particularly useful vehicles for accomplishing multigenerati</w:t>
            </w:r>
            <w:r w:rsidRPr="00D914D1">
              <w:rPr>
                <w:szCs w:val="20"/>
              </w:rPr>
              <w:t>onal transfers.</w:t>
            </w:r>
          </w:p>
        </w:tc>
      </w:tr>
    </w:tbl>
    <w:p w14:paraId="4883D17A" w14:textId="77777777" w:rsidR="008075B0" w:rsidRPr="003249EB" w:rsidRDefault="008075B0" w:rsidP="008075B0">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CB505E" w:rsidRPr="003249EB" w14:paraId="75E0E40E" w14:textId="77777777" w:rsidTr="00E23023">
        <w:tc>
          <w:tcPr>
            <w:tcW w:w="9576" w:type="dxa"/>
            <w:shd w:val="clear" w:color="auto" w:fill="D9D9D9"/>
          </w:tcPr>
          <w:p w14:paraId="040821AC" w14:textId="77777777" w:rsidR="00CB505E" w:rsidRPr="00856F20" w:rsidRDefault="00CB505E" w:rsidP="00E23023">
            <w:pPr>
              <w:rPr>
                <w:rStyle w:val="Strong"/>
              </w:rPr>
            </w:pPr>
            <w:r w:rsidRPr="00856F20">
              <w:rPr>
                <w:rStyle w:val="Strong"/>
              </w:rPr>
              <w:t>Stage 4</w:t>
            </w:r>
            <w:r w:rsidR="00856F20" w:rsidRPr="00160EF1">
              <w:rPr>
                <w:rStyle w:val="Strong"/>
              </w:rPr>
              <w:t>:</w:t>
            </w:r>
            <w:r w:rsidRPr="00856F20">
              <w:rPr>
                <w:rStyle w:val="Strong"/>
              </w:rPr>
              <w:t xml:space="preserve"> Generation</w:t>
            </w:r>
            <w:r w:rsidR="00856F20" w:rsidRPr="00160EF1">
              <w:rPr>
                <w:rStyle w:val="Strong"/>
              </w:rPr>
              <w:t>-</w:t>
            </w:r>
            <w:r w:rsidRPr="00856F20">
              <w:rPr>
                <w:rStyle w:val="Strong"/>
              </w:rPr>
              <w:t>Skipping Transfer Tax</w:t>
            </w:r>
          </w:p>
          <w:p w14:paraId="4700699F" w14:textId="77777777" w:rsidR="00CB505E" w:rsidRPr="003249EB" w:rsidRDefault="00CB505E" w:rsidP="00856F20">
            <w:r w:rsidRPr="00856F20">
              <w:rPr>
                <w:szCs w:val="20"/>
              </w:rPr>
              <w:t>To address the attempts to avoid the tax by skipping generations, the Tax Reform Act of 1976 also introduced a generation</w:t>
            </w:r>
            <w:r w:rsidR="00856F20">
              <w:rPr>
                <w:szCs w:val="20"/>
              </w:rPr>
              <w:t>-</w:t>
            </w:r>
            <w:r w:rsidRPr="00856F20">
              <w:rPr>
                <w:szCs w:val="20"/>
              </w:rPr>
              <w:t>skipping tax that severely curtailed the ability to skip generations withou</w:t>
            </w:r>
            <w:r w:rsidRPr="00901B90">
              <w:rPr>
                <w:szCs w:val="20"/>
              </w:rPr>
              <w:t>t paying a tax.</w:t>
            </w:r>
            <w:r w:rsidR="00F61921" w:rsidRPr="00901B90">
              <w:rPr>
                <w:szCs w:val="20"/>
              </w:rPr>
              <w:t xml:space="preserve"> This tax, when applicable, is in addition to any gift or estate tax that may be applied.</w:t>
            </w:r>
          </w:p>
        </w:tc>
      </w:tr>
    </w:tbl>
    <w:p w14:paraId="4F99F17C" w14:textId="77777777" w:rsidR="008075B0" w:rsidRPr="003249EB" w:rsidRDefault="008075B0" w:rsidP="008075B0">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CB505E" w:rsidRPr="003249EB" w14:paraId="5886A34A" w14:textId="77777777" w:rsidTr="00E23023">
        <w:tc>
          <w:tcPr>
            <w:tcW w:w="9576" w:type="dxa"/>
            <w:shd w:val="clear" w:color="auto" w:fill="D9D9D9"/>
          </w:tcPr>
          <w:p w14:paraId="5FD1FA63" w14:textId="77777777" w:rsidR="00CB505E" w:rsidRPr="00856F20" w:rsidRDefault="00CB505E" w:rsidP="00E23023">
            <w:pPr>
              <w:rPr>
                <w:rStyle w:val="Strong"/>
              </w:rPr>
            </w:pPr>
            <w:r w:rsidRPr="00856F20">
              <w:rPr>
                <w:rStyle w:val="Strong"/>
              </w:rPr>
              <w:t>Stage 4: Public Response</w:t>
            </w:r>
          </w:p>
          <w:p w14:paraId="157F87BA" w14:textId="77777777" w:rsidR="00CB505E" w:rsidRPr="003D26C6" w:rsidRDefault="00CB505E" w:rsidP="00CB505E">
            <w:pPr>
              <w:rPr>
                <w:szCs w:val="20"/>
              </w:rPr>
            </w:pPr>
            <w:r w:rsidRPr="00901B90">
              <w:rPr>
                <w:szCs w:val="20"/>
              </w:rPr>
              <w:t xml:space="preserve">After the boom of the 1990's, there was increased political pressure to raise the amount of an estate that could be </w:t>
            </w:r>
            <w:r w:rsidRPr="003D26C6">
              <w:rPr>
                <w:szCs w:val="20"/>
              </w:rPr>
              <w:t>transferred free of taxes, with many politicians pushing for the total elimination of the estate tax.</w:t>
            </w:r>
          </w:p>
        </w:tc>
      </w:tr>
    </w:tbl>
    <w:p w14:paraId="40333AFB" w14:textId="77777777" w:rsidR="008075B0" w:rsidRPr="003249EB" w:rsidRDefault="008075B0" w:rsidP="008075B0">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CB505E" w:rsidRPr="003249EB" w14:paraId="054DA21B" w14:textId="77777777" w:rsidTr="00E23023">
        <w:tc>
          <w:tcPr>
            <w:tcW w:w="9576" w:type="dxa"/>
            <w:shd w:val="clear" w:color="auto" w:fill="D9D9D9"/>
          </w:tcPr>
          <w:p w14:paraId="086A74A5" w14:textId="77777777" w:rsidR="00CB505E" w:rsidRPr="00856F20" w:rsidRDefault="00CB505E" w:rsidP="00E23023">
            <w:pPr>
              <w:rPr>
                <w:rStyle w:val="Strong"/>
              </w:rPr>
            </w:pPr>
            <w:r w:rsidRPr="00856F20">
              <w:rPr>
                <w:rStyle w:val="Strong"/>
              </w:rPr>
              <w:t>Stage 5 Expanded Exclusions</w:t>
            </w:r>
          </w:p>
          <w:p w14:paraId="7709A006" w14:textId="77777777" w:rsidR="00F61921" w:rsidRPr="003D26C6" w:rsidRDefault="00F61921" w:rsidP="00F61921">
            <w:pPr>
              <w:rPr>
                <w:szCs w:val="20"/>
              </w:rPr>
            </w:pPr>
            <w:r w:rsidRPr="00901B90">
              <w:rPr>
                <w:szCs w:val="20"/>
              </w:rPr>
              <w:t>In the year following the Tax Reform Act of 1976, the tax rate schedule that was used to calculate the gift and estate tax w</w:t>
            </w:r>
            <w:r w:rsidRPr="003D26C6">
              <w:rPr>
                <w:szCs w:val="20"/>
              </w:rPr>
              <w:t xml:space="preserve">ent as high as 70% on amounts over $5,000,000. However, a tax credit was available to protect the first $120,000 of taxable transfers from actually having to pay a tax. </w:t>
            </w:r>
          </w:p>
          <w:p w14:paraId="474D0E53" w14:textId="77777777" w:rsidR="00F61921" w:rsidRPr="003D26C6" w:rsidRDefault="00F61921" w:rsidP="00F61921">
            <w:pPr>
              <w:rPr>
                <w:szCs w:val="20"/>
              </w:rPr>
            </w:pPr>
            <w:r w:rsidRPr="003D26C6">
              <w:rPr>
                <w:szCs w:val="20"/>
              </w:rPr>
              <w:t>With continued political pressure and numerous tax acts later, the tax rate schedule that is currently used to calculate the tax has a maximum rate of 40% on amounts over $1,000,000. Furthermore, for 2016</w:t>
            </w:r>
            <w:r w:rsidR="00856F20">
              <w:rPr>
                <w:szCs w:val="20"/>
              </w:rPr>
              <w:t>,</w:t>
            </w:r>
            <w:r w:rsidRPr="00856F20">
              <w:rPr>
                <w:szCs w:val="20"/>
              </w:rPr>
              <w:t xml:space="preserve"> the available lifetime credit to each person protects the first $5,450,000 (indexed for inflation). This represents a significant rate re</w:t>
            </w:r>
            <w:r w:rsidRPr="00901B90">
              <w:rPr>
                <w:szCs w:val="20"/>
              </w:rPr>
              <w:t>duction and a significant expansion of the credit to offset the gift and estate tax.</w:t>
            </w:r>
          </w:p>
          <w:p w14:paraId="722B61A3" w14:textId="77777777" w:rsidR="00CB505E" w:rsidRPr="00D914D1" w:rsidRDefault="00F61921" w:rsidP="000C6CB2">
            <w:pPr>
              <w:rPr>
                <w:szCs w:val="20"/>
              </w:rPr>
            </w:pPr>
            <w:r w:rsidRPr="003D26C6">
              <w:rPr>
                <w:szCs w:val="20"/>
              </w:rPr>
              <w:t>We will have more to say about the current tax environment on the following pages.</w:t>
            </w:r>
          </w:p>
        </w:tc>
      </w:tr>
    </w:tbl>
    <w:p w14:paraId="0E508AE7" w14:textId="77777777" w:rsidR="008075B0" w:rsidRDefault="008075B0" w:rsidP="008075B0">
      <w:pPr>
        <w:spacing w:before="0" w:after="0"/>
      </w:pPr>
    </w:p>
    <w:p w14:paraId="42ED7006" w14:textId="77777777" w:rsidR="008207B0" w:rsidRDefault="00741C74" w:rsidP="005F29D2">
      <w:pPr>
        <w:pStyle w:val="Heading2"/>
        <w:rPr>
          <w:sz w:val="20"/>
          <w:szCs w:val="20"/>
        </w:rPr>
      </w:pPr>
      <w:r>
        <w:br w:type="page"/>
      </w:r>
      <w:r w:rsidR="00CB505E">
        <w:lastRenderedPageBreak/>
        <w:t>Transfer Taxation Today</w:t>
      </w:r>
    </w:p>
    <w:p w14:paraId="29EF612F" w14:textId="77777777" w:rsidR="008207B0" w:rsidRPr="001C25E5" w:rsidRDefault="008207B0" w:rsidP="00CB505E">
      <w:r w:rsidRPr="001C25E5">
        <w:t xml:space="preserve">The outcome of the development of transfer taxation is that today we are left with three types of transfer taxes. </w:t>
      </w:r>
    </w:p>
    <w:p w14:paraId="5F701B18" w14:textId="77777777" w:rsidR="008207B0" w:rsidRPr="00CB505E" w:rsidRDefault="00DE3D40" w:rsidP="006B5C7E">
      <w:pPr>
        <w:numPr>
          <w:ilvl w:val="0"/>
          <w:numId w:val="11"/>
        </w:numPr>
        <w:rPr>
          <w:b/>
        </w:rPr>
      </w:pPr>
      <w:r>
        <w:rPr>
          <w:b/>
        </w:rPr>
        <w:t>Gift</w:t>
      </w:r>
      <w:r w:rsidRPr="00CB505E">
        <w:rPr>
          <w:b/>
        </w:rPr>
        <w:t xml:space="preserve"> </w:t>
      </w:r>
      <w:r w:rsidR="008207B0" w:rsidRPr="00CB505E">
        <w:rPr>
          <w:b/>
        </w:rPr>
        <w:t xml:space="preserve">Tax </w:t>
      </w:r>
    </w:p>
    <w:p w14:paraId="6ACC4B72" w14:textId="77777777" w:rsidR="008207B0" w:rsidRPr="00CB505E" w:rsidRDefault="00DE3D40" w:rsidP="006B5C7E">
      <w:pPr>
        <w:numPr>
          <w:ilvl w:val="0"/>
          <w:numId w:val="11"/>
        </w:numPr>
        <w:rPr>
          <w:b/>
        </w:rPr>
      </w:pPr>
      <w:r>
        <w:rPr>
          <w:b/>
        </w:rPr>
        <w:t>Estate</w:t>
      </w:r>
      <w:r w:rsidRPr="00CB505E">
        <w:rPr>
          <w:b/>
        </w:rPr>
        <w:t xml:space="preserve"> </w:t>
      </w:r>
      <w:r w:rsidR="008207B0" w:rsidRPr="00CB505E">
        <w:rPr>
          <w:b/>
        </w:rPr>
        <w:t xml:space="preserve">Tax </w:t>
      </w:r>
    </w:p>
    <w:p w14:paraId="3A774B8D" w14:textId="77777777" w:rsidR="008207B0" w:rsidRPr="00CB505E" w:rsidRDefault="008207B0" w:rsidP="006B5C7E">
      <w:pPr>
        <w:numPr>
          <w:ilvl w:val="0"/>
          <w:numId w:val="11"/>
        </w:numPr>
        <w:rPr>
          <w:b/>
        </w:rPr>
      </w:pPr>
      <w:r w:rsidRPr="00CB505E">
        <w:rPr>
          <w:b/>
        </w:rPr>
        <w:t>Generation</w:t>
      </w:r>
      <w:r w:rsidR="00856F20">
        <w:rPr>
          <w:b/>
        </w:rPr>
        <w:t>-</w:t>
      </w:r>
      <w:r w:rsidRPr="00CB505E">
        <w:rPr>
          <w:b/>
        </w:rPr>
        <w:t xml:space="preserve">Skipping Transfer Tax </w:t>
      </w:r>
    </w:p>
    <w:p w14:paraId="0D9A32DF" w14:textId="77777777" w:rsidR="008207B0" w:rsidRPr="001C25E5" w:rsidRDefault="008207B0" w:rsidP="00CB505E">
      <w:r w:rsidRPr="001C25E5">
        <w:t>This course will look at the first two types</w:t>
      </w:r>
      <w:r w:rsidR="00062A9E">
        <w:t>,</w:t>
      </w:r>
      <w:r w:rsidRPr="001C25E5">
        <w:t xml:space="preserve"> </w:t>
      </w:r>
      <w:r w:rsidR="00601A7A">
        <w:t>gift and estate</w:t>
      </w:r>
      <w:r w:rsidRPr="001C25E5">
        <w:t xml:space="preserve"> taxes</w:t>
      </w:r>
      <w:r w:rsidR="00062A9E">
        <w:t>, deferring the generation</w:t>
      </w:r>
      <w:r w:rsidR="00856F20">
        <w:t>-</w:t>
      </w:r>
      <w:r w:rsidR="00062A9E">
        <w:t>skipping transfer tax to a subsequent course</w:t>
      </w:r>
      <w:r w:rsidRPr="001C25E5">
        <w:t xml:space="preserve">. Because the </w:t>
      </w:r>
      <w:r w:rsidR="00DE3D40">
        <w:t>gift tax and estate tax</w:t>
      </w:r>
      <w:r w:rsidRPr="001C25E5">
        <w:t xml:space="preserve"> have been "unified," they share many common elements. The following pages will look at these common elements, in some detail, to form the foundation for the subsequent course that will take a deeper look at elements that are unique to each.</w:t>
      </w:r>
    </w:p>
    <w:p w14:paraId="6F9E55E6" w14:textId="77777777" w:rsidR="00D957AE" w:rsidRPr="006A0D4F" w:rsidRDefault="00741C74" w:rsidP="00D957AE">
      <w:pPr>
        <w:pStyle w:val="Heading2"/>
      </w:pPr>
      <w:r>
        <w:br w:type="page"/>
      </w:r>
      <w:r w:rsidR="00D957AE" w:rsidRPr="006A0D4F">
        <w:lastRenderedPageBreak/>
        <w:t>Who is Subject to the Gift and Estate Tax</w:t>
      </w:r>
      <w:r w:rsidR="00C83BBB">
        <w:t>?</w:t>
      </w:r>
    </w:p>
    <w:p w14:paraId="28523DEF" w14:textId="77777777" w:rsidR="00D957AE" w:rsidRPr="006A0D4F" w:rsidRDefault="00D957AE" w:rsidP="00D957AE">
      <w:r w:rsidRPr="006A0D4F">
        <w:t xml:space="preserve">U.S. citizens, resident aliens, and nonresident aliens (with assets in the U.S) are all subject to the </w:t>
      </w:r>
      <w:r w:rsidR="00856F20">
        <w:t>federal gift and estate t</w:t>
      </w:r>
      <w:r w:rsidR="00856F20" w:rsidRPr="006A0D4F">
        <w:t xml:space="preserve">ax </w:t>
      </w:r>
      <w:r w:rsidRPr="006A0D4F">
        <w:t xml:space="preserve">when making lifetime or at-death transfers of assets. However, </w:t>
      </w:r>
      <w:r>
        <w:t>the particular assets that are considered</w:t>
      </w:r>
      <w:r w:rsidRPr="006A0D4F">
        <w:t xml:space="preserve"> and the rules that apply will depend upon their </w:t>
      </w:r>
      <w:r>
        <w:t>citizenship or residential status.</w:t>
      </w:r>
      <w:r w:rsidRPr="006A0D4F">
        <w:t xml:space="preserve"> </w:t>
      </w:r>
      <w:r>
        <w:t xml:space="preserve">We will discuss some of the different rules as we go, but for now let’s address the assets involved and how resident and nonresident alien status is determined. </w:t>
      </w:r>
    </w:p>
    <w:p w14:paraId="761ECA85" w14:textId="77777777" w:rsidR="00D957AE" w:rsidRPr="006A0D4F" w:rsidRDefault="00D957AE" w:rsidP="00D957AE">
      <w:pPr>
        <w:pStyle w:val="Heading3"/>
      </w:pPr>
      <w:r>
        <w:t xml:space="preserve">What Assets are </w:t>
      </w:r>
      <w:proofErr w:type="gramStart"/>
      <w:r>
        <w:t>Considered</w:t>
      </w:r>
      <w:proofErr w:type="gramEnd"/>
      <w:r w:rsidRPr="006A0D4F">
        <w:t>?</w:t>
      </w:r>
    </w:p>
    <w:p w14:paraId="164C4236" w14:textId="77777777" w:rsidR="00D957AE" w:rsidRPr="006A0D4F" w:rsidRDefault="00D957AE" w:rsidP="00D957AE">
      <w:r w:rsidRPr="006A0D4F">
        <w:t xml:space="preserve">Your status regarding citizenship or domicile will determine what assets are </w:t>
      </w:r>
      <w:r>
        <w:t>considered:</w:t>
      </w:r>
    </w:p>
    <w:p w14:paraId="0694C8B1" w14:textId="77777777" w:rsidR="00D957AE" w:rsidRDefault="00D957AE" w:rsidP="00D957AE">
      <w:pPr>
        <w:pStyle w:val="ListParagraph"/>
        <w:numPr>
          <w:ilvl w:val="0"/>
          <w:numId w:val="38"/>
        </w:numPr>
        <w:contextualSpacing w:val="0"/>
      </w:pPr>
      <w:r w:rsidRPr="006A0D4F">
        <w:rPr>
          <w:b/>
        </w:rPr>
        <w:t>U.S. Citizens and Resident Aliens</w:t>
      </w:r>
      <w:r>
        <w:rPr>
          <w:b/>
        </w:rPr>
        <w:t xml:space="preserve"> (Non-Citizen Residents)</w:t>
      </w:r>
      <w:r w:rsidRPr="006A0D4F">
        <w:t xml:space="preserve"> </w:t>
      </w:r>
      <w:r w:rsidRPr="00EF3170">
        <w:t xml:space="preserve">are subject to the </w:t>
      </w:r>
      <w:r w:rsidR="00856F20" w:rsidRPr="00EF3170">
        <w:t xml:space="preserve">federal gift and estate tax </w:t>
      </w:r>
      <w:r w:rsidRPr="00EF3170">
        <w:t xml:space="preserve">on their </w:t>
      </w:r>
      <w:r w:rsidRPr="00375178">
        <w:rPr>
          <w:b/>
          <w:i/>
        </w:rPr>
        <w:t>entire estates wherever situated</w:t>
      </w:r>
      <w:r w:rsidRPr="00EF3170">
        <w:t>.</w:t>
      </w:r>
      <w:r>
        <w:t xml:space="preserve"> </w:t>
      </w:r>
    </w:p>
    <w:p w14:paraId="14E3F530" w14:textId="77777777" w:rsidR="00D957AE" w:rsidRPr="00196C94" w:rsidRDefault="00D957AE" w:rsidP="00D957AE">
      <w:pPr>
        <w:pStyle w:val="ListParagraph"/>
        <w:numPr>
          <w:ilvl w:val="0"/>
          <w:numId w:val="38"/>
        </w:numPr>
        <w:contextualSpacing w:val="0"/>
      </w:pPr>
      <w:r>
        <w:rPr>
          <w:b/>
        </w:rPr>
        <w:t xml:space="preserve">Nonresident Aliens </w:t>
      </w:r>
      <w:r>
        <w:t xml:space="preserve">are subject to </w:t>
      </w:r>
      <w:r w:rsidR="00856F20">
        <w:t xml:space="preserve">the federal gift and estate tax </w:t>
      </w:r>
      <w:r>
        <w:t>only on their</w:t>
      </w:r>
      <w:r w:rsidRPr="00196C94">
        <w:rPr>
          <w:b/>
        </w:rPr>
        <w:t xml:space="preserve"> </w:t>
      </w:r>
      <w:r w:rsidRPr="00375178">
        <w:rPr>
          <w:b/>
          <w:i/>
        </w:rPr>
        <w:t>U.S. “</w:t>
      </w:r>
      <w:proofErr w:type="spellStart"/>
      <w:r w:rsidRPr="00375178">
        <w:rPr>
          <w:b/>
          <w:i/>
        </w:rPr>
        <w:t>situs</w:t>
      </w:r>
      <w:proofErr w:type="spellEnd"/>
      <w:r w:rsidRPr="00375178">
        <w:rPr>
          <w:b/>
          <w:i/>
        </w:rPr>
        <w:t>” assets</w:t>
      </w:r>
      <w:r w:rsidRPr="00E358B9">
        <w:t>.</w:t>
      </w:r>
      <w:r w:rsidRPr="00196C94">
        <w:rPr>
          <w:b/>
        </w:rPr>
        <w:t xml:space="preserve"> </w:t>
      </w:r>
      <w:r>
        <w:t xml:space="preserve">Unless modified by treaty, this generally includes real and tangible personal property located in the U.S., business assets located in the U.S., and stocks. </w:t>
      </w:r>
    </w:p>
    <w:p w14:paraId="0841DF79" w14:textId="77777777" w:rsidR="00D957AE" w:rsidRPr="00F83244" w:rsidRDefault="00D957AE" w:rsidP="00D957AE">
      <w:pPr>
        <w:pStyle w:val="Heading3"/>
      </w:pPr>
      <w:r>
        <w:t>How is Resident and Nonresident Alien Status Determined</w:t>
      </w:r>
    </w:p>
    <w:p w14:paraId="6226DECD" w14:textId="77777777" w:rsidR="00D957AE" w:rsidRDefault="00D957AE" w:rsidP="00D957AE">
      <w:r>
        <w:t xml:space="preserve">For </w:t>
      </w:r>
      <w:r w:rsidR="00856F20">
        <w:t xml:space="preserve">federal gift and estate tax </w:t>
      </w:r>
      <w:r>
        <w:t>purposes,</w:t>
      </w:r>
      <w:r>
        <w:rPr>
          <w:rStyle w:val="FootnoteReference"/>
        </w:rPr>
        <w:footnoteReference w:id="1"/>
      </w:r>
      <w:r>
        <w:t xml:space="preserve"> non-citizens are either resident aliens or nonresident aliens depending upon their domicile:</w:t>
      </w:r>
    </w:p>
    <w:p w14:paraId="083E4102" w14:textId="77777777" w:rsidR="00D957AE" w:rsidRDefault="00D957AE" w:rsidP="00D957AE">
      <w:pPr>
        <w:pStyle w:val="ListParagraph"/>
        <w:numPr>
          <w:ilvl w:val="0"/>
          <w:numId w:val="37"/>
        </w:numPr>
        <w:contextualSpacing w:val="0"/>
      </w:pPr>
      <w:r w:rsidRPr="00F6254A">
        <w:rPr>
          <w:b/>
        </w:rPr>
        <w:t>Resident Alien</w:t>
      </w:r>
      <w:r>
        <w:rPr>
          <w:b/>
        </w:rPr>
        <w:t xml:space="preserve"> (Non-Citizen Resident)</w:t>
      </w:r>
      <w:r>
        <w:t xml:space="preserve"> – A non-citizen person is considered a resident alien and domiciled in the United States if the person lives in the United States with no present intention of leaving the United States. Various factors, such as statements of intent, length of time in the U.S., </w:t>
      </w:r>
      <w:r w:rsidR="00856F20">
        <w:t>v</w:t>
      </w:r>
      <w:r>
        <w:t xml:space="preserve">isa status, etc.) </w:t>
      </w:r>
      <w:proofErr w:type="gramStart"/>
      <w:r>
        <w:t>are</w:t>
      </w:r>
      <w:proofErr w:type="gramEnd"/>
      <w:r>
        <w:t xml:space="preserve"> used to determine domicile. Resident aliens are generally under the same gift and estate tax rules as U.S. citizens. </w:t>
      </w:r>
    </w:p>
    <w:p w14:paraId="575097BB" w14:textId="77777777" w:rsidR="00D957AE" w:rsidRDefault="00D957AE" w:rsidP="00D957AE">
      <w:pPr>
        <w:pStyle w:val="ListParagraph"/>
        <w:numPr>
          <w:ilvl w:val="0"/>
          <w:numId w:val="37"/>
        </w:numPr>
        <w:contextualSpacing w:val="0"/>
      </w:pPr>
      <w:r>
        <w:rPr>
          <w:b/>
        </w:rPr>
        <w:t xml:space="preserve">Nonresident Alien </w:t>
      </w:r>
      <w:r>
        <w:t>– All other non-citizens who do not meet the test for being a resident alien are classified as nonresident aliens, even though they may be living in the United States for an extended period of time.</w:t>
      </w:r>
    </w:p>
    <w:p w14:paraId="49D9CF01" w14:textId="77777777" w:rsidR="00D957AE" w:rsidRDefault="00D957AE">
      <w:pPr>
        <w:spacing w:before="0" w:after="0"/>
        <w:rPr>
          <w:b/>
          <w:bCs/>
          <w:color w:val="1F4E79"/>
          <w:sz w:val="40"/>
          <w:szCs w:val="40"/>
        </w:rPr>
      </w:pPr>
      <w:r>
        <w:br w:type="page"/>
      </w:r>
    </w:p>
    <w:p w14:paraId="43E72CAF" w14:textId="77777777" w:rsidR="00742063" w:rsidRDefault="00742063" w:rsidP="00D914D1">
      <w:pPr>
        <w:pStyle w:val="Heading2"/>
      </w:pPr>
      <w:r w:rsidRPr="004C2FF6">
        <w:lastRenderedPageBreak/>
        <w:t xml:space="preserve">The </w:t>
      </w:r>
      <w:r w:rsidR="00F61921">
        <w:t xml:space="preserve">Gift and Estate </w:t>
      </w:r>
      <w:r w:rsidRPr="004C2FF6">
        <w:t>Unified Rate Schedule</w:t>
      </w:r>
    </w:p>
    <w:p w14:paraId="16AA0ED1" w14:textId="77777777" w:rsidR="00F61921" w:rsidRDefault="00F61921" w:rsidP="00F61921">
      <w:pPr>
        <w:pStyle w:val="BodyText"/>
      </w:pPr>
      <w:r>
        <w:t xml:space="preserve">Having done a brief overview of the history of transfer taxes, we now turn our attention to the current status </w:t>
      </w:r>
      <w:r w:rsidR="00856F20">
        <w:t>of federal gift and estate taxes</w:t>
      </w:r>
      <w:r>
        <w:t xml:space="preserve">. We first focus on those elements that are common to </w:t>
      </w:r>
      <w:r w:rsidR="00856F20">
        <w:t>both gift and estate taxes</w:t>
      </w:r>
      <w:r>
        <w:t>.</w:t>
      </w:r>
    </w:p>
    <w:p w14:paraId="15072838" w14:textId="77777777" w:rsidR="00F61921" w:rsidRDefault="00F61921" w:rsidP="00F61921">
      <w:pPr>
        <w:pStyle w:val="BodyText"/>
      </w:pPr>
      <w:r w:rsidRPr="00C74A75">
        <w:t xml:space="preserve">Listed below is the </w:t>
      </w:r>
      <w:r>
        <w:t xml:space="preserve">current </w:t>
      </w:r>
      <w:r w:rsidRPr="00C74A75">
        <w:t>Federal Unified Rate Schedule that is used in calculating the transfer tax on both lifetime gifts and estates. Under current law, this schedule remains constant for future years.</w:t>
      </w:r>
    </w:p>
    <w:p w14:paraId="4E9E99F9" w14:textId="77777777" w:rsidR="00F61921" w:rsidRPr="00160EF1" w:rsidRDefault="00F61921" w:rsidP="00160EF1">
      <w:pPr>
        <w:rPr>
          <w:b/>
          <w:color w:val="FF0000"/>
        </w:rPr>
      </w:pPr>
      <w:r w:rsidRPr="00160EF1">
        <w:rPr>
          <w:b/>
          <w:color w:val="FF0000"/>
        </w:rPr>
        <w:t xml:space="preserve">Click the highlighted row to learn more. </w:t>
      </w:r>
    </w:p>
    <w:p w14:paraId="3585D70D" w14:textId="77777777" w:rsidR="00F61921" w:rsidRPr="00C81B0E" w:rsidRDefault="00F61921" w:rsidP="00F61921">
      <w:pPr>
        <w:spacing w:before="100" w:beforeAutospacing="1"/>
        <w:jc w:val="center"/>
        <w:rPr>
          <w:b/>
        </w:rPr>
      </w:pPr>
      <w:r>
        <w:rPr>
          <w:b/>
        </w:rPr>
        <w:t>CURRENT UNIFIED GIFT &amp; ESTATE RATE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61921" w:rsidRPr="00D809E1" w14:paraId="3E74EF5D" w14:textId="77777777" w:rsidTr="00F61921">
        <w:tc>
          <w:tcPr>
            <w:tcW w:w="2337" w:type="dxa"/>
            <w:shd w:val="clear" w:color="auto" w:fill="2B4A79"/>
          </w:tcPr>
          <w:p w14:paraId="6A97CF48" w14:textId="77777777" w:rsidR="00F61921" w:rsidRPr="00D809E1" w:rsidRDefault="00F61921" w:rsidP="00F61921">
            <w:pPr>
              <w:spacing w:before="60"/>
              <w:jc w:val="center"/>
              <w:rPr>
                <w:rFonts w:ascii="Arial" w:hAnsi="Arial"/>
                <w:color w:val="FFFFFF" w:themeColor="background1"/>
              </w:rPr>
            </w:pPr>
            <w:r w:rsidRPr="00D809E1">
              <w:rPr>
                <w:rFonts w:ascii="Arial" w:hAnsi="Arial"/>
                <w:color w:val="FFFFFF" w:themeColor="background1"/>
              </w:rPr>
              <w:t>Column A</w:t>
            </w:r>
          </w:p>
          <w:p w14:paraId="5CF7FAE2" w14:textId="77777777" w:rsidR="00F61921" w:rsidRPr="00D809E1" w:rsidRDefault="00F61921" w:rsidP="00F61921">
            <w:pPr>
              <w:spacing w:before="60" w:after="60"/>
              <w:jc w:val="center"/>
              <w:rPr>
                <w:rFonts w:ascii="Arial" w:hAnsi="Arial"/>
                <w:color w:val="FFFFFF" w:themeColor="background1"/>
              </w:rPr>
            </w:pPr>
            <w:r w:rsidRPr="00D809E1">
              <w:rPr>
                <w:rFonts w:ascii="Arial" w:hAnsi="Arial"/>
                <w:color w:val="FFFFFF" w:themeColor="background1"/>
              </w:rPr>
              <w:t>Taxable amount over</w:t>
            </w:r>
          </w:p>
        </w:tc>
        <w:tc>
          <w:tcPr>
            <w:tcW w:w="2337" w:type="dxa"/>
            <w:shd w:val="clear" w:color="auto" w:fill="2B4A79"/>
          </w:tcPr>
          <w:p w14:paraId="3060A85D" w14:textId="77777777" w:rsidR="00F61921" w:rsidRPr="00D809E1" w:rsidRDefault="00F61921" w:rsidP="00F61921">
            <w:pPr>
              <w:spacing w:before="60"/>
              <w:jc w:val="center"/>
              <w:rPr>
                <w:rFonts w:ascii="Arial" w:hAnsi="Arial"/>
                <w:color w:val="FFFFFF" w:themeColor="background1"/>
              </w:rPr>
            </w:pPr>
            <w:r w:rsidRPr="00D809E1">
              <w:rPr>
                <w:rFonts w:ascii="Arial" w:hAnsi="Arial"/>
                <w:color w:val="FFFFFF" w:themeColor="background1"/>
              </w:rPr>
              <w:t>Column B</w:t>
            </w:r>
          </w:p>
          <w:p w14:paraId="0727BFB8" w14:textId="77777777" w:rsidR="00F61921" w:rsidRPr="00D809E1" w:rsidRDefault="00F61921" w:rsidP="00F61921">
            <w:pPr>
              <w:spacing w:before="60" w:after="60"/>
              <w:jc w:val="center"/>
              <w:rPr>
                <w:rFonts w:ascii="Arial" w:hAnsi="Arial"/>
                <w:color w:val="FFFFFF" w:themeColor="background1"/>
              </w:rPr>
            </w:pPr>
            <w:r w:rsidRPr="00D809E1">
              <w:rPr>
                <w:rFonts w:ascii="Arial" w:hAnsi="Arial"/>
                <w:color w:val="FFFFFF" w:themeColor="background1"/>
              </w:rPr>
              <w:t>Taxable amount not over</w:t>
            </w:r>
          </w:p>
        </w:tc>
        <w:tc>
          <w:tcPr>
            <w:tcW w:w="2338" w:type="dxa"/>
            <w:shd w:val="clear" w:color="auto" w:fill="2B4A79"/>
          </w:tcPr>
          <w:p w14:paraId="1AF2B7B5" w14:textId="77777777" w:rsidR="00F61921" w:rsidRPr="00D809E1" w:rsidRDefault="00F61921" w:rsidP="00F61921">
            <w:pPr>
              <w:spacing w:before="60"/>
              <w:jc w:val="center"/>
              <w:rPr>
                <w:rFonts w:ascii="Arial" w:hAnsi="Arial"/>
                <w:color w:val="FFFFFF" w:themeColor="background1"/>
              </w:rPr>
            </w:pPr>
            <w:r w:rsidRPr="00D809E1">
              <w:rPr>
                <w:rFonts w:ascii="Arial" w:hAnsi="Arial"/>
                <w:color w:val="FFFFFF" w:themeColor="background1"/>
              </w:rPr>
              <w:t>Column C</w:t>
            </w:r>
          </w:p>
          <w:p w14:paraId="6C7E67A1" w14:textId="77777777" w:rsidR="00F61921" w:rsidRPr="00D809E1" w:rsidRDefault="00F61921" w:rsidP="00F61921">
            <w:pPr>
              <w:spacing w:before="60" w:after="60"/>
              <w:jc w:val="center"/>
              <w:rPr>
                <w:rFonts w:ascii="Arial" w:hAnsi="Arial"/>
                <w:color w:val="FFFFFF" w:themeColor="background1"/>
              </w:rPr>
            </w:pPr>
            <w:r w:rsidRPr="00D809E1">
              <w:rPr>
                <w:rFonts w:ascii="Arial" w:hAnsi="Arial"/>
                <w:color w:val="FFFFFF" w:themeColor="background1"/>
              </w:rPr>
              <w:t>Tax on amount in Column A</w:t>
            </w:r>
          </w:p>
        </w:tc>
        <w:tc>
          <w:tcPr>
            <w:tcW w:w="2338" w:type="dxa"/>
            <w:shd w:val="clear" w:color="auto" w:fill="2B4A79"/>
          </w:tcPr>
          <w:p w14:paraId="485A7344" w14:textId="77777777" w:rsidR="00F61921" w:rsidRPr="00D809E1" w:rsidRDefault="00F61921" w:rsidP="00F61921">
            <w:pPr>
              <w:spacing w:before="60"/>
              <w:jc w:val="center"/>
              <w:rPr>
                <w:rFonts w:ascii="Arial" w:hAnsi="Arial"/>
                <w:color w:val="FFFFFF" w:themeColor="background1"/>
              </w:rPr>
            </w:pPr>
            <w:r w:rsidRPr="00D809E1">
              <w:rPr>
                <w:rFonts w:ascii="Arial" w:hAnsi="Arial"/>
                <w:color w:val="FFFFFF" w:themeColor="background1"/>
              </w:rPr>
              <w:t>Column D</w:t>
            </w:r>
          </w:p>
          <w:p w14:paraId="5104C135" w14:textId="77777777" w:rsidR="00F61921" w:rsidRPr="00D809E1" w:rsidRDefault="00F61921" w:rsidP="00F61921">
            <w:pPr>
              <w:spacing w:before="60" w:after="60"/>
              <w:jc w:val="center"/>
              <w:rPr>
                <w:rFonts w:ascii="Arial" w:hAnsi="Arial"/>
                <w:color w:val="FFFFFF" w:themeColor="background1"/>
              </w:rPr>
            </w:pPr>
            <w:r w:rsidRPr="00D809E1">
              <w:rPr>
                <w:rFonts w:ascii="Arial" w:hAnsi="Arial"/>
                <w:color w:val="FFFFFF" w:themeColor="background1"/>
              </w:rPr>
              <w:t>Rate of tax on excess over amount in Column A</w:t>
            </w:r>
          </w:p>
        </w:tc>
      </w:tr>
      <w:tr w:rsidR="00F61921" w:rsidRPr="00B6528E" w14:paraId="5117CD26" w14:textId="77777777" w:rsidTr="00F61921">
        <w:tc>
          <w:tcPr>
            <w:tcW w:w="2337" w:type="dxa"/>
            <w:shd w:val="clear" w:color="auto" w:fill="F3F1F1"/>
          </w:tcPr>
          <w:p w14:paraId="270F85D9" w14:textId="77777777" w:rsidR="00F61921" w:rsidRPr="00D809E1" w:rsidRDefault="00F61921" w:rsidP="00F61921">
            <w:pPr>
              <w:spacing w:before="60" w:after="60"/>
              <w:jc w:val="center"/>
            </w:pPr>
            <w:r w:rsidRPr="00D809E1">
              <w:t>$0</w:t>
            </w:r>
          </w:p>
        </w:tc>
        <w:tc>
          <w:tcPr>
            <w:tcW w:w="2337" w:type="dxa"/>
            <w:shd w:val="clear" w:color="auto" w:fill="F3F1F1"/>
          </w:tcPr>
          <w:p w14:paraId="198E9F1D" w14:textId="77777777" w:rsidR="00F61921" w:rsidRPr="00D809E1" w:rsidRDefault="00F61921" w:rsidP="00F61921">
            <w:pPr>
              <w:spacing w:before="60" w:after="60"/>
              <w:jc w:val="center"/>
            </w:pPr>
            <w:r w:rsidRPr="00D809E1">
              <w:t>$10,000</w:t>
            </w:r>
          </w:p>
        </w:tc>
        <w:tc>
          <w:tcPr>
            <w:tcW w:w="2338" w:type="dxa"/>
            <w:shd w:val="clear" w:color="auto" w:fill="F3F1F1"/>
          </w:tcPr>
          <w:p w14:paraId="0F7AE7BE" w14:textId="77777777" w:rsidR="00F61921" w:rsidRPr="00D809E1" w:rsidRDefault="00F61921" w:rsidP="00F61921">
            <w:pPr>
              <w:spacing w:before="60" w:after="60"/>
              <w:jc w:val="center"/>
            </w:pPr>
            <w:r w:rsidRPr="00D809E1">
              <w:t>$0</w:t>
            </w:r>
          </w:p>
        </w:tc>
        <w:tc>
          <w:tcPr>
            <w:tcW w:w="2338" w:type="dxa"/>
            <w:shd w:val="clear" w:color="auto" w:fill="F3F1F1"/>
          </w:tcPr>
          <w:p w14:paraId="79190D15" w14:textId="77777777" w:rsidR="00F61921" w:rsidRPr="00D809E1" w:rsidRDefault="00F61921" w:rsidP="00F61921">
            <w:pPr>
              <w:spacing w:before="60" w:after="60"/>
              <w:jc w:val="center"/>
            </w:pPr>
            <w:r w:rsidRPr="00D809E1">
              <w:t>18%</w:t>
            </w:r>
          </w:p>
        </w:tc>
      </w:tr>
      <w:tr w:rsidR="00F61921" w:rsidRPr="00B6528E" w14:paraId="4A3AD5A5" w14:textId="77777777" w:rsidTr="00F61921">
        <w:tc>
          <w:tcPr>
            <w:tcW w:w="2337" w:type="dxa"/>
            <w:shd w:val="clear" w:color="auto" w:fill="E4E5E3"/>
          </w:tcPr>
          <w:p w14:paraId="192601A6" w14:textId="77777777" w:rsidR="00F61921" w:rsidRPr="00D809E1" w:rsidRDefault="00F61921" w:rsidP="00F61921">
            <w:pPr>
              <w:spacing w:before="60" w:after="60"/>
              <w:jc w:val="center"/>
            </w:pPr>
            <w:r w:rsidRPr="00D809E1">
              <w:t>10,000</w:t>
            </w:r>
          </w:p>
        </w:tc>
        <w:tc>
          <w:tcPr>
            <w:tcW w:w="2337" w:type="dxa"/>
            <w:shd w:val="clear" w:color="auto" w:fill="E4E5E3"/>
          </w:tcPr>
          <w:p w14:paraId="621A04C9" w14:textId="77777777" w:rsidR="00F61921" w:rsidRPr="00D809E1" w:rsidRDefault="00F61921" w:rsidP="00F61921">
            <w:pPr>
              <w:spacing w:before="60" w:after="60"/>
              <w:jc w:val="center"/>
            </w:pPr>
            <w:r w:rsidRPr="00D809E1">
              <w:t>20,000</w:t>
            </w:r>
          </w:p>
        </w:tc>
        <w:tc>
          <w:tcPr>
            <w:tcW w:w="2338" w:type="dxa"/>
            <w:shd w:val="clear" w:color="auto" w:fill="E4E5E3"/>
          </w:tcPr>
          <w:p w14:paraId="1B3677CD" w14:textId="77777777" w:rsidR="00F61921" w:rsidRPr="00D809E1" w:rsidRDefault="00F61921" w:rsidP="00F61921">
            <w:pPr>
              <w:spacing w:before="60" w:after="60"/>
              <w:jc w:val="center"/>
            </w:pPr>
            <w:r w:rsidRPr="00D809E1">
              <w:t>1,800</w:t>
            </w:r>
          </w:p>
        </w:tc>
        <w:tc>
          <w:tcPr>
            <w:tcW w:w="2338" w:type="dxa"/>
            <w:shd w:val="clear" w:color="auto" w:fill="E4E5E3"/>
          </w:tcPr>
          <w:p w14:paraId="139EB2B7" w14:textId="77777777" w:rsidR="00F61921" w:rsidRPr="00D809E1" w:rsidRDefault="00F61921" w:rsidP="00F61921">
            <w:pPr>
              <w:spacing w:before="60" w:after="60"/>
              <w:jc w:val="center"/>
            </w:pPr>
            <w:r w:rsidRPr="00D809E1">
              <w:t>20%</w:t>
            </w:r>
          </w:p>
        </w:tc>
      </w:tr>
      <w:tr w:rsidR="00F61921" w:rsidRPr="00B6528E" w14:paraId="59EF9E39" w14:textId="77777777" w:rsidTr="00F61921">
        <w:tc>
          <w:tcPr>
            <w:tcW w:w="2337" w:type="dxa"/>
            <w:shd w:val="clear" w:color="auto" w:fill="F3F1F1"/>
          </w:tcPr>
          <w:p w14:paraId="4E22F980" w14:textId="77777777" w:rsidR="00F61921" w:rsidRPr="00D809E1" w:rsidRDefault="00F61921" w:rsidP="00F61921">
            <w:pPr>
              <w:spacing w:before="60" w:after="60"/>
              <w:jc w:val="center"/>
            </w:pPr>
            <w:r w:rsidRPr="00D809E1">
              <w:t>20,000</w:t>
            </w:r>
          </w:p>
        </w:tc>
        <w:tc>
          <w:tcPr>
            <w:tcW w:w="2337" w:type="dxa"/>
            <w:shd w:val="clear" w:color="auto" w:fill="F3F1F1"/>
          </w:tcPr>
          <w:p w14:paraId="2ECA862F" w14:textId="77777777" w:rsidR="00F61921" w:rsidRPr="00D809E1" w:rsidRDefault="00F61921" w:rsidP="00F61921">
            <w:pPr>
              <w:spacing w:before="60" w:after="60"/>
              <w:jc w:val="center"/>
            </w:pPr>
            <w:r w:rsidRPr="00D809E1">
              <w:t>40,000</w:t>
            </w:r>
          </w:p>
        </w:tc>
        <w:tc>
          <w:tcPr>
            <w:tcW w:w="2338" w:type="dxa"/>
            <w:shd w:val="clear" w:color="auto" w:fill="F3F1F1"/>
          </w:tcPr>
          <w:p w14:paraId="2A8A7505" w14:textId="77777777" w:rsidR="00F61921" w:rsidRPr="00D809E1" w:rsidRDefault="00F61921" w:rsidP="00F61921">
            <w:pPr>
              <w:spacing w:before="60" w:after="60"/>
              <w:jc w:val="center"/>
            </w:pPr>
            <w:r w:rsidRPr="00D809E1">
              <w:t>3,800</w:t>
            </w:r>
          </w:p>
        </w:tc>
        <w:tc>
          <w:tcPr>
            <w:tcW w:w="2338" w:type="dxa"/>
            <w:shd w:val="clear" w:color="auto" w:fill="F3F1F1"/>
          </w:tcPr>
          <w:p w14:paraId="1CB80048" w14:textId="77777777" w:rsidR="00F61921" w:rsidRPr="00D809E1" w:rsidRDefault="00F61921" w:rsidP="00F61921">
            <w:pPr>
              <w:spacing w:before="60" w:after="60"/>
              <w:jc w:val="center"/>
            </w:pPr>
            <w:r w:rsidRPr="00D809E1">
              <w:t>22%</w:t>
            </w:r>
          </w:p>
        </w:tc>
      </w:tr>
      <w:tr w:rsidR="00F61921" w:rsidRPr="00B6528E" w14:paraId="0C35EC70" w14:textId="77777777" w:rsidTr="00160EF1">
        <w:tc>
          <w:tcPr>
            <w:tcW w:w="2337" w:type="dxa"/>
            <w:shd w:val="clear" w:color="auto" w:fill="E4E5E3"/>
          </w:tcPr>
          <w:p w14:paraId="5895E944" w14:textId="77777777" w:rsidR="00F61921" w:rsidRPr="00D809E1" w:rsidRDefault="00F61921" w:rsidP="00F61921">
            <w:pPr>
              <w:spacing w:before="60" w:after="60"/>
              <w:jc w:val="center"/>
            </w:pPr>
            <w:r w:rsidRPr="00D809E1">
              <w:t>40,000</w:t>
            </w:r>
          </w:p>
        </w:tc>
        <w:tc>
          <w:tcPr>
            <w:tcW w:w="2337" w:type="dxa"/>
            <w:shd w:val="clear" w:color="auto" w:fill="E4E5E3"/>
          </w:tcPr>
          <w:p w14:paraId="0A22B983" w14:textId="77777777" w:rsidR="00F61921" w:rsidRPr="00D809E1" w:rsidRDefault="00F61921" w:rsidP="00F61921">
            <w:pPr>
              <w:spacing w:before="60" w:after="60"/>
              <w:jc w:val="center"/>
            </w:pPr>
            <w:r w:rsidRPr="00D809E1">
              <w:t>60,000</w:t>
            </w:r>
          </w:p>
        </w:tc>
        <w:tc>
          <w:tcPr>
            <w:tcW w:w="2338" w:type="dxa"/>
            <w:shd w:val="clear" w:color="auto" w:fill="E4E5E3"/>
          </w:tcPr>
          <w:p w14:paraId="713387F7" w14:textId="77777777" w:rsidR="00F61921" w:rsidRPr="00D809E1" w:rsidRDefault="00F61921" w:rsidP="00F61921">
            <w:pPr>
              <w:spacing w:before="60" w:after="60"/>
              <w:jc w:val="center"/>
            </w:pPr>
            <w:r w:rsidRPr="00D809E1">
              <w:t>8,200</w:t>
            </w:r>
          </w:p>
        </w:tc>
        <w:tc>
          <w:tcPr>
            <w:tcW w:w="2338" w:type="dxa"/>
            <w:shd w:val="clear" w:color="auto" w:fill="E4E5E3"/>
          </w:tcPr>
          <w:p w14:paraId="60F40378" w14:textId="77777777" w:rsidR="00F61921" w:rsidRPr="00D809E1" w:rsidRDefault="00F61921" w:rsidP="00F61921">
            <w:pPr>
              <w:spacing w:before="60" w:after="60"/>
              <w:jc w:val="center"/>
            </w:pPr>
            <w:r w:rsidRPr="00D809E1">
              <w:t>24%</w:t>
            </w:r>
          </w:p>
        </w:tc>
      </w:tr>
      <w:tr w:rsidR="00F61921" w:rsidRPr="00B6528E" w14:paraId="275B5BC5" w14:textId="77777777" w:rsidTr="00160EF1">
        <w:trPr>
          <w:trHeight w:val="387"/>
        </w:trPr>
        <w:tc>
          <w:tcPr>
            <w:tcW w:w="2337" w:type="dxa"/>
            <w:tcBorders>
              <w:top w:val="nil"/>
              <w:left w:val="nil"/>
              <w:bottom w:val="nil"/>
              <w:right w:val="nil"/>
            </w:tcBorders>
            <w:shd w:val="clear" w:color="auto" w:fill="F3F1F1"/>
          </w:tcPr>
          <w:p w14:paraId="0BBC3000" w14:textId="77777777" w:rsidR="00F61921" w:rsidRPr="00D809E1" w:rsidRDefault="00F61921" w:rsidP="00F61921">
            <w:pPr>
              <w:spacing w:before="60" w:after="60"/>
              <w:jc w:val="center"/>
            </w:pPr>
            <w:r w:rsidRPr="00D809E1">
              <w:t>60,000</w:t>
            </w:r>
          </w:p>
        </w:tc>
        <w:tc>
          <w:tcPr>
            <w:tcW w:w="2337" w:type="dxa"/>
            <w:tcBorders>
              <w:top w:val="nil"/>
              <w:left w:val="nil"/>
              <w:bottom w:val="nil"/>
              <w:right w:val="nil"/>
            </w:tcBorders>
            <w:shd w:val="clear" w:color="auto" w:fill="F3F1F1"/>
          </w:tcPr>
          <w:p w14:paraId="4D8A2307" w14:textId="77777777" w:rsidR="00F61921" w:rsidRPr="00D809E1" w:rsidRDefault="00F61921" w:rsidP="00F61921">
            <w:pPr>
              <w:spacing w:before="60" w:after="60"/>
              <w:jc w:val="center"/>
            </w:pPr>
            <w:r w:rsidRPr="00D809E1">
              <w:t>80,000</w:t>
            </w:r>
          </w:p>
        </w:tc>
        <w:tc>
          <w:tcPr>
            <w:tcW w:w="2338" w:type="dxa"/>
            <w:tcBorders>
              <w:top w:val="nil"/>
              <w:left w:val="nil"/>
              <w:bottom w:val="nil"/>
              <w:right w:val="nil"/>
            </w:tcBorders>
            <w:shd w:val="clear" w:color="auto" w:fill="F3F1F1"/>
          </w:tcPr>
          <w:p w14:paraId="476E91C5" w14:textId="77777777" w:rsidR="00F61921" w:rsidRPr="00D809E1" w:rsidRDefault="00F61921" w:rsidP="00F61921">
            <w:pPr>
              <w:spacing w:before="60" w:after="60"/>
              <w:jc w:val="center"/>
            </w:pPr>
            <w:r w:rsidRPr="00D809E1">
              <w:t>13,000</w:t>
            </w:r>
          </w:p>
        </w:tc>
        <w:tc>
          <w:tcPr>
            <w:tcW w:w="2338" w:type="dxa"/>
            <w:tcBorders>
              <w:top w:val="nil"/>
              <w:left w:val="nil"/>
              <w:bottom w:val="nil"/>
              <w:right w:val="nil"/>
            </w:tcBorders>
            <w:shd w:val="clear" w:color="auto" w:fill="F3F1F1"/>
          </w:tcPr>
          <w:p w14:paraId="77DAFE51" w14:textId="77777777" w:rsidR="00F61921" w:rsidRPr="00D809E1" w:rsidRDefault="00F61921" w:rsidP="00F61921">
            <w:pPr>
              <w:spacing w:before="60" w:after="60"/>
              <w:jc w:val="center"/>
            </w:pPr>
            <w:r w:rsidRPr="00D809E1">
              <w:t>26%</w:t>
            </w:r>
          </w:p>
        </w:tc>
      </w:tr>
      <w:tr w:rsidR="00F61921" w:rsidRPr="00B6528E" w14:paraId="32E803C1" w14:textId="77777777" w:rsidTr="00160EF1">
        <w:tc>
          <w:tcPr>
            <w:tcW w:w="2337" w:type="dxa"/>
            <w:tcBorders>
              <w:top w:val="nil"/>
              <w:left w:val="nil"/>
              <w:bottom w:val="nil"/>
              <w:right w:val="nil"/>
            </w:tcBorders>
            <w:shd w:val="clear" w:color="auto" w:fill="E4E5E3"/>
          </w:tcPr>
          <w:p w14:paraId="76DC4F3B" w14:textId="77777777" w:rsidR="00F61921" w:rsidRPr="00D809E1" w:rsidRDefault="00F61921" w:rsidP="00F61921">
            <w:pPr>
              <w:spacing w:before="60" w:after="60"/>
              <w:jc w:val="center"/>
            </w:pPr>
            <w:r w:rsidRPr="00D809E1">
              <w:t>80,000</w:t>
            </w:r>
          </w:p>
        </w:tc>
        <w:tc>
          <w:tcPr>
            <w:tcW w:w="2337" w:type="dxa"/>
            <w:tcBorders>
              <w:top w:val="nil"/>
              <w:left w:val="nil"/>
              <w:bottom w:val="nil"/>
              <w:right w:val="nil"/>
            </w:tcBorders>
            <w:shd w:val="clear" w:color="auto" w:fill="E4E5E3"/>
          </w:tcPr>
          <w:p w14:paraId="7CD89340" w14:textId="77777777" w:rsidR="00F61921" w:rsidRPr="00D809E1" w:rsidRDefault="00F61921" w:rsidP="00F61921">
            <w:pPr>
              <w:spacing w:before="60" w:after="60"/>
              <w:jc w:val="center"/>
            </w:pPr>
            <w:r w:rsidRPr="00D809E1">
              <w:t>100,000</w:t>
            </w:r>
          </w:p>
        </w:tc>
        <w:tc>
          <w:tcPr>
            <w:tcW w:w="2338" w:type="dxa"/>
            <w:tcBorders>
              <w:top w:val="nil"/>
              <w:left w:val="nil"/>
              <w:bottom w:val="nil"/>
              <w:right w:val="nil"/>
            </w:tcBorders>
            <w:shd w:val="clear" w:color="auto" w:fill="E4E5E3"/>
          </w:tcPr>
          <w:p w14:paraId="1B95F22B" w14:textId="77777777" w:rsidR="00F61921" w:rsidRPr="00D809E1" w:rsidRDefault="00F61921" w:rsidP="00F61921">
            <w:pPr>
              <w:spacing w:before="60" w:after="60"/>
              <w:jc w:val="center"/>
            </w:pPr>
            <w:r w:rsidRPr="00D809E1">
              <w:t>18,200</w:t>
            </w:r>
          </w:p>
        </w:tc>
        <w:tc>
          <w:tcPr>
            <w:tcW w:w="2338" w:type="dxa"/>
            <w:tcBorders>
              <w:top w:val="nil"/>
              <w:left w:val="nil"/>
              <w:bottom w:val="nil"/>
              <w:right w:val="nil"/>
            </w:tcBorders>
            <w:shd w:val="clear" w:color="auto" w:fill="E4E5E3"/>
          </w:tcPr>
          <w:p w14:paraId="62780F18" w14:textId="77777777" w:rsidR="00F61921" w:rsidRPr="00D809E1" w:rsidRDefault="00F61921" w:rsidP="00F61921">
            <w:pPr>
              <w:spacing w:before="60" w:after="60"/>
              <w:jc w:val="center"/>
            </w:pPr>
            <w:r w:rsidRPr="00D809E1">
              <w:t>28%</w:t>
            </w:r>
          </w:p>
        </w:tc>
      </w:tr>
      <w:tr w:rsidR="00F61921" w:rsidRPr="00B6528E" w14:paraId="19CDD1B1" w14:textId="77777777" w:rsidTr="00160EF1">
        <w:tc>
          <w:tcPr>
            <w:tcW w:w="2337" w:type="dxa"/>
            <w:tcBorders>
              <w:top w:val="nil"/>
              <w:left w:val="nil"/>
              <w:bottom w:val="nil"/>
              <w:right w:val="nil"/>
            </w:tcBorders>
            <w:shd w:val="clear" w:color="auto" w:fill="FFD579"/>
          </w:tcPr>
          <w:p w14:paraId="09E4DC82" w14:textId="77777777" w:rsidR="00F61921" w:rsidRPr="00D809E1" w:rsidRDefault="00F61921" w:rsidP="00F61921">
            <w:pPr>
              <w:spacing w:before="60" w:after="60"/>
              <w:jc w:val="center"/>
            </w:pPr>
            <w:r w:rsidRPr="00D809E1">
              <w:t>100,000</w:t>
            </w:r>
          </w:p>
        </w:tc>
        <w:tc>
          <w:tcPr>
            <w:tcW w:w="2337" w:type="dxa"/>
            <w:tcBorders>
              <w:top w:val="nil"/>
              <w:left w:val="nil"/>
              <w:bottom w:val="nil"/>
              <w:right w:val="nil"/>
            </w:tcBorders>
            <w:shd w:val="clear" w:color="auto" w:fill="FFD579"/>
          </w:tcPr>
          <w:p w14:paraId="2BEC0F17" w14:textId="77777777" w:rsidR="00F61921" w:rsidRPr="00D809E1" w:rsidRDefault="00F61921" w:rsidP="00F61921">
            <w:pPr>
              <w:spacing w:before="60" w:after="60"/>
              <w:jc w:val="center"/>
            </w:pPr>
            <w:r w:rsidRPr="00D809E1">
              <w:t>150,000</w:t>
            </w:r>
          </w:p>
        </w:tc>
        <w:tc>
          <w:tcPr>
            <w:tcW w:w="2338" w:type="dxa"/>
            <w:tcBorders>
              <w:top w:val="nil"/>
              <w:left w:val="nil"/>
              <w:bottom w:val="nil"/>
              <w:right w:val="nil"/>
            </w:tcBorders>
            <w:shd w:val="clear" w:color="auto" w:fill="FFD579"/>
          </w:tcPr>
          <w:p w14:paraId="1A0BB11C" w14:textId="77777777" w:rsidR="00F61921" w:rsidRPr="00D809E1" w:rsidRDefault="00F61921" w:rsidP="00F61921">
            <w:pPr>
              <w:spacing w:before="60" w:after="60"/>
              <w:jc w:val="center"/>
            </w:pPr>
            <w:r w:rsidRPr="00D809E1">
              <w:t>23,800</w:t>
            </w:r>
          </w:p>
        </w:tc>
        <w:tc>
          <w:tcPr>
            <w:tcW w:w="2338" w:type="dxa"/>
            <w:tcBorders>
              <w:top w:val="nil"/>
              <w:left w:val="nil"/>
              <w:bottom w:val="nil"/>
              <w:right w:val="nil"/>
            </w:tcBorders>
            <w:shd w:val="clear" w:color="auto" w:fill="FFD579"/>
          </w:tcPr>
          <w:p w14:paraId="4D964B26" w14:textId="77777777" w:rsidR="00F61921" w:rsidRPr="00D809E1" w:rsidRDefault="00F61921" w:rsidP="00F61921">
            <w:pPr>
              <w:spacing w:before="60" w:after="60"/>
              <w:jc w:val="center"/>
            </w:pPr>
            <w:r w:rsidRPr="00D809E1">
              <w:t>30%</w:t>
            </w:r>
          </w:p>
        </w:tc>
      </w:tr>
      <w:tr w:rsidR="00F61921" w:rsidRPr="00B6528E" w14:paraId="186A0CB5" w14:textId="77777777" w:rsidTr="00160EF1">
        <w:tc>
          <w:tcPr>
            <w:tcW w:w="2337" w:type="dxa"/>
            <w:tcBorders>
              <w:top w:val="nil"/>
              <w:left w:val="nil"/>
              <w:bottom w:val="nil"/>
              <w:right w:val="nil"/>
            </w:tcBorders>
            <w:shd w:val="clear" w:color="auto" w:fill="E4E6E3"/>
          </w:tcPr>
          <w:p w14:paraId="07F22176" w14:textId="77777777" w:rsidR="00F61921" w:rsidRPr="00D809E1" w:rsidRDefault="00F61921" w:rsidP="00F61921">
            <w:pPr>
              <w:spacing w:before="60" w:after="60"/>
              <w:jc w:val="center"/>
            </w:pPr>
            <w:r w:rsidRPr="00D809E1">
              <w:t>150,000</w:t>
            </w:r>
          </w:p>
        </w:tc>
        <w:tc>
          <w:tcPr>
            <w:tcW w:w="2337" w:type="dxa"/>
            <w:tcBorders>
              <w:top w:val="nil"/>
              <w:left w:val="nil"/>
              <w:bottom w:val="nil"/>
              <w:right w:val="nil"/>
            </w:tcBorders>
            <w:shd w:val="clear" w:color="auto" w:fill="E4E6E3"/>
          </w:tcPr>
          <w:p w14:paraId="6EFA5B25" w14:textId="77777777" w:rsidR="00F61921" w:rsidRPr="00D809E1" w:rsidRDefault="00F61921" w:rsidP="00F61921">
            <w:pPr>
              <w:spacing w:before="60" w:after="60"/>
              <w:jc w:val="center"/>
            </w:pPr>
            <w:r w:rsidRPr="00D809E1">
              <w:t>250,000</w:t>
            </w:r>
          </w:p>
        </w:tc>
        <w:tc>
          <w:tcPr>
            <w:tcW w:w="2338" w:type="dxa"/>
            <w:tcBorders>
              <w:top w:val="nil"/>
              <w:left w:val="nil"/>
              <w:bottom w:val="nil"/>
              <w:right w:val="nil"/>
            </w:tcBorders>
            <w:shd w:val="clear" w:color="auto" w:fill="E4E6E3"/>
          </w:tcPr>
          <w:p w14:paraId="15878BE3" w14:textId="77777777" w:rsidR="00F61921" w:rsidRPr="00D809E1" w:rsidRDefault="00F61921" w:rsidP="00F61921">
            <w:pPr>
              <w:spacing w:before="60" w:after="60"/>
              <w:jc w:val="center"/>
            </w:pPr>
            <w:r w:rsidRPr="00D809E1">
              <w:t>38,800</w:t>
            </w:r>
          </w:p>
        </w:tc>
        <w:tc>
          <w:tcPr>
            <w:tcW w:w="2338" w:type="dxa"/>
            <w:tcBorders>
              <w:top w:val="nil"/>
              <w:left w:val="nil"/>
              <w:bottom w:val="nil"/>
              <w:right w:val="nil"/>
            </w:tcBorders>
            <w:shd w:val="clear" w:color="auto" w:fill="E4E6E3"/>
          </w:tcPr>
          <w:p w14:paraId="0C0E373E" w14:textId="77777777" w:rsidR="00F61921" w:rsidRPr="00D809E1" w:rsidRDefault="00F61921" w:rsidP="00F61921">
            <w:pPr>
              <w:spacing w:before="60" w:after="60"/>
              <w:jc w:val="center"/>
            </w:pPr>
            <w:r w:rsidRPr="00D809E1">
              <w:t>32%</w:t>
            </w:r>
          </w:p>
        </w:tc>
      </w:tr>
      <w:tr w:rsidR="00F61921" w:rsidRPr="00B6528E" w14:paraId="69623665" w14:textId="77777777" w:rsidTr="00160EF1">
        <w:tc>
          <w:tcPr>
            <w:tcW w:w="2337" w:type="dxa"/>
            <w:shd w:val="clear" w:color="auto" w:fill="F3F1F1"/>
          </w:tcPr>
          <w:p w14:paraId="377644A9" w14:textId="77777777" w:rsidR="00F61921" w:rsidRPr="00D809E1" w:rsidRDefault="00F61921" w:rsidP="00F61921">
            <w:pPr>
              <w:spacing w:before="60" w:after="60"/>
              <w:jc w:val="center"/>
            </w:pPr>
            <w:r w:rsidRPr="00D809E1">
              <w:t>250,000</w:t>
            </w:r>
          </w:p>
        </w:tc>
        <w:tc>
          <w:tcPr>
            <w:tcW w:w="2337" w:type="dxa"/>
            <w:shd w:val="clear" w:color="auto" w:fill="F3F1F1"/>
          </w:tcPr>
          <w:p w14:paraId="4F34D71E" w14:textId="77777777" w:rsidR="00F61921" w:rsidRPr="00D809E1" w:rsidRDefault="00F61921" w:rsidP="00F61921">
            <w:pPr>
              <w:spacing w:before="60" w:after="60"/>
              <w:jc w:val="center"/>
            </w:pPr>
            <w:r w:rsidRPr="00D809E1">
              <w:t>500,000</w:t>
            </w:r>
          </w:p>
        </w:tc>
        <w:tc>
          <w:tcPr>
            <w:tcW w:w="2338" w:type="dxa"/>
            <w:shd w:val="clear" w:color="auto" w:fill="F3F1F1"/>
          </w:tcPr>
          <w:p w14:paraId="392D7DEE" w14:textId="77777777" w:rsidR="00F61921" w:rsidRPr="00D809E1" w:rsidRDefault="00F61921" w:rsidP="00F61921">
            <w:pPr>
              <w:spacing w:before="60" w:after="60"/>
              <w:jc w:val="center"/>
            </w:pPr>
            <w:r w:rsidRPr="00D809E1">
              <w:t>70,800</w:t>
            </w:r>
          </w:p>
        </w:tc>
        <w:tc>
          <w:tcPr>
            <w:tcW w:w="2338" w:type="dxa"/>
            <w:shd w:val="clear" w:color="auto" w:fill="F3F1F1"/>
          </w:tcPr>
          <w:p w14:paraId="2144D9BF" w14:textId="77777777" w:rsidR="00F61921" w:rsidRPr="00D809E1" w:rsidRDefault="00F61921" w:rsidP="00F61921">
            <w:pPr>
              <w:spacing w:before="60" w:after="60"/>
              <w:jc w:val="center"/>
            </w:pPr>
            <w:r w:rsidRPr="00D809E1">
              <w:t>34%</w:t>
            </w:r>
          </w:p>
        </w:tc>
      </w:tr>
      <w:tr w:rsidR="00F61921" w:rsidRPr="00B6528E" w14:paraId="037C4659" w14:textId="77777777" w:rsidTr="00F61921">
        <w:tc>
          <w:tcPr>
            <w:tcW w:w="2337" w:type="dxa"/>
            <w:shd w:val="clear" w:color="auto" w:fill="E4E5E3"/>
          </w:tcPr>
          <w:p w14:paraId="77CDC1DD" w14:textId="77777777" w:rsidR="00F61921" w:rsidRPr="00D809E1" w:rsidRDefault="00F61921" w:rsidP="00F61921">
            <w:pPr>
              <w:spacing w:before="60" w:after="60"/>
              <w:jc w:val="center"/>
            </w:pPr>
            <w:r w:rsidRPr="00D809E1">
              <w:t>500,000</w:t>
            </w:r>
          </w:p>
        </w:tc>
        <w:tc>
          <w:tcPr>
            <w:tcW w:w="2337" w:type="dxa"/>
            <w:shd w:val="clear" w:color="auto" w:fill="E4E5E3"/>
          </w:tcPr>
          <w:p w14:paraId="2B93412F" w14:textId="77777777" w:rsidR="00F61921" w:rsidRPr="00D809E1" w:rsidRDefault="00F61921" w:rsidP="00F61921">
            <w:pPr>
              <w:spacing w:before="60" w:after="60"/>
              <w:jc w:val="center"/>
            </w:pPr>
            <w:r w:rsidRPr="00D809E1">
              <w:t>750,000</w:t>
            </w:r>
          </w:p>
        </w:tc>
        <w:tc>
          <w:tcPr>
            <w:tcW w:w="2338" w:type="dxa"/>
            <w:shd w:val="clear" w:color="auto" w:fill="E4E5E3"/>
          </w:tcPr>
          <w:p w14:paraId="4B387254" w14:textId="77777777" w:rsidR="00F61921" w:rsidRPr="00D809E1" w:rsidRDefault="00F61921" w:rsidP="00F61921">
            <w:pPr>
              <w:spacing w:before="60" w:after="60"/>
              <w:jc w:val="center"/>
            </w:pPr>
            <w:r w:rsidRPr="00D809E1">
              <w:t>155,800</w:t>
            </w:r>
          </w:p>
        </w:tc>
        <w:tc>
          <w:tcPr>
            <w:tcW w:w="2338" w:type="dxa"/>
            <w:shd w:val="clear" w:color="auto" w:fill="E4E5E3"/>
          </w:tcPr>
          <w:p w14:paraId="4F86DA94" w14:textId="77777777" w:rsidR="00F61921" w:rsidRPr="00D809E1" w:rsidRDefault="00F61921" w:rsidP="00F61921">
            <w:pPr>
              <w:spacing w:before="60" w:after="60"/>
              <w:jc w:val="center"/>
            </w:pPr>
            <w:r w:rsidRPr="00D809E1">
              <w:t>37%</w:t>
            </w:r>
          </w:p>
        </w:tc>
      </w:tr>
      <w:tr w:rsidR="00F61921" w:rsidRPr="00B6528E" w14:paraId="67ED8B98" w14:textId="77777777" w:rsidTr="00F61921">
        <w:tc>
          <w:tcPr>
            <w:tcW w:w="2337" w:type="dxa"/>
            <w:shd w:val="clear" w:color="auto" w:fill="F3F1F1"/>
          </w:tcPr>
          <w:p w14:paraId="51A36AFF" w14:textId="77777777" w:rsidR="00F61921" w:rsidRPr="00D809E1" w:rsidRDefault="00F61921" w:rsidP="00F61921">
            <w:pPr>
              <w:spacing w:before="60" w:after="60"/>
              <w:jc w:val="center"/>
            </w:pPr>
            <w:r w:rsidRPr="00D809E1">
              <w:t>750,000</w:t>
            </w:r>
          </w:p>
        </w:tc>
        <w:tc>
          <w:tcPr>
            <w:tcW w:w="2337" w:type="dxa"/>
            <w:shd w:val="clear" w:color="auto" w:fill="F3F1F1"/>
          </w:tcPr>
          <w:p w14:paraId="054C87FD" w14:textId="77777777" w:rsidR="00F61921" w:rsidRPr="00D809E1" w:rsidRDefault="00F61921" w:rsidP="00F61921">
            <w:pPr>
              <w:spacing w:before="60" w:after="60"/>
              <w:jc w:val="center"/>
            </w:pPr>
            <w:r w:rsidRPr="00D809E1">
              <w:t>1,000,000</w:t>
            </w:r>
          </w:p>
        </w:tc>
        <w:tc>
          <w:tcPr>
            <w:tcW w:w="2338" w:type="dxa"/>
            <w:shd w:val="clear" w:color="auto" w:fill="F3F1F1"/>
          </w:tcPr>
          <w:p w14:paraId="6409B619" w14:textId="77777777" w:rsidR="00F61921" w:rsidRPr="00D809E1" w:rsidRDefault="00F61921" w:rsidP="00F61921">
            <w:pPr>
              <w:spacing w:before="60" w:after="60"/>
              <w:jc w:val="center"/>
            </w:pPr>
            <w:r w:rsidRPr="00D809E1">
              <w:t>248,300</w:t>
            </w:r>
          </w:p>
        </w:tc>
        <w:tc>
          <w:tcPr>
            <w:tcW w:w="2338" w:type="dxa"/>
            <w:shd w:val="clear" w:color="auto" w:fill="F3F1F1"/>
          </w:tcPr>
          <w:p w14:paraId="639BB7F8" w14:textId="77777777" w:rsidR="00F61921" w:rsidRPr="00D809E1" w:rsidRDefault="00F61921" w:rsidP="00F61921">
            <w:pPr>
              <w:spacing w:before="60" w:after="60"/>
              <w:jc w:val="center"/>
            </w:pPr>
            <w:r w:rsidRPr="00D809E1">
              <w:t>39%</w:t>
            </w:r>
          </w:p>
        </w:tc>
      </w:tr>
      <w:tr w:rsidR="00F61921" w:rsidRPr="00856F20" w14:paraId="3E690753" w14:textId="77777777" w:rsidTr="00F61921">
        <w:tc>
          <w:tcPr>
            <w:tcW w:w="2337" w:type="dxa"/>
            <w:shd w:val="clear" w:color="auto" w:fill="E4E5E3"/>
          </w:tcPr>
          <w:p w14:paraId="1F1132A4" w14:textId="77777777" w:rsidR="00F61921" w:rsidRPr="00160EF1" w:rsidRDefault="00F61921" w:rsidP="00F61921">
            <w:pPr>
              <w:spacing w:before="60" w:after="60"/>
              <w:jc w:val="center"/>
              <w:rPr>
                <w:i/>
                <w:sz w:val="16"/>
                <w:szCs w:val="16"/>
              </w:rPr>
            </w:pPr>
            <w:r w:rsidRPr="00160EF1">
              <w:rPr>
                <w:i/>
                <w:sz w:val="16"/>
                <w:szCs w:val="16"/>
              </w:rPr>
              <w:t>1,000,000</w:t>
            </w:r>
          </w:p>
        </w:tc>
        <w:tc>
          <w:tcPr>
            <w:tcW w:w="2337" w:type="dxa"/>
            <w:shd w:val="clear" w:color="auto" w:fill="E4E5E3"/>
          </w:tcPr>
          <w:p w14:paraId="71D0910C" w14:textId="77777777" w:rsidR="00F61921" w:rsidRPr="00160EF1" w:rsidRDefault="00F61921" w:rsidP="00F61921">
            <w:pPr>
              <w:spacing w:before="60" w:after="60"/>
              <w:jc w:val="center"/>
              <w:rPr>
                <w:i/>
                <w:sz w:val="16"/>
                <w:szCs w:val="16"/>
              </w:rPr>
            </w:pPr>
            <w:r w:rsidRPr="00160EF1">
              <w:rPr>
                <w:i/>
                <w:sz w:val="16"/>
                <w:szCs w:val="16"/>
              </w:rPr>
              <w:t>----</w:t>
            </w:r>
          </w:p>
        </w:tc>
        <w:tc>
          <w:tcPr>
            <w:tcW w:w="2338" w:type="dxa"/>
            <w:shd w:val="clear" w:color="auto" w:fill="E4E5E3"/>
          </w:tcPr>
          <w:p w14:paraId="69596089" w14:textId="77777777" w:rsidR="00F61921" w:rsidRPr="00160EF1" w:rsidRDefault="00F61921" w:rsidP="00F61921">
            <w:pPr>
              <w:spacing w:before="60" w:after="60"/>
              <w:jc w:val="center"/>
              <w:rPr>
                <w:i/>
                <w:sz w:val="16"/>
                <w:szCs w:val="16"/>
              </w:rPr>
            </w:pPr>
            <w:r w:rsidRPr="00160EF1">
              <w:rPr>
                <w:i/>
                <w:sz w:val="16"/>
                <w:szCs w:val="16"/>
              </w:rPr>
              <w:t>345,800</w:t>
            </w:r>
          </w:p>
        </w:tc>
        <w:tc>
          <w:tcPr>
            <w:tcW w:w="2338" w:type="dxa"/>
            <w:shd w:val="clear" w:color="auto" w:fill="E4E5E3"/>
          </w:tcPr>
          <w:p w14:paraId="24D94642" w14:textId="77777777" w:rsidR="00F61921" w:rsidRPr="00160EF1" w:rsidRDefault="00F61921" w:rsidP="00F61921">
            <w:pPr>
              <w:spacing w:before="60" w:after="60"/>
              <w:jc w:val="center"/>
              <w:rPr>
                <w:i/>
                <w:sz w:val="16"/>
                <w:szCs w:val="16"/>
              </w:rPr>
            </w:pPr>
            <w:r w:rsidRPr="00160EF1">
              <w:rPr>
                <w:i/>
                <w:sz w:val="16"/>
                <w:szCs w:val="16"/>
              </w:rPr>
              <w:t>40%</w:t>
            </w:r>
          </w:p>
        </w:tc>
      </w:tr>
    </w:tbl>
    <w:p w14:paraId="5E4AE194" w14:textId="77777777" w:rsidR="00F61921" w:rsidRPr="00D914D1" w:rsidRDefault="00F61921" w:rsidP="00F61921">
      <w:pPr>
        <w:pStyle w:val="BodyText"/>
        <w:rPr>
          <w:i/>
          <w:sz w:val="16"/>
          <w:szCs w:val="16"/>
        </w:rPr>
      </w:pPr>
      <w:r w:rsidRPr="00160EF1">
        <w:rPr>
          <w:i/>
          <w:sz w:val="16"/>
          <w:szCs w:val="16"/>
        </w:rPr>
        <w:t>*</w:t>
      </w:r>
      <w:r w:rsidRPr="00D914D1">
        <w:rPr>
          <w:i/>
          <w:sz w:val="16"/>
          <w:szCs w:val="16"/>
        </w:rPr>
        <w:t>This schedule is for 2013 and subsequent years.</w:t>
      </w:r>
    </w:p>
    <w:p w14:paraId="79BCD037" w14:textId="77777777" w:rsidR="00F61921" w:rsidRPr="009C369F" w:rsidRDefault="00F61921" w:rsidP="00F61921">
      <w:pPr>
        <w:pStyle w:val="BodyText"/>
      </w:pPr>
    </w:p>
    <w:tbl>
      <w:tblPr>
        <w:tblStyle w:val="TableGrid"/>
        <w:tblW w:w="0" w:type="auto"/>
        <w:tblInd w:w="720" w:type="dxa"/>
        <w:tblBorders>
          <w:top w:val="none" w:sz="0" w:space="0" w:color="auto"/>
          <w:left w:val="single" w:sz="48" w:space="0" w:color="auto"/>
          <w:bottom w:val="none" w:sz="0" w:space="0" w:color="auto"/>
          <w:right w:val="none" w:sz="0" w:space="0" w:color="auto"/>
          <w:insideH w:val="none" w:sz="0" w:space="0" w:color="auto"/>
          <w:insideV w:val="none" w:sz="0" w:space="0" w:color="auto"/>
        </w:tblBorders>
        <w:shd w:val="pct20" w:color="auto" w:fill="auto"/>
        <w:tblLook w:val="04A0" w:firstRow="1" w:lastRow="0" w:firstColumn="1" w:lastColumn="0" w:noHBand="0" w:noVBand="1"/>
      </w:tblPr>
      <w:tblGrid>
        <w:gridCol w:w="8856"/>
      </w:tblGrid>
      <w:tr w:rsidR="00F61921" w:rsidRPr="005154C9" w14:paraId="23BB3A91" w14:textId="77777777" w:rsidTr="00F61921">
        <w:tc>
          <w:tcPr>
            <w:tcW w:w="8856" w:type="dxa"/>
            <w:shd w:val="pct20" w:color="auto" w:fill="auto"/>
          </w:tcPr>
          <w:p w14:paraId="5B8CCBEF" w14:textId="77777777" w:rsidR="00F61921" w:rsidRPr="005154C9" w:rsidRDefault="00F61921" w:rsidP="00F61921">
            <w:pPr>
              <w:rPr>
                <w:bCs/>
              </w:rPr>
            </w:pPr>
            <w:r w:rsidRPr="005154C9">
              <w:rPr>
                <w:bCs/>
              </w:rPr>
              <w:t>Let’s look at an example. Suppose you wish to calculate the transfer tax on $120,000. Here is how you do it:</w:t>
            </w:r>
          </w:p>
          <w:p w14:paraId="437876B3" w14:textId="77777777" w:rsidR="00F61921" w:rsidRPr="005154C9" w:rsidRDefault="00F61921" w:rsidP="00F61921">
            <w:pPr>
              <w:rPr>
                <w:bCs/>
              </w:rPr>
            </w:pPr>
            <w:r w:rsidRPr="005154C9">
              <w:rPr>
                <w:b/>
                <w:bCs/>
              </w:rPr>
              <w:t>Step 1</w:t>
            </w:r>
            <w:r w:rsidRPr="005154C9">
              <w:rPr>
                <w:bCs/>
              </w:rPr>
              <w:t xml:space="preserve"> – Find the row where $120,000 i</w:t>
            </w:r>
            <w:r>
              <w:rPr>
                <w:bCs/>
              </w:rPr>
              <w:t xml:space="preserve">s between the number in </w:t>
            </w:r>
            <w:r w:rsidR="00856F20">
              <w:rPr>
                <w:bCs/>
              </w:rPr>
              <w:t>Column</w:t>
            </w:r>
            <w:r>
              <w:rPr>
                <w:bCs/>
              </w:rPr>
              <w:t xml:space="preserve"> A and the number in </w:t>
            </w:r>
            <w:r w:rsidR="00856F20">
              <w:rPr>
                <w:bCs/>
              </w:rPr>
              <w:t xml:space="preserve">Column </w:t>
            </w:r>
            <w:r>
              <w:rPr>
                <w:bCs/>
              </w:rPr>
              <w:t>B</w:t>
            </w:r>
            <w:r w:rsidRPr="005154C9">
              <w:rPr>
                <w:bCs/>
              </w:rPr>
              <w:t>.  As you can see, it is the 7</w:t>
            </w:r>
            <w:r w:rsidRPr="005154C9">
              <w:rPr>
                <w:bCs/>
                <w:vertAlign w:val="superscript"/>
              </w:rPr>
              <w:t>th</w:t>
            </w:r>
            <w:r w:rsidRPr="005154C9">
              <w:rPr>
                <w:bCs/>
              </w:rPr>
              <w:t xml:space="preserve"> row, </w:t>
            </w:r>
            <w:r>
              <w:rPr>
                <w:bCs/>
              </w:rPr>
              <w:t xml:space="preserve">where the range between </w:t>
            </w:r>
            <w:r w:rsidR="00856F20">
              <w:rPr>
                <w:bCs/>
              </w:rPr>
              <w:t xml:space="preserve">Column </w:t>
            </w:r>
            <w:r>
              <w:rPr>
                <w:bCs/>
              </w:rPr>
              <w:t xml:space="preserve">A and </w:t>
            </w:r>
            <w:r w:rsidR="00856F20">
              <w:rPr>
                <w:bCs/>
              </w:rPr>
              <w:t xml:space="preserve">Column </w:t>
            </w:r>
            <w:r>
              <w:rPr>
                <w:bCs/>
              </w:rPr>
              <w:t>B</w:t>
            </w:r>
            <w:r w:rsidRPr="005154C9">
              <w:rPr>
                <w:bCs/>
              </w:rPr>
              <w:t xml:space="preserve"> is $100,000 to $150,000.</w:t>
            </w:r>
          </w:p>
          <w:p w14:paraId="7F6E99EC" w14:textId="77777777" w:rsidR="00F61921" w:rsidRPr="005154C9" w:rsidRDefault="00F61921" w:rsidP="00F61921">
            <w:r w:rsidRPr="005154C9">
              <w:rPr>
                <w:b/>
              </w:rPr>
              <w:t>Step 2</w:t>
            </w:r>
            <w:r w:rsidRPr="005154C9">
              <w:t xml:space="preserve"> – Identify the tax on the $100,000 amount given in </w:t>
            </w:r>
            <w:r w:rsidR="00856F20" w:rsidRPr="005154C9">
              <w:t>Colum</w:t>
            </w:r>
            <w:r w:rsidR="00856F20">
              <w:t xml:space="preserve">n </w:t>
            </w:r>
            <w:r>
              <w:t xml:space="preserve">A. This is provided in </w:t>
            </w:r>
            <w:r w:rsidR="00856F20">
              <w:t xml:space="preserve">Column </w:t>
            </w:r>
            <w:r>
              <w:t>C</w:t>
            </w:r>
            <w:r w:rsidRPr="005154C9">
              <w:t>, where we see that the tax on $100,000 is $23,800.</w:t>
            </w:r>
          </w:p>
          <w:p w14:paraId="5113FE53" w14:textId="77777777" w:rsidR="00F61921" w:rsidRPr="005154C9" w:rsidRDefault="00F61921" w:rsidP="00F61921">
            <w:r w:rsidRPr="005154C9">
              <w:rPr>
                <w:b/>
              </w:rPr>
              <w:t>Step 3</w:t>
            </w:r>
            <w:r w:rsidRPr="005154C9">
              <w:t xml:space="preserve"> – Now calculate the tax on the amount over $100,000 using the rate</w:t>
            </w:r>
            <w:r>
              <w:t xml:space="preserve"> found in </w:t>
            </w:r>
            <w:r w:rsidR="00856F20">
              <w:t xml:space="preserve">Column </w:t>
            </w:r>
            <w:r>
              <w:t>D</w:t>
            </w:r>
            <w:r w:rsidRPr="005154C9">
              <w:t>. Since our amount is $20,000 over the $100,000 for which we have already been provided the tax amount, multiply $20,000 by 30% to get $6,000.</w:t>
            </w:r>
          </w:p>
          <w:p w14:paraId="07109F48" w14:textId="77777777" w:rsidR="00F61921" w:rsidRPr="005154C9" w:rsidRDefault="00F61921" w:rsidP="00F61921">
            <w:r w:rsidRPr="005154C9">
              <w:rPr>
                <w:b/>
              </w:rPr>
              <w:t>Step 4</w:t>
            </w:r>
            <w:r w:rsidRPr="005154C9">
              <w:t xml:space="preserve"> – Add together the tax from </w:t>
            </w:r>
            <w:r w:rsidR="00856F20" w:rsidRPr="005154C9">
              <w:t xml:space="preserve">Step </w:t>
            </w:r>
            <w:r w:rsidRPr="005154C9">
              <w:t xml:space="preserve">2 and </w:t>
            </w:r>
            <w:r w:rsidR="00856F20" w:rsidRPr="005154C9">
              <w:t xml:space="preserve">Step </w:t>
            </w:r>
            <w:r w:rsidRPr="005154C9">
              <w:t>3. Thus</w:t>
            </w:r>
            <w:r w:rsidR="00856F20">
              <w:t>,</w:t>
            </w:r>
            <w:r w:rsidRPr="005154C9">
              <w:t xml:space="preserve"> our tax on the first $100,000 plus the tax on the next $20,000 equals $23,800 + $6,000, for a total tax </w:t>
            </w:r>
            <w:r w:rsidRPr="005154C9">
              <w:lastRenderedPageBreak/>
              <w:t>of $29,800.</w:t>
            </w:r>
          </w:p>
        </w:tc>
      </w:tr>
    </w:tbl>
    <w:p w14:paraId="60C282FF" w14:textId="77777777" w:rsidR="00F61921" w:rsidRDefault="00F61921" w:rsidP="00160EF1">
      <w:pPr>
        <w:rPr>
          <w:rStyle w:val="Strong"/>
          <w:szCs w:val="32"/>
        </w:rPr>
      </w:pPr>
      <w:r w:rsidRPr="005154C9">
        <w:rPr>
          <w:b/>
          <w:i/>
        </w:rPr>
        <w:lastRenderedPageBreak/>
        <w:t>Make note of the highest tax rate: 40%.</w:t>
      </w:r>
      <w:r w:rsidRPr="005154C9">
        <w:t xml:space="preserve"> This is achieved on all amounts over $1 million. This has not always been the highest rate. </w:t>
      </w:r>
      <w:r>
        <w:t xml:space="preserve">As previously discussed, this rate has been much higher in the past. Current legislation, however, dictates that </w:t>
      </w:r>
      <w:proofErr w:type="gramStart"/>
      <w:r>
        <w:t>this rate schedule remain</w:t>
      </w:r>
      <w:proofErr w:type="gramEnd"/>
      <w:r>
        <w:t xml:space="preserve"> fixed unless changed by future legislation.</w:t>
      </w:r>
    </w:p>
    <w:p w14:paraId="212864ED" w14:textId="77777777" w:rsidR="00576317" w:rsidRPr="001B567F" w:rsidRDefault="00FE0114" w:rsidP="00576317">
      <w:pPr>
        <w:pStyle w:val="Heading2"/>
      </w:pPr>
      <w:r w:rsidRPr="00E23023">
        <w:br w:type="page"/>
      </w:r>
      <w:r w:rsidR="00576317" w:rsidRPr="001B567F">
        <w:lastRenderedPageBreak/>
        <w:t>Practice – Using the Gift and Estate Rate Schedule</w:t>
      </w:r>
    </w:p>
    <w:p w14:paraId="25B4AE58" w14:textId="77777777" w:rsidR="00576317" w:rsidRDefault="00576317" w:rsidP="00576317">
      <w:pPr>
        <w:pStyle w:val="BodyText"/>
      </w:pPr>
      <w:r w:rsidRPr="001B567F">
        <w:t xml:space="preserve">To develop some comfort in working with the </w:t>
      </w:r>
      <w:r w:rsidR="00901B90" w:rsidRPr="001B567F">
        <w:t>Unified Gift</w:t>
      </w:r>
      <w:r w:rsidRPr="001B567F">
        <w:t xml:space="preserve"> and </w:t>
      </w:r>
      <w:r w:rsidR="00901B90" w:rsidRPr="001B567F">
        <w:t>Estate Rate Schedule</w:t>
      </w:r>
      <w:r w:rsidRPr="001B567F">
        <w:t xml:space="preserve">, use the </w:t>
      </w:r>
      <w:r w:rsidR="00901B90">
        <w:t>s</w:t>
      </w:r>
      <w:r w:rsidRPr="001B567F">
        <w:t>chedule to answer the questions that follow:</w:t>
      </w:r>
    </w:p>
    <w:p w14:paraId="1F911C12" w14:textId="77777777" w:rsidR="00576317" w:rsidRPr="00C81B0E" w:rsidRDefault="00576317" w:rsidP="00576317">
      <w:pPr>
        <w:jc w:val="center"/>
        <w:rPr>
          <w:b/>
        </w:rPr>
      </w:pPr>
      <w:r>
        <w:rPr>
          <w:b/>
        </w:rPr>
        <w:t xml:space="preserve">CURRENT </w:t>
      </w:r>
      <w:r w:rsidRPr="00C81B0E">
        <w:rPr>
          <w:b/>
        </w:rPr>
        <w:t xml:space="preserve">UNIFIED </w:t>
      </w:r>
      <w:r>
        <w:rPr>
          <w:b/>
        </w:rPr>
        <w:t xml:space="preserve">GIFT &amp; ESTATE </w:t>
      </w:r>
      <w:r w:rsidRPr="00C81B0E">
        <w:rPr>
          <w:b/>
        </w:rPr>
        <w:t>RATE SCHEDULE</w:t>
      </w:r>
      <w:r>
        <w:rPr>
          <w:b/>
        </w:rPr>
        <w:t>*</w:t>
      </w: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613"/>
      </w:tblGrid>
      <w:tr w:rsidR="00576317" w:rsidRPr="00D809E1" w14:paraId="35866621" w14:textId="77777777" w:rsidTr="00C83BBB">
        <w:tc>
          <w:tcPr>
            <w:tcW w:w="2337" w:type="dxa"/>
            <w:shd w:val="clear" w:color="auto" w:fill="2B4A79"/>
          </w:tcPr>
          <w:p w14:paraId="1CEE9790" w14:textId="77777777" w:rsidR="00576317" w:rsidRPr="00D809E1" w:rsidRDefault="00576317" w:rsidP="00C83BBB">
            <w:pPr>
              <w:spacing w:before="60"/>
              <w:jc w:val="center"/>
              <w:rPr>
                <w:rFonts w:ascii="Arial" w:hAnsi="Arial"/>
                <w:color w:val="FFFFFF" w:themeColor="background1"/>
              </w:rPr>
            </w:pPr>
            <w:r w:rsidRPr="00D809E1">
              <w:rPr>
                <w:rFonts w:ascii="Arial" w:hAnsi="Arial"/>
                <w:color w:val="FFFFFF" w:themeColor="background1"/>
              </w:rPr>
              <w:t>Column A</w:t>
            </w:r>
          </w:p>
          <w:p w14:paraId="08392B8F" w14:textId="77777777" w:rsidR="00576317" w:rsidRPr="00D809E1" w:rsidRDefault="00576317" w:rsidP="00C83BBB">
            <w:pPr>
              <w:spacing w:before="60" w:after="60"/>
              <w:jc w:val="center"/>
              <w:rPr>
                <w:rFonts w:ascii="Arial" w:hAnsi="Arial"/>
                <w:color w:val="FFFFFF" w:themeColor="background1"/>
              </w:rPr>
            </w:pPr>
            <w:r w:rsidRPr="00D809E1">
              <w:rPr>
                <w:rFonts w:ascii="Arial" w:hAnsi="Arial"/>
                <w:color w:val="FFFFFF" w:themeColor="background1"/>
              </w:rPr>
              <w:t>Taxable amount over</w:t>
            </w:r>
          </w:p>
        </w:tc>
        <w:tc>
          <w:tcPr>
            <w:tcW w:w="2337" w:type="dxa"/>
            <w:shd w:val="clear" w:color="auto" w:fill="2B4A79"/>
          </w:tcPr>
          <w:p w14:paraId="1448C1ED" w14:textId="77777777" w:rsidR="00576317" w:rsidRPr="00D809E1" w:rsidRDefault="00576317" w:rsidP="00C83BBB">
            <w:pPr>
              <w:spacing w:before="60"/>
              <w:jc w:val="center"/>
              <w:rPr>
                <w:rFonts w:ascii="Arial" w:hAnsi="Arial"/>
                <w:color w:val="FFFFFF" w:themeColor="background1"/>
              </w:rPr>
            </w:pPr>
            <w:r w:rsidRPr="00D809E1">
              <w:rPr>
                <w:rFonts w:ascii="Arial" w:hAnsi="Arial"/>
                <w:color w:val="FFFFFF" w:themeColor="background1"/>
              </w:rPr>
              <w:t>Column B</w:t>
            </w:r>
          </w:p>
          <w:p w14:paraId="464464AF" w14:textId="77777777" w:rsidR="00576317" w:rsidRPr="00D809E1" w:rsidRDefault="00576317" w:rsidP="00C83BBB">
            <w:pPr>
              <w:spacing w:before="60" w:after="60"/>
              <w:jc w:val="center"/>
              <w:rPr>
                <w:rFonts w:ascii="Arial" w:hAnsi="Arial"/>
                <w:color w:val="FFFFFF" w:themeColor="background1"/>
              </w:rPr>
            </w:pPr>
            <w:r w:rsidRPr="00D809E1">
              <w:rPr>
                <w:rFonts w:ascii="Arial" w:hAnsi="Arial"/>
                <w:color w:val="FFFFFF" w:themeColor="background1"/>
              </w:rPr>
              <w:t>Taxable amount not over</w:t>
            </w:r>
          </w:p>
        </w:tc>
        <w:tc>
          <w:tcPr>
            <w:tcW w:w="2338" w:type="dxa"/>
            <w:shd w:val="clear" w:color="auto" w:fill="2B4A79"/>
          </w:tcPr>
          <w:p w14:paraId="48D76145" w14:textId="77777777" w:rsidR="00576317" w:rsidRPr="00D809E1" w:rsidRDefault="00576317" w:rsidP="00C83BBB">
            <w:pPr>
              <w:spacing w:before="60"/>
              <w:jc w:val="center"/>
              <w:rPr>
                <w:rFonts w:ascii="Arial" w:hAnsi="Arial"/>
                <w:color w:val="FFFFFF" w:themeColor="background1"/>
              </w:rPr>
            </w:pPr>
            <w:r w:rsidRPr="00D809E1">
              <w:rPr>
                <w:rFonts w:ascii="Arial" w:hAnsi="Arial"/>
                <w:color w:val="FFFFFF" w:themeColor="background1"/>
              </w:rPr>
              <w:t>Column C</w:t>
            </w:r>
          </w:p>
          <w:p w14:paraId="09BB69CA" w14:textId="77777777" w:rsidR="00576317" w:rsidRPr="00D809E1" w:rsidRDefault="00576317" w:rsidP="00C83BBB">
            <w:pPr>
              <w:spacing w:before="60" w:after="60"/>
              <w:jc w:val="center"/>
              <w:rPr>
                <w:rFonts w:ascii="Arial" w:hAnsi="Arial"/>
                <w:color w:val="FFFFFF" w:themeColor="background1"/>
              </w:rPr>
            </w:pPr>
            <w:r w:rsidRPr="00D809E1">
              <w:rPr>
                <w:rFonts w:ascii="Arial" w:hAnsi="Arial"/>
                <w:color w:val="FFFFFF" w:themeColor="background1"/>
              </w:rPr>
              <w:t>Tax on amount in Column A</w:t>
            </w:r>
          </w:p>
        </w:tc>
        <w:tc>
          <w:tcPr>
            <w:tcW w:w="2613" w:type="dxa"/>
            <w:shd w:val="clear" w:color="auto" w:fill="2B4A79"/>
          </w:tcPr>
          <w:p w14:paraId="75D61610" w14:textId="77777777" w:rsidR="00576317" w:rsidRPr="00D809E1" w:rsidRDefault="00576317" w:rsidP="00C83BBB">
            <w:pPr>
              <w:spacing w:before="60"/>
              <w:jc w:val="center"/>
              <w:rPr>
                <w:rFonts w:ascii="Arial" w:hAnsi="Arial"/>
                <w:color w:val="FFFFFF" w:themeColor="background1"/>
              </w:rPr>
            </w:pPr>
            <w:r w:rsidRPr="00D809E1">
              <w:rPr>
                <w:rFonts w:ascii="Arial" w:hAnsi="Arial"/>
                <w:color w:val="FFFFFF" w:themeColor="background1"/>
              </w:rPr>
              <w:t>Column D</w:t>
            </w:r>
          </w:p>
          <w:p w14:paraId="3119600B" w14:textId="77777777" w:rsidR="00576317" w:rsidRPr="00D809E1" w:rsidRDefault="00576317" w:rsidP="00C83BBB">
            <w:pPr>
              <w:spacing w:before="60" w:after="60"/>
              <w:jc w:val="center"/>
              <w:rPr>
                <w:rFonts w:ascii="Arial" w:hAnsi="Arial"/>
                <w:color w:val="FFFFFF" w:themeColor="background1"/>
              </w:rPr>
            </w:pPr>
            <w:r w:rsidRPr="00D809E1">
              <w:rPr>
                <w:rFonts w:ascii="Arial" w:hAnsi="Arial"/>
                <w:color w:val="FFFFFF" w:themeColor="background1"/>
              </w:rPr>
              <w:t>Rate of tax on excess over amount in Column A</w:t>
            </w:r>
          </w:p>
        </w:tc>
      </w:tr>
      <w:tr w:rsidR="00576317" w:rsidRPr="00B6528E" w14:paraId="5636B28A" w14:textId="77777777" w:rsidTr="00C83BBB">
        <w:tc>
          <w:tcPr>
            <w:tcW w:w="2337" w:type="dxa"/>
            <w:shd w:val="clear" w:color="auto" w:fill="F3F1F1"/>
          </w:tcPr>
          <w:p w14:paraId="0008DB8E" w14:textId="77777777" w:rsidR="00576317" w:rsidRPr="00D809E1" w:rsidRDefault="00576317" w:rsidP="00C83BBB">
            <w:pPr>
              <w:spacing w:before="60" w:after="60"/>
              <w:jc w:val="center"/>
            </w:pPr>
            <w:r w:rsidRPr="00D809E1">
              <w:t>$0</w:t>
            </w:r>
          </w:p>
        </w:tc>
        <w:tc>
          <w:tcPr>
            <w:tcW w:w="2337" w:type="dxa"/>
            <w:shd w:val="clear" w:color="auto" w:fill="F3F1F1"/>
          </w:tcPr>
          <w:p w14:paraId="6EDB88B6" w14:textId="77777777" w:rsidR="00576317" w:rsidRPr="00D809E1" w:rsidRDefault="00576317" w:rsidP="00C83BBB">
            <w:pPr>
              <w:spacing w:before="60" w:after="60"/>
              <w:jc w:val="center"/>
            </w:pPr>
            <w:r w:rsidRPr="00D809E1">
              <w:t>$10,000</w:t>
            </w:r>
          </w:p>
        </w:tc>
        <w:tc>
          <w:tcPr>
            <w:tcW w:w="2338" w:type="dxa"/>
            <w:shd w:val="clear" w:color="auto" w:fill="F3F1F1"/>
          </w:tcPr>
          <w:p w14:paraId="77189BD0" w14:textId="77777777" w:rsidR="00576317" w:rsidRPr="00D809E1" w:rsidRDefault="00576317" w:rsidP="00C83BBB">
            <w:pPr>
              <w:spacing w:before="60" w:after="60"/>
              <w:jc w:val="center"/>
            </w:pPr>
            <w:r w:rsidRPr="00D809E1">
              <w:t>$0</w:t>
            </w:r>
          </w:p>
        </w:tc>
        <w:tc>
          <w:tcPr>
            <w:tcW w:w="2613" w:type="dxa"/>
            <w:shd w:val="clear" w:color="auto" w:fill="F3F1F1"/>
          </w:tcPr>
          <w:p w14:paraId="061E5F32" w14:textId="77777777" w:rsidR="00576317" w:rsidRPr="00D809E1" w:rsidRDefault="00576317" w:rsidP="00C83BBB">
            <w:pPr>
              <w:spacing w:before="60" w:after="60"/>
              <w:jc w:val="center"/>
            </w:pPr>
            <w:r w:rsidRPr="00D809E1">
              <w:t>18%</w:t>
            </w:r>
          </w:p>
        </w:tc>
      </w:tr>
      <w:tr w:rsidR="00576317" w:rsidRPr="00B6528E" w14:paraId="5AF24F87" w14:textId="77777777" w:rsidTr="00C83BBB">
        <w:tc>
          <w:tcPr>
            <w:tcW w:w="2337" w:type="dxa"/>
            <w:shd w:val="clear" w:color="auto" w:fill="E4E5E3"/>
          </w:tcPr>
          <w:p w14:paraId="0B6C4CE0" w14:textId="77777777" w:rsidR="00576317" w:rsidRPr="00D809E1" w:rsidRDefault="00576317" w:rsidP="00C83BBB">
            <w:pPr>
              <w:spacing w:before="60" w:after="60"/>
              <w:jc w:val="center"/>
            </w:pPr>
            <w:r w:rsidRPr="00D809E1">
              <w:t>10,000</w:t>
            </w:r>
          </w:p>
        </w:tc>
        <w:tc>
          <w:tcPr>
            <w:tcW w:w="2337" w:type="dxa"/>
            <w:shd w:val="clear" w:color="auto" w:fill="E4E5E3"/>
          </w:tcPr>
          <w:p w14:paraId="54CDE0B3" w14:textId="77777777" w:rsidR="00576317" w:rsidRPr="00D809E1" w:rsidRDefault="00576317" w:rsidP="00C83BBB">
            <w:pPr>
              <w:spacing w:before="60" w:after="60"/>
              <w:jc w:val="center"/>
            </w:pPr>
            <w:r w:rsidRPr="00D809E1">
              <w:t>20,000</w:t>
            </w:r>
          </w:p>
        </w:tc>
        <w:tc>
          <w:tcPr>
            <w:tcW w:w="2338" w:type="dxa"/>
            <w:shd w:val="clear" w:color="auto" w:fill="E4E5E3"/>
          </w:tcPr>
          <w:p w14:paraId="79321D1F" w14:textId="77777777" w:rsidR="00576317" w:rsidRPr="00D809E1" w:rsidRDefault="00576317" w:rsidP="00C83BBB">
            <w:pPr>
              <w:spacing w:before="60" w:after="60"/>
              <w:jc w:val="center"/>
            </w:pPr>
            <w:r w:rsidRPr="00D809E1">
              <w:t>1,800</w:t>
            </w:r>
          </w:p>
        </w:tc>
        <w:tc>
          <w:tcPr>
            <w:tcW w:w="2613" w:type="dxa"/>
            <w:shd w:val="clear" w:color="auto" w:fill="E4E5E3"/>
          </w:tcPr>
          <w:p w14:paraId="12943642" w14:textId="77777777" w:rsidR="00576317" w:rsidRPr="00D809E1" w:rsidRDefault="00576317" w:rsidP="00C83BBB">
            <w:pPr>
              <w:spacing w:before="60" w:after="60"/>
              <w:jc w:val="center"/>
            </w:pPr>
            <w:r w:rsidRPr="00D809E1">
              <w:t>20%</w:t>
            </w:r>
          </w:p>
        </w:tc>
      </w:tr>
      <w:tr w:rsidR="00576317" w:rsidRPr="00B6528E" w14:paraId="22B394D7" w14:textId="77777777" w:rsidTr="00C83BBB">
        <w:tc>
          <w:tcPr>
            <w:tcW w:w="2337" w:type="dxa"/>
            <w:shd w:val="clear" w:color="auto" w:fill="F3F1F1"/>
          </w:tcPr>
          <w:p w14:paraId="1CE1C7CF" w14:textId="77777777" w:rsidR="00576317" w:rsidRPr="00D809E1" w:rsidRDefault="00576317" w:rsidP="00C83BBB">
            <w:pPr>
              <w:spacing w:before="60" w:after="60"/>
              <w:jc w:val="center"/>
            </w:pPr>
            <w:r w:rsidRPr="00D809E1">
              <w:t>20,000</w:t>
            </w:r>
          </w:p>
        </w:tc>
        <w:tc>
          <w:tcPr>
            <w:tcW w:w="2337" w:type="dxa"/>
            <w:shd w:val="clear" w:color="auto" w:fill="F3F1F1"/>
          </w:tcPr>
          <w:p w14:paraId="1CBB1AE8" w14:textId="77777777" w:rsidR="00576317" w:rsidRPr="00D809E1" w:rsidRDefault="00576317" w:rsidP="00C83BBB">
            <w:pPr>
              <w:spacing w:before="60" w:after="60"/>
              <w:jc w:val="center"/>
            </w:pPr>
            <w:r w:rsidRPr="00D809E1">
              <w:t>40,000</w:t>
            </w:r>
          </w:p>
        </w:tc>
        <w:tc>
          <w:tcPr>
            <w:tcW w:w="2338" w:type="dxa"/>
            <w:shd w:val="clear" w:color="auto" w:fill="F3F1F1"/>
          </w:tcPr>
          <w:p w14:paraId="5103ED6E" w14:textId="77777777" w:rsidR="00576317" w:rsidRPr="00D809E1" w:rsidRDefault="00576317" w:rsidP="00C83BBB">
            <w:pPr>
              <w:spacing w:before="60" w:after="60"/>
              <w:jc w:val="center"/>
            </w:pPr>
            <w:r w:rsidRPr="00D809E1">
              <w:t>3,800</w:t>
            </w:r>
          </w:p>
        </w:tc>
        <w:tc>
          <w:tcPr>
            <w:tcW w:w="2613" w:type="dxa"/>
            <w:shd w:val="clear" w:color="auto" w:fill="F3F1F1"/>
          </w:tcPr>
          <w:p w14:paraId="1EB862D0" w14:textId="77777777" w:rsidR="00576317" w:rsidRPr="00D809E1" w:rsidRDefault="00576317" w:rsidP="00C83BBB">
            <w:pPr>
              <w:spacing w:before="60" w:after="60"/>
              <w:jc w:val="center"/>
            </w:pPr>
            <w:r w:rsidRPr="00D809E1">
              <w:t>22%</w:t>
            </w:r>
          </w:p>
        </w:tc>
      </w:tr>
      <w:tr w:rsidR="00576317" w:rsidRPr="00B6528E" w14:paraId="0565518E" w14:textId="77777777" w:rsidTr="00C83BBB">
        <w:trPr>
          <w:trHeight w:val="449"/>
        </w:trPr>
        <w:tc>
          <w:tcPr>
            <w:tcW w:w="2337" w:type="dxa"/>
            <w:shd w:val="clear" w:color="auto" w:fill="E4E5E3"/>
          </w:tcPr>
          <w:p w14:paraId="5E61B653" w14:textId="77777777" w:rsidR="00576317" w:rsidRPr="00D809E1" w:rsidRDefault="00576317" w:rsidP="00C83BBB">
            <w:pPr>
              <w:spacing w:before="60" w:after="60"/>
              <w:jc w:val="center"/>
            </w:pPr>
            <w:r w:rsidRPr="00D809E1">
              <w:t>40,000</w:t>
            </w:r>
          </w:p>
        </w:tc>
        <w:tc>
          <w:tcPr>
            <w:tcW w:w="2337" w:type="dxa"/>
            <w:shd w:val="clear" w:color="auto" w:fill="E4E5E3"/>
          </w:tcPr>
          <w:p w14:paraId="659C6D29" w14:textId="77777777" w:rsidR="00576317" w:rsidRPr="00D809E1" w:rsidRDefault="00576317" w:rsidP="00C83BBB">
            <w:pPr>
              <w:spacing w:before="60" w:after="60"/>
              <w:jc w:val="center"/>
            </w:pPr>
            <w:r w:rsidRPr="00D809E1">
              <w:t>60,000</w:t>
            </w:r>
          </w:p>
        </w:tc>
        <w:tc>
          <w:tcPr>
            <w:tcW w:w="2338" w:type="dxa"/>
            <w:shd w:val="clear" w:color="auto" w:fill="E4E5E3"/>
          </w:tcPr>
          <w:p w14:paraId="3D14A406" w14:textId="77777777" w:rsidR="00576317" w:rsidRPr="00D809E1" w:rsidRDefault="00576317" w:rsidP="00C83BBB">
            <w:pPr>
              <w:spacing w:before="60" w:after="60"/>
              <w:jc w:val="center"/>
            </w:pPr>
            <w:r w:rsidRPr="00D809E1">
              <w:t>8,200</w:t>
            </w:r>
          </w:p>
        </w:tc>
        <w:tc>
          <w:tcPr>
            <w:tcW w:w="2613" w:type="dxa"/>
            <w:shd w:val="clear" w:color="auto" w:fill="E4E5E3"/>
          </w:tcPr>
          <w:p w14:paraId="5BE543C2" w14:textId="77777777" w:rsidR="00576317" w:rsidRPr="00D809E1" w:rsidRDefault="00576317" w:rsidP="00C83BBB">
            <w:pPr>
              <w:spacing w:before="60" w:after="60"/>
              <w:jc w:val="center"/>
            </w:pPr>
            <w:r w:rsidRPr="00D809E1">
              <w:t>24%</w:t>
            </w:r>
          </w:p>
        </w:tc>
      </w:tr>
      <w:tr w:rsidR="00576317" w:rsidRPr="00B6528E" w14:paraId="47842AF5" w14:textId="77777777" w:rsidTr="00C83BBB">
        <w:tc>
          <w:tcPr>
            <w:tcW w:w="2337" w:type="dxa"/>
            <w:shd w:val="clear" w:color="auto" w:fill="F3F1F1"/>
          </w:tcPr>
          <w:p w14:paraId="1AF67387" w14:textId="77777777" w:rsidR="00576317" w:rsidRPr="00D809E1" w:rsidRDefault="00576317" w:rsidP="00C83BBB">
            <w:pPr>
              <w:spacing w:before="60" w:after="60"/>
              <w:jc w:val="center"/>
            </w:pPr>
            <w:r w:rsidRPr="00D809E1">
              <w:t>60,000</w:t>
            </w:r>
          </w:p>
        </w:tc>
        <w:tc>
          <w:tcPr>
            <w:tcW w:w="2337" w:type="dxa"/>
            <w:shd w:val="clear" w:color="auto" w:fill="F3F1F1"/>
          </w:tcPr>
          <w:p w14:paraId="7BBACBB2" w14:textId="77777777" w:rsidR="00576317" w:rsidRPr="00D809E1" w:rsidRDefault="00576317" w:rsidP="00C83BBB">
            <w:pPr>
              <w:spacing w:before="60" w:after="60"/>
              <w:jc w:val="center"/>
            </w:pPr>
            <w:r w:rsidRPr="00D809E1">
              <w:t>80,000</w:t>
            </w:r>
          </w:p>
        </w:tc>
        <w:tc>
          <w:tcPr>
            <w:tcW w:w="2338" w:type="dxa"/>
            <w:shd w:val="clear" w:color="auto" w:fill="F3F1F1"/>
          </w:tcPr>
          <w:p w14:paraId="48255AB5" w14:textId="77777777" w:rsidR="00576317" w:rsidRPr="00D809E1" w:rsidRDefault="00576317" w:rsidP="00C83BBB">
            <w:pPr>
              <w:spacing w:before="60" w:after="60"/>
              <w:jc w:val="center"/>
            </w:pPr>
            <w:r w:rsidRPr="00D809E1">
              <w:t>13,000</w:t>
            </w:r>
          </w:p>
        </w:tc>
        <w:tc>
          <w:tcPr>
            <w:tcW w:w="2613" w:type="dxa"/>
            <w:shd w:val="clear" w:color="auto" w:fill="F3F1F1"/>
          </w:tcPr>
          <w:p w14:paraId="5C15B316" w14:textId="77777777" w:rsidR="00576317" w:rsidRPr="00D809E1" w:rsidRDefault="00576317" w:rsidP="00C83BBB">
            <w:pPr>
              <w:spacing w:before="60" w:after="60"/>
              <w:jc w:val="center"/>
            </w:pPr>
            <w:r w:rsidRPr="00D809E1">
              <w:t>26%</w:t>
            </w:r>
          </w:p>
        </w:tc>
      </w:tr>
      <w:tr w:rsidR="00576317" w:rsidRPr="00B6528E" w14:paraId="1F6F598A" w14:textId="77777777" w:rsidTr="00C83BBB">
        <w:tc>
          <w:tcPr>
            <w:tcW w:w="2337" w:type="dxa"/>
            <w:shd w:val="clear" w:color="auto" w:fill="E4E5E3"/>
          </w:tcPr>
          <w:p w14:paraId="3470DC49" w14:textId="77777777" w:rsidR="00576317" w:rsidRPr="00D809E1" w:rsidRDefault="00576317" w:rsidP="00C83BBB">
            <w:pPr>
              <w:spacing w:before="60" w:after="60"/>
              <w:jc w:val="center"/>
            </w:pPr>
            <w:r w:rsidRPr="00D809E1">
              <w:t>80,000</w:t>
            </w:r>
          </w:p>
        </w:tc>
        <w:tc>
          <w:tcPr>
            <w:tcW w:w="2337" w:type="dxa"/>
            <w:shd w:val="clear" w:color="auto" w:fill="E4E5E3"/>
          </w:tcPr>
          <w:p w14:paraId="68BFA9D8" w14:textId="77777777" w:rsidR="00576317" w:rsidRPr="00D809E1" w:rsidRDefault="00576317" w:rsidP="00C83BBB">
            <w:pPr>
              <w:spacing w:before="60" w:after="60"/>
              <w:jc w:val="center"/>
            </w:pPr>
            <w:r w:rsidRPr="00D809E1">
              <w:t>100,000</w:t>
            </w:r>
          </w:p>
        </w:tc>
        <w:tc>
          <w:tcPr>
            <w:tcW w:w="2338" w:type="dxa"/>
            <w:shd w:val="clear" w:color="auto" w:fill="E4E5E3"/>
          </w:tcPr>
          <w:p w14:paraId="1BE3AEB2" w14:textId="77777777" w:rsidR="00576317" w:rsidRPr="00D809E1" w:rsidRDefault="00576317" w:rsidP="00C83BBB">
            <w:pPr>
              <w:spacing w:before="60" w:after="60"/>
              <w:jc w:val="center"/>
            </w:pPr>
            <w:r w:rsidRPr="00D809E1">
              <w:t>18,200</w:t>
            </w:r>
          </w:p>
        </w:tc>
        <w:tc>
          <w:tcPr>
            <w:tcW w:w="2613" w:type="dxa"/>
            <w:shd w:val="clear" w:color="auto" w:fill="E4E5E3"/>
          </w:tcPr>
          <w:p w14:paraId="08B1935F" w14:textId="77777777" w:rsidR="00576317" w:rsidRPr="00D809E1" w:rsidRDefault="00576317" w:rsidP="00C83BBB">
            <w:pPr>
              <w:spacing w:before="60" w:after="60"/>
              <w:jc w:val="center"/>
            </w:pPr>
            <w:r w:rsidRPr="00D809E1">
              <w:t>28%</w:t>
            </w:r>
          </w:p>
        </w:tc>
      </w:tr>
      <w:tr w:rsidR="00576317" w:rsidRPr="00B6528E" w14:paraId="35DC2C1F" w14:textId="77777777" w:rsidTr="00C83BBB">
        <w:tc>
          <w:tcPr>
            <w:tcW w:w="2337" w:type="dxa"/>
            <w:shd w:val="clear" w:color="auto" w:fill="F3F1F1"/>
          </w:tcPr>
          <w:p w14:paraId="0DCAB530" w14:textId="77777777" w:rsidR="00576317" w:rsidRPr="00D809E1" w:rsidRDefault="00576317" w:rsidP="00C83BBB">
            <w:pPr>
              <w:spacing w:before="60" w:after="60"/>
              <w:jc w:val="center"/>
            </w:pPr>
            <w:r w:rsidRPr="00D809E1">
              <w:t>100,000</w:t>
            </w:r>
          </w:p>
        </w:tc>
        <w:tc>
          <w:tcPr>
            <w:tcW w:w="2337" w:type="dxa"/>
            <w:shd w:val="clear" w:color="auto" w:fill="F3F1F1"/>
          </w:tcPr>
          <w:p w14:paraId="3495B2CD" w14:textId="77777777" w:rsidR="00576317" w:rsidRPr="00D809E1" w:rsidRDefault="00576317" w:rsidP="00C83BBB">
            <w:pPr>
              <w:spacing w:before="60" w:after="60"/>
              <w:jc w:val="center"/>
            </w:pPr>
            <w:r w:rsidRPr="00D809E1">
              <w:t>150,000</w:t>
            </w:r>
          </w:p>
        </w:tc>
        <w:tc>
          <w:tcPr>
            <w:tcW w:w="2338" w:type="dxa"/>
            <w:shd w:val="clear" w:color="auto" w:fill="F3F1F1"/>
          </w:tcPr>
          <w:p w14:paraId="6DF93D6F" w14:textId="77777777" w:rsidR="00576317" w:rsidRPr="00D809E1" w:rsidRDefault="00576317" w:rsidP="00C83BBB">
            <w:pPr>
              <w:spacing w:before="60" w:after="60"/>
              <w:jc w:val="center"/>
            </w:pPr>
            <w:r w:rsidRPr="00D809E1">
              <w:t>23,800</w:t>
            </w:r>
          </w:p>
        </w:tc>
        <w:tc>
          <w:tcPr>
            <w:tcW w:w="2613" w:type="dxa"/>
            <w:shd w:val="clear" w:color="auto" w:fill="F3F1F1"/>
          </w:tcPr>
          <w:p w14:paraId="0DB6B8CC" w14:textId="77777777" w:rsidR="00576317" w:rsidRPr="00D809E1" w:rsidRDefault="00576317" w:rsidP="00C83BBB">
            <w:pPr>
              <w:spacing w:before="60" w:after="60"/>
              <w:jc w:val="center"/>
            </w:pPr>
            <w:r w:rsidRPr="00D809E1">
              <w:t>30%</w:t>
            </w:r>
          </w:p>
        </w:tc>
      </w:tr>
      <w:tr w:rsidR="00576317" w:rsidRPr="00B6528E" w14:paraId="6F5034B8" w14:textId="77777777" w:rsidTr="00C83BBB">
        <w:tc>
          <w:tcPr>
            <w:tcW w:w="2337" w:type="dxa"/>
            <w:shd w:val="clear" w:color="auto" w:fill="E4E5E3"/>
          </w:tcPr>
          <w:p w14:paraId="5A957C13" w14:textId="77777777" w:rsidR="00576317" w:rsidRPr="00D809E1" w:rsidRDefault="00576317" w:rsidP="00C83BBB">
            <w:pPr>
              <w:spacing w:before="60" w:after="60"/>
              <w:jc w:val="center"/>
            </w:pPr>
            <w:r w:rsidRPr="00D809E1">
              <w:t>150,000</w:t>
            </w:r>
          </w:p>
        </w:tc>
        <w:tc>
          <w:tcPr>
            <w:tcW w:w="2337" w:type="dxa"/>
            <w:shd w:val="clear" w:color="auto" w:fill="E4E5E3"/>
          </w:tcPr>
          <w:p w14:paraId="33C5C470" w14:textId="77777777" w:rsidR="00576317" w:rsidRPr="00D809E1" w:rsidRDefault="00576317" w:rsidP="00C83BBB">
            <w:pPr>
              <w:spacing w:before="60" w:after="60"/>
              <w:jc w:val="center"/>
            </w:pPr>
            <w:r w:rsidRPr="00D809E1">
              <w:t>250,000</w:t>
            </w:r>
          </w:p>
        </w:tc>
        <w:tc>
          <w:tcPr>
            <w:tcW w:w="2338" w:type="dxa"/>
            <w:shd w:val="clear" w:color="auto" w:fill="E4E5E3"/>
          </w:tcPr>
          <w:p w14:paraId="450DC6DE" w14:textId="77777777" w:rsidR="00576317" w:rsidRPr="00D809E1" w:rsidRDefault="00576317" w:rsidP="00C83BBB">
            <w:pPr>
              <w:spacing w:before="60" w:after="60"/>
              <w:jc w:val="center"/>
            </w:pPr>
            <w:r w:rsidRPr="00D809E1">
              <w:t>38,800</w:t>
            </w:r>
          </w:p>
        </w:tc>
        <w:tc>
          <w:tcPr>
            <w:tcW w:w="2613" w:type="dxa"/>
            <w:shd w:val="clear" w:color="auto" w:fill="E4E5E3"/>
          </w:tcPr>
          <w:p w14:paraId="3C9305BF" w14:textId="77777777" w:rsidR="00576317" w:rsidRPr="00D809E1" w:rsidRDefault="00576317" w:rsidP="00C83BBB">
            <w:pPr>
              <w:spacing w:before="60" w:after="60"/>
              <w:jc w:val="center"/>
            </w:pPr>
            <w:r w:rsidRPr="00D809E1">
              <w:t>32%</w:t>
            </w:r>
          </w:p>
        </w:tc>
      </w:tr>
      <w:tr w:rsidR="00576317" w:rsidRPr="00B6528E" w14:paraId="558CFCCB" w14:textId="77777777" w:rsidTr="00C83BBB">
        <w:tc>
          <w:tcPr>
            <w:tcW w:w="2337" w:type="dxa"/>
            <w:shd w:val="clear" w:color="auto" w:fill="F3F1F1"/>
          </w:tcPr>
          <w:p w14:paraId="730369DB" w14:textId="77777777" w:rsidR="00576317" w:rsidRPr="00D809E1" w:rsidRDefault="00576317" w:rsidP="00C83BBB">
            <w:pPr>
              <w:spacing w:before="60" w:after="60"/>
              <w:jc w:val="center"/>
            </w:pPr>
            <w:r w:rsidRPr="00D809E1">
              <w:t>250,000</w:t>
            </w:r>
          </w:p>
        </w:tc>
        <w:tc>
          <w:tcPr>
            <w:tcW w:w="2337" w:type="dxa"/>
            <w:shd w:val="clear" w:color="auto" w:fill="F3F1F1"/>
          </w:tcPr>
          <w:p w14:paraId="6500EFDE" w14:textId="77777777" w:rsidR="00576317" w:rsidRPr="00D809E1" w:rsidRDefault="00576317" w:rsidP="00C83BBB">
            <w:pPr>
              <w:spacing w:before="60" w:after="60"/>
              <w:jc w:val="center"/>
            </w:pPr>
            <w:r w:rsidRPr="00D809E1">
              <w:t>500,000</w:t>
            </w:r>
          </w:p>
        </w:tc>
        <w:tc>
          <w:tcPr>
            <w:tcW w:w="2338" w:type="dxa"/>
            <w:shd w:val="clear" w:color="auto" w:fill="F3F1F1"/>
          </w:tcPr>
          <w:p w14:paraId="6FFEF47B" w14:textId="77777777" w:rsidR="00576317" w:rsidRPr="00D809E1" w:rsidRDefault="00576317" w:rsidP="00C83BBB">
            <w:pPr>
              <w:spacing w:before="60" w:after="60"/>
              <w:jc w:val="center"/>
            </w:pPr>
            <w:r w:rsidRPr="00D809E1">
              <w:t>70,800</w:t>
            </w:r>
          </w:p>
        </w:tc>
        <w:tc>
          <w:tcPr>
            <w:tcW w:w="2613" w:type="dxa"/>
            <w:shd w:val="clear" w:color="auto" w:fill="F3F1F1"/>
          </w:tcPr>
          <w:p w14:paraId="22F614E9" w14:textId="77777777" w:rsidR="00576317" w:rsidRPr="00D809E1" w:rsidRDefault="00576317" w:rsidP="00C83BBB">
            <w:pPr>
              <w:spacing w:before="60" w:after="60"/>
              <w:jc w:val="center"/>
            </w:pPr>
            <w:r w:rsidRPr="00D809E1">
              <w:t>34%</w:t>
            </w:r>
          </w:p>
        </w:tc>
      </w:tr>
      <w:tr w:rsidR="00576317" w:rsidRPr="00B6528E" w14:paraId="451F1A79" w14:textId="77777777" w:rsidTr="00C83BBB">
        <w:tc>
          <w:tcPr>
            <w:tcW w:w="2337" w:type="dxa"/>
            <w:shd w:val="clear" w:color="auto" w:fill="E4E5E3"/>
          </w:tcPr>
          <w:p w14:paraId="1CCAE2E5" w14:textId="77777777" w:rsidR="00576317" w:rsidRPr="00D809E1" w:rsidRDefault="00576317" w:rsidP="00C83BBB">
            <w:pPr>
              <w:spacing w:before="60" w:after="60"/>
              <w:jc w:val="center"/>
            </w:pPr>
            <w:r w:rsidRPr="00D809E1">
              <w:t>500,000</w:t>
            </w:r>
          </w:p>
        </w:tc>
        <w:tc>
          <w:tcPr>
            <w:tcW w:w="2337" w:type="dxa"/>
            <w:shd w:val="clear" w:color="auto" w:fill="E4E5E3"/>
          </w:tcPr>
          <w:p w14:paraId="2E6F3B4B" w14:textId="77777777" w:rsidR="00576317" w:rsidRPr="00D809E1" w:rsidRDefault="00576317" w:rsidP="00C83BBB">
            <w:pPr>
              <w:spacing w:before="60" w:after="60"/>
              <w:jc w:val="center"/>
            </w:pPr>
            <w:r w:rsidRPr="00D809E1">
              <w:t>750,000</w:t>
            </w:r>
          </w:p>
        </w:tc>
        <w:tc>
          <w:tcPr>
            <w:tcW w:w="2338" w:type="dxa"/>
            <w:shd w:val="clear" w:color="auto" w:fill="E4E5E3"/>
          </w:tcPr>
          <w:p w14:paraId="7C426663" w14:textId="77777777" w:rsidR="00576317" w:rsidRPr="00D809E1" w:rsidRDefault="00576317" w:rsidP="00C83BBB">
            <w:pPr>
              <w:spacing w:before="60" w:after="60"/>
              <w:jc w:val="center"/>
            </w:pPr>
            <w:r w:rsidRPr="00D809E1">
              <w:t>155,800</w:t>
            </w:r>
          </w:p>
        </w:tc>
        <w:tc>
          <w:tcPr>
            <w:tcW w:w="2613" w:type="dxa"/>
            <w:shd w:val="clear" w:color="auto" w:fill="E4E5E3"/>
          </w:tcPr>
          <w:p w14:paraId="1A5EE25F" w14:textId="77777777" w:rsidR="00576317" w:rsidRPr="00D809E1" w:rsidRDefault="00576317" w:rsidP="00C83BBB">
            <w:pPr>
              <w:spacing w:before="60" w:after="60"/>
              <w:jc w:val="center"/>
            </w:pPr>
            <w:r w:rsidRPr="00D809E1">
              <w:t>37%</w:t>
            </w:r>
          </w:p>
        </w:tc>
      </w:tr>
      <w:tr w:rsidR="00576317" w:rsidRPr="00B6528E" w14:paraId="65457FA4" w14:textId="77777777" w:rsidTr="00C83BBB">
        <w:tc>
          <w:tcPr>
            <w:tcW w:w="2337" w:type="dxa"/>
            <w:shd w:val="clear" w:color="auto" w:fill="F3F1F1"/>
          </w:tcPr>
          <w:p w14:paraId="55476421" w14:textId="77777777" w:rsidR="00576317" w:rsidRPr="00D809E1" w:rsidRDefault="00576317" w:rsidP="00C83BBB">
            <w:pPr>
              <w:spacing w:before="60" w:after="60"/>
              <w:jc w:val="center"/>
            </w:pPr>
            <w:r w:rsidRPr="00D809E1">
              <w:t>750,000</w:t>
            </w:r>
          </w:p>
        </w:tc>
        <w:tc>
          <w:tcPr>
            <w:tcW w:w="2337" w:type="dxa"/>
            <w:shd w:val="clear" w:color="auto" w:fill="F3F1F1"/>
          </w:tcPr>
          <w:p w14:paraId="2ED92D77" w14:textId="77777777" w:rsidR="00576317" w:rsidRPr="00D809E1" w:rsidRDefault="00576317" w:rsidP="00C83BBB">
            <w:pPr>
              <w:spacing w:before="60" w:after="60"/>
              <w:jc w:val="center"/>
            </w:pPr>
            <w:r w:rsidRPr="00D809E1">
              <w:t>1,000,000</w:t>
            </w:r>
          </w:p>
        </w:tc>
        <w:tc>
          <w:tcPr>
            <w:tcW w:w="2338" w:type="dxa"/>
            <w:shd w:val="clear" w:color="auto" w:fill="F3F1F1"/>
          </w:tcPr>
          <w:p w14:paraId="5CB20226" w14:textId="77777777" w:rsidR="00576317" w:rsidRPr="00D809E1" w:rsidRDefault="00576317" w:rsidP="00C83BBB">
            <w:pPr>
              <w:spacing w:before="60" w:after="60"/>
              <w:jc w:val="center"/>
            </w:pPr>
            <w:r w:rsidRPr="00D809E1">
              <w:t>248,300</w:t>
            </w:r>
          </w:p>
        </w:tc>
        <w:tc>
          <w:tcPr>
            <w:tcW w:w="2613" w:type="dxa"/>
            <w:shd w:val="clear" w:color="auto" w:fill="F3F1F1"/>
          </w:tcPr>
          <w:p w14:paraId="3409566E" w14:textId="77777777" w:rsidR="00576317" w:rsidRPr="00D809E1" w:rsidRDefault="00576317" w:rsidP="00C83BBB">
            <w:pPr>
              <w:spacing w:before="60" w:after="60"/>
              <w:jc w:val="center"/>
            </w:pPr>
            <w:r w:rsidRPr="00D809E1">
              <w:t>39%</w:t>
            </w:r>
          </w:p>
        </w:tc>
      </w:tr>
      <w:tr w:rsidR="00576317" w:rsidRPr="00B6528E" w14:paraId="263207F6" w14:textId="77777777" w:rsidTr="00C83BBB">
        <w:tc>
          <w:tcPr>
            <w:tcW w:w="2337" w:type="dxa"/>
            <w:shd w:val="clear" w:color="auto" w:fill="E4E5E3"/>
          </w:tcPr>
          <w:p w14:paraId="363EB3EF" w14:textId="77777777" w:rsidR="00576317" w:rsidRPr="00D809E1" w:rsidRDefault="00576317" w:rsidP="00C83BBB">
            <w:pPr>
              <w:spacing w:before="60" w:after="60"/>
              <w:jc w:val="center"/>
            </w:pPr>
            <w:r w:rsidRPr="00D809E1">
              <w:t>1,000,000</w:t>
            </w:r>
          </w:p>
        </w:tc>
        <w:tc>
          <w:tcPr>
            <w:tcW w:w="2337" w:type="dxa"/>
            <w:shd w:val="clear" w:color="auto" w:fill="E4E5E3"/>
          </w:tcPr>
          <w:p w14:paraId="1E89AD3F" w14:textId="77777777" w:rsidR="00576317" w:rsidRPr="00D809E1" w:rsidRDefault="00576317" w:rsidP="00C83BBB">
            <w:pPr>
              <w:spacing w:before="60" w:after="60"/>
              <w:jc w:val="center"/>
            </w:pPr>
            <w:r w:rsidRPr="00D809E1">
              <w:t>----</w:t>
            </w:r>
          </w:p>
        </w:tc>
        <w:tc>
          <w:tcPr>
            <w:tcW w:w="2338" w:type="dxa"/>
            <w:shd w:val="clear" w:color="auto" w:fill="E4E5E3"/>
          </w:tcPr>
          <w:p w14:paraId="22C80010" w14:textId="77777777" w:rsidR="00576317" w:rsidRPr="00D809E1" w:rsidRDefault="00576317" w:rsidP="00C83BBB">
            <w:pPr>
              <w:spacing w:before="60" w:after="60"/>
              <w:jc w:val="center"/>
            </w:pPr>
            <w:r w:rsidRPr="00D809E1">
              <w:t>345,800</w:t>
            </w:r>
          </w:p>
        </w:tc>
        <w:tc>
          <w:tcPr>
            <w:tcW w:w="2613" w:type="dxa"/>
            <w:shd w:val="clear" w:color="auto" w:fill="E4E5E3"/>
          </w:tcPr>
          <w:p w14:paraId="6DB725CC" w14:textId="77777777" w:rsidR="00576317" w:rsidRPr="00D809E1" w:rsidRDefault="00576317" w:rsidP="00C83BBB">
            <w:pPr>
              <w:spacing w:before="60" w:after="60"/>
              <w:jc w:val="center"/>
            </w:pPr>
            <w:r w:rsidRPr="00D809E1">
              <w:t>40%</w:t>
            </w:r>
          </w:p>
        </w:tc>
      </w:tr>
    </w:tbl>
    <w:p w14:paraId="68681DCA" w14:textId="77777777" w:rsidR="00576317" w:rsidRPr="00160EF1" w:rsidRDefault="00576317" w:rsidP="00576317">
      <w:pPr>
        <w:rPr>
          <w:i/>
          <w:sz w:val="16"/>
          <w:szCs w:val="16"/>
        </w:rPr>
      </w:pPr>
      <w:r w:rsidRPr="00160EF1">
        <w:rPr>
          <w:i/>
          <w:sz w:val="16"/>
          <w:szCs w:val="16"/>
        </w:rPr>
        <w:t>*This schedule is for 2013 and subsequent years</w:t>
      </w:r>
      <w:r w:rsidR="00901B90">
        <w:rPr>
          <w:i/>
          <w:sz w:val="16"/>
          <w:szCs w:val="16"/>
        </w:rPr>
        <w:t>.</w:t>
      </w:r>
    </w:p>
    <w:p w14:paraId="7D4BBBC6" w14:textId="77777777" w:rsidR="00576317" w:rsidRDefault="00160EF1" w:rsidP="00160EF1">
      <w:pPr>
        <w:pStyle w:val="BodyTextBoldRed"/>
      </w:pPr>
      <w:r w:rsidRPr="00160EF1">
        <w:t>Enter your results in the blank space provided and click the Submit button.</w:t>
      </w:r>
    </w:p>
    <w:p w14:paraId="5D6FA2A0" w14:textId="77777777" w:rsidR="00435B61" w:rsidRPr="003D26C6" w:rsidRDefault="00435B61" w:rsidP="001121D2">
      <w:pPr>
        <w:rPr>
          <w:rStyle w:val="Strong"/>
        </w:rPr>
      </w:pPr>
      <w:r w:rsidRPr="00901B90">
        <w:rPr>
          <w:rStyle w:val="Strong"/>
        </w:rPr>
        <w:t>Tentative Tax on a transfer of $150,000 = ___________</w:t>
      </w:r>
    </w:p>
    <w:p w14:paraId="1EBEAC2B" w14:textId="77777777" w:rsidR="00435B61" w:rsidRPr="003D26C6" w:rsidRDefault="00435B61" w:rsidP="00A14084">
      <w:pPr>
        <w:rPr>
          <w:rStyle w:val="Strong"/>
        </w:rPr>
      </w:pPr>
      <w:r w:rsidRPr="003D26C6">
        <w:rPr>
          <w:rStyle w:val="Strong"/>
        </w:rPr>
        <w:t>Tentative Tax on a transfer of $350,000 = ___________</w:t>
      </w:r>
    </w:p>
    <w:p w14:paraId="13DFB182" w14:textId="77777777" w:rsidR="00A14084" w:rsidRPr="00AC38B5" w:rsidRDefault="00A14084" w:rsidP="00A14084">
      <w:pPr>
        <w:spacing w:before="0" w:after="0"/>
        <w:rPr>
          <w:szCs w:val="20"/>
        </w:rPr>
      </w:pPr>
    </w:p>
    <w:p w14:paraId="07A9916F" w14:textId="77777777" w:rsidR="00435B61" w:rsidRPr="00D914D1" w:rsidRDefault="00435B61" w:rsidP="00A14084">
      <w:pPr>
        <w:rPr>
          <w:szCs w:val="20"/>
        </w:rPr>
      </w:pPr>
      <w:r w:rsidRPr="00AC38B5">
        <w:rPr>
          <w:szCs w:val="20"/>
        </w:rPr>
        <w:t xml:space="preserve">Next, identify the </w:t>
      </w:r>
      <w:r w:rsidRPr="00D914D1">
        <w:rPr>
          <w:bCs/>
          <w:szCs w:val="20"/>
        </w:rPr>
        <w:t>marginal rates</w:t>
      </w:r>
      <w:r w:rsidRPr="00D914D1">
        <w:rPr>
          <w:szCs w:val="20"/>
        </w:rPr>
        <w:t xml:space="preserve"> for the following amounts:</w:t>
      </w:r>
    </w:p>
    <w:p w14:paraId="0F3D1490" w14:textId="77777777" w:rsidR="00435B61" w:rsidRPr="00901B90" w:rsidRDefault="00435B61" w:rsidP="00A14084">
      <w:pPr>
        <w:rPr>
          <w:rStyle w:val="Strong"/>
        </w:rPr>
      </w:pPr>
      <w:r w:rsidRPr="00901B90">
        <w:rPr>
          <w:rStyle w:val="Strong"/>
        </w:rPr>
        <w:t>Marginal rate on a transfer of $450,000 =___________%</w:t>
      </w:r>
    </w:p>
    <w:p w14:paraId="354A857F" w14:textId="77777777" w:rsidR="00435B61" w:rsidRPr="003D26C6" w:rsidRDefault="00435B61" w:rsidP="00A14084">
      <w:pPr>
        <w:rPr>
          <w:rStyle w:val="Strong"/>
        </w:rPr>
      </w:pPr>
      <w:r w:rsidRPr="00901B90">
        <w:rPr>
          <w:rStyle w:val="Strong"/>
        </w:rPr>
        <w:t>Marginal rate on a t</w:t>
      </w:r>
      <w:r w:rsidR="00A14084" w:rsidRPr="00901B90">
        <w:rPr>
          <w:rStyle w:val="Strong"/>
        </w:rPr>
        <w:t>ransfer of $4,500,000 =_______</w:t>
      </w:r>
      <w:r w:rsidRPr="00901B90">
        <w:rPr>
          <w:rStyle w:val="Strong"/>
        </w:rPr>
        <w:t>__%</w:t>
      </w:r>
    </w:p>
    <w:p w14:paraId="06F020EC" w14:textId="77777777" w:rsidR="00A14084" w:rsidRPr="00160EF1" w:rsidRDefault="00A14084" w:rsidP="00A14084">
      <w:pPr>
        <w:pStyle w:val="directions"/>
        <w:rPr>
          <w:rFonts w:ascii="Verdana" w:hAnsi="Verdana"/>
          <w:sz w:val="20"/>
        </w:rPr>
      </w:pPr>
      <w:r w:rsidRPr="00160EF1">
        <w:rPr>
          <w:rFonts w:ascii="Verdana" w:hAnsi="Verdana"/>
          <w:sz w:val="20"/>
        </w:rPr>
        <w:t>The answers to these questions are found on the following page.</w:t>
      </w:r>
    </w:p>
    <w:p w14:paraId="452BB1A9" w14:textId="77777777" w:rsidR="00A14084" w:rsidRPr="003D26C6" w:rsidRDefault="00A14084" w:rsidP="00A14084">
      <w:pPr>
        <w:spacing w:before="0" w:after="0"/>
        <w:rPr>
          <w:szCs w:val="20"/>
        </w:rPr>
      </w:pPr>
    </w:p>
    <w:p w14:paraId="384B7584" w14:textId="77777777" w:rsidR="00A14084" w:rsidRPr="00E23023" w:rsidRDefault="0068737D" w:rsidP="005F29D2">
      <w:pPr>
        <w:pStyle w:val="Heading2"/>
      </w:pPr>
      <w:r>
        <w:br w:type="page"/>
      </w:r>
      <w:r w:rsidR="00576317" w:rsidRPr="001B567F">
        <w:lastRenderedPageBreak/>
        <w:t>Practice – Using the Gift and Estate Rate Schedule</w:t>
      </w:r>
      <w:r w:rsidR="00576317" w:rsidRPr="00E23023" w:rsidDel="00576317">
        <w:t xml:space="preserve"> </w:t>
      </w:r>
      <w:r w:rsidR="00A14084">
        <w:t>Answer Key</w:t>
      </w:r>
    </w:p>
    <w:p w14:paraId="41E8099E" w14:textId="77777777" w:rsidR="00A14084" w:rsidRPr="00160EF1" w:rsidRDefault="00A14084" w:rsidP="00A14084">
      <w:pPr>
        <w:rPr>
          <w:rStyle w:val="Strong"/>
          <w:u w:val="single"/>
        </w:rPr>
      </w:pPr>
      <w:r w:rsidRPr="00160EF1">
        <w:rPr>
          <w:rStyle w:val="Strong"/>
        </w:rPr>
        <w:t xml:space="preserve">Tentative Tax on a transfer of $150,000 = </w:t>
      </w:r>
      <w:r w:rsidRPr="00160EF1">
        <w:rPr>
          <w:rStyle w:val="Strong"/>
          <w:u w:val="single"/>
        </w:rPr>
        <w:t>$38,800</w:t>
      </w:r>
    </w:p>
    <w:p w14:paraId="7DC5C2DE" w14:textId="77777777" w:rsidR="00A14084" w:rsidRPr="00160EF1" w:rsidRDefault="00A14084" w:rsidP="00A14084">
      <w:pPr>
        <w:pStyle w:val="ReviewAnswer"/>
        <w:rPr>
          <w:sz w:val="20"/>
          <w:szCs w:val="20"/>
        </w:rPr>
      </w:pPr>
      <w:r w:rsidRPr="00160EF1">
        <w:rPr>
          <w:rStyle w:val="Strong"/>
          <w:sz w:val="20"/>
        </w:rPr>
        <w:t>Correct!</w:t>
      </w:r>
      <w:r w:rsidRPr="00160EF1">
        <w:rPr>
          <w:sz w:val="20"/>
          <w:szCs w:val="20"/>
        </w:rPr>
        <w:t xml:space="preserve"> The answer is $38,800</w:t>
      </w:r>
    </w:p>
    <w:p w14:paraId="26D1C200" w14:textId="77777777" w:rsidR="00A14084" w:rsidRPr="00160EF1" w:rsidRDefault="00A14084" w:rsidP="00A14084">
      <w:pPr>
        <w:pStyle w:val="ReviewAnswer"/>
        <w:rPr>
          <w:sz w:val="20"/>
          <w:szCs w:val="20"/>
        </w:rPr>
      </w:pPr>
      <w:r w:rsidRPr="00160EF1">
        <w:rPr>
          <w:rStyle w:val="Strong"/>
          <w:sz w:val="20"/>
        </w:rPr>
        <w:t>Incorrect.</w:t>
      </w:r>
      <w:r w:rsidRPr="00160EF1">
        <w:rPr>
          <w:sz w:val="20"/>
          <w:szCs w:val="20"/>
        </w:rPr>
        <w:t xml:space="preserve"> To find the correct tax, follow these steps: </w:t>
      </w:r>
    </w:p>
    <w:p w14:paraId="580C3D82" w14:textId="77777777" w:rsidR="00A14084" w:rsidRPr="00160EF1" w:rsidRDefault="00A14084" w:rsidP="00A14084">
      <w:pPr>
        <w:pStyle w:val="ReviewAnswer"/>
        <w:rPr>
          <w:sz w:val="20"/>
          <w:szCs w:val="20"/>
        </w:rPr>
      </w:pPr>
      <w:r w:rsidRPr="00160EF1">
        <w:rPr>
          <w:rStyle w:val="Strong"/>
          <w:sz w:val="20"/>
        </w:rPr>
        <w:t>Step 1.</w:t>
      </w:r>
      <w:r w:rsidRPr="00160EF1">
        <w:rPr>
          <w:sz w:val="20"/>
          <w:szCs w:val="20"/>
        </w:rPr>
        <w:t xml:space="preserve"> Locate the row where $150,000 falls within the range given in the first two columns. This occurs in the range of $150,000 to $</w:t>
      </w:r>
      <w:r w:rsidR="00576317" w:rsidRPr="00160EF1">
        <w:rPr>
          <w:sz w:val="20"/>
          <w:szCs w:val="20"/>
        </w:rPr>
        <w:t>250</w:t>
      </w:r>
      <w:r w:rsidRPr="00160EF1">
        <w:rPr>
          <w:sz w:val="20"/>
          <w:szCs w:val="20"/>
        </w:rPr>
        <w:t>,</w:t>
      </w:r>
      <w:r w:rsidR="00576317" w:rsidRPr="00160EF1">
        <w:rPr>
          <w:sz w:val="20"/>
          <w:szCs w:val="20"/>
        </w:rPr>
        <w:t>000</w:t>
      </w:r>
      <w:r w:rsidRPr="00160EF1">
        <w:rPr>
          <w:sz w:val="20"/>
          <w:szCs w:val="20"/>
        </w:rPr>
        <w:t xml:space="preserve">. </w:t>
      </w:r>
    </w:p>
    <w:p w14:paraId="68A09750" w14:textId="77777777" w:rsidR="00A14084" w:rsidRPr="00160EF1" w:rsidRDefault="00A14084" w:rsidP="00A14084">
      <w:pPr>
        <w:pStyle w:val="ReviewAnswer"/>
        <w:rPr>
          <w:sz w:val="20"/>
          <w:szCs w:val="20"/>
        </w:rPr>
      </w:pPr>
      <w:r w:rsidRPr="00160EF1">
        <w:rPr>
          <w:rStyle w:val="Strong"/>
          <w:sz w:val="20"/>
        </w:rPr>
        <w:t>Step 2.</w:t>
      </w:r>
      <w:r w:rsidRPr="00160EF1">
        <w:rPr>
          <w:sz w:val="20"/>
          <w:szCs w:val="20"/>
        </w:rPr>
        <w:t xml:space="preserve"> The third and fourth columns indicate the tax would be $38,800 plus 32% of any amount over that listed in Column </w:t>
      </w:r>
      <w:r w:rsidR="00576317" w:rsidRPr="00160EF1">
        <w:rPr>
          <w:sz w:val="20"/>
          <w:szCs w:val="20"/>
        </w:rPr>
        <w:t>A</w:t>
      </w:r>
      <w:r w:rsidRPr="00160EF1">
        <w:rPr>
          <w:sz w:val="20"/>
          <w:szCs w:val="20"/>
        </w:rPr>
        <w:t xml:space="preserve"> ($150,000). Since our estate is exactly $150,000, there is nothing further to calculate, so the tentative tax is $38,800.</w:t>
      </w:r>
    </w:p>
    <w:p w14:paraId="73D9D843" w14:textId="77777777" w:rsidR="00A14084" w:rsidRPr="00160EF1" w:rsidRDefault="00A14084" w:rsidP="00A14084">
      <w:pPr>
        <w:rPr>
          <w:rStyle w:val="Strong"/>
        </w:rPr>
      </w:pPr>
      <w:r w:rsidRPr="00160EF1">
        <w:rPr>
          <w:rStyle w:val="Strong"/>
        </w:rPr>
        <w:t xml:space="preserve">Tentative Tax on a transfer of $350,000 = </w:t>
      </w:r>
      <w:r w:rsidRPr="00160EF1">
        <w:rPr>
          <w:rStyle w:val="Strong"/>
          <w:u w:val="single"/>
        </w:rPr>
        <w:t>$104,800</w:t>
      </w:r>
    </w:p>
    <w:p w14:paraId="074A7A61" w14:textId="77777777" w:rsidR="00A14084" w:rsidRPr="00160EF1" w:rsidRDefault="00A14084" w:rsidP="00A14084">
      <w:pPr>
        <w:pStyle w:val="ReviewAnswer"/>
        <w:rPr>
          <w:sz w:val="20"/>
          <w:szCs w:val="20"/>
        </w:rPr>
      </w:pPr>
      <w:r w:rsidRPr="00160EF1">
        <w:rPr>
          <w:rStyle w:val="Strong"/>
          <w:sz w:val="20"/>
        </w:rPr>
        <w:t>Correct!</w:t>
      </w:r>
      <w:r w:rsidRPr="00160EF1">
        <w:rPr>
          <w:sz w:val="20"/>
          <w:szCs w:val="20"/>
        </w:rPr>
        <w:t xml:space="preserve"> The </w:t>
      </w:r>
      <w:r w:rsidR="003D26C6">
        <w:rPr>
          <w:sz w:val="20"/>
          <w:szCs w:val="20"/>
        </w:rPr>
        <w:t>a</w:t>
      </w:r>
      <w:r w:rsidR="003D26C6" w:rsidRPr="00160EF1">
        <w:rPr>
          <w:sz w:val="20"/>
          <w:szCs w:val="20"/>
        </w:rPr>
        <w:t xml:space="preserve">nswer </w:t>
      </w:r>
      <w:r w:rsidRPr="00160EF1">
        <w:rPr>
          <w:sz w:val="20"/>
          <w:szCs w:val="20"/>
        </w:rPr>
        <w:t>is $104,800.</w:t>
      </w:r>
    </w:p>
    <w:p w14:paraId="4F458E6A" w14:textId="77777777" w:rsidR="00A14084" w:rsidRPr="00160EF1" w:rsidRDefault="00A14084" w:rsidP="00A14084">
      <w:pPr>
        <w:pStyle w:val="ReviewAnswer"/>
        <w:rPr>
          <w:sz w:val="20"/>
          <w:szCs w:val="20"/>
        </w:rPr>
      </w:pPr>
      <w:r w:rsidRPr="00160EF1">
        <w:rPr>
          <w:rStyle w:val="Strong"/>
          <w:sz w:val="20"/>
        </w:rPr>
        <w:t>Incorrect</w:t>
      </w:r>
      <w:r w:rsidRPr="00160EF1">
        <w:rPr>
          <w:sz w:val="20"/>
          <w:szCs w:val="20"/>
        </w:rPr>
        <w:t xml:space="preserve">. To find the correct tax, follow these steps. </w:t>
      </w:r>
    </w:p>
    <w:p w14:paraId="3A7554AC" w14:textId="77777777" w:rsidR="00A14084" w:rsidRPr="00160EF1" w:rsidRDefault="00A14084" w:rsidP="00A14084">
      <w:pPr>
        <w:pStyle w:val="ReviewAnswer"/>
        <w:rPr>
          <w:sz w:val="20"/>
          <w:szCs w:val="20"/>
        </w:rPr>
      </w:pPr>
      <w:r w:rsidRPr="00160EF1">
        <w:rPr>
          <w:rStyle w:val="Strong"/>
          <w:sz w:val="20"/>
        </w:rPr>
        <w:t>Step 1.</w:t>
      </w:r>
      <w:r w:rsidRPr="00160EF1">
        <w:rPr>
          <w:sz w:val="20"/>
          <w:szCs w:val="20"/>
        </w:rPr>
        <w:t xml:space="preserve"> Locate the row where $350,000 falls within the range listed in </w:t>
      </w:r>
      <w:r w:rsidR="003D26C6" w:rsidRPr="003D26C6">
        <w:rPr>
          <w:sz w:val="20"/>
          <w:szCs w:val="20"/>
        </w:rPr>
        <w:t xml:space="preserve">Columns </w:t>
      </w:r>
      <w:r w:rsidR="00576317" w:rsidRPr="00160EF1">
        <w:rPr>
          <w:sz w:val="20"/>
          <w:szCs w:val="20"/>
        </w:rPr>
        <w:t xml:space="preserve">A </w:t>
      </w:r>
      <w:r w:rsidRPr="00160EF1">
        <w:rPr>
          <w:sz w:val="20"/>
          <w:szCs w:val="20"/>
        </w:rPr>
        <w:t xml:space="preserve">and </w:t>
      </w:r>
      <w:r w:rsidR="00576317" w:rsidRPr="00160EF1">
        <w:rPr>
          <w:sz w:val="20"/>
          <w:szCs w:val="20"/>
        </w:rPr>
        <w:t>B</w:t>
      </w:r>
      <w:r w:rsidRPr="00160EF1">
        <w:rPr>
          <w:sz w:val="20"/>
          <w:szCs w:val="20"/>
        </w:rPr>
        <w:t>. The appropriate range is $250,000 to $</w:t>
      </w:r>
      <w:r w:rsidR="00576317" w:rsidRPr="00160EF1">
        <w:rPr>
          <w:sz w:val="20"/>
          <w:szCs w:val="20"/>
        </w:rPr>
        <w:t>500</w:t>
      </w:r>
      <w:r w:rsidRPr="00160EF1">
        <w:rPr>
          <w:sz w:val="20"/>
          <w:szCs w:val="20"/>
        </w:rPr>
        <w:t>,</w:t>
      </w:r>
      <w:r w:rsidR="00576317" w:rsidRPr="00160EF1">
        <w:rPr>
          <w:sz w:val="20"/>
          <w:szCs w:val="20"/>
        </w:rPr>
        <w:t>000</w:t>
      </w:r>
      <w:r w:rsidRPr="00160EF1">
        <w:rPr>
          <w:sz w:val="20"/>
          <w:szCs w:val="20"/>
        </w:rPr>
        <w:t xml:space="preserve">. </w:t>
      </w:r>
    </w:p>
    <w:p w14:paraId="423E0DFF" w14:textId="77777777" w:rsidR="00A14084" w:rsidRPr="00160EF1" w:rsidRDefault="00A14084" w:rsidP="00A14084">
      <w:pPr>
        <w:pStyle w:val="ReviewAnswer"/>
        <w:rPr>
          <w:sz w:val="20"/>
          <w:szCs w:val="20"/>
        </w:rPr>
      </w:pPr>
      <w:r w:rsidRPr="00160EF1">
        <w:rPr>
          <w:rStyle w:val="Strong"/>
          <w:sz w:val="20"/>
        </w:rPr>
        <w:t>Step 2.</w:t>
      </w:r>
      <w:r w:rsidRPr="00160EF1">
        <w:rPr>
          <w:sz w:val="20"/>
          <w:szCs w:val="20"/>
        </w:rPr>
        <w:t xml:space="preserve"> Columns </w:t>
      </w:r>
      <w:r w:rsidR="00576317" w:rsidRPr="00160EF1">
        <w:rPr>
          <w:sz w:val="20"/>
          <w:szCs w:val="20"/>
        </w:rPr>
        <w:t xml:space="preserve">C </w:t>
      </w:r>
      <w:r w:rsidRPr="00160EF1">
        <w:rPr>
          <w:sz w:val="20"/>
          <w:szCs w:val="20"/>
        </w:rPr>
        <w:t xml:space="preserve">and </w:t>
      </w:r>
      <w:r w:rsidR="00576317" w:rsidRPr="00160EF1">
        <w:rPr>
          <w:sz w:val="20"/>
          <w:szCs w:val="20"/>
        </w:rPr>
        <w:t xml:space="preserve">D </w:t>
      </w:r>
      <w:r w:rsidRPr="00160EF1">
        <w:rPr>
          <w:sz w:val="20"/>
          <w:szCs w:val="20"/>
        </w:rPr>
        <w:t xml:space="preserve">indicate that the tax is $70,800 plus 34% of any amount over $250,000. That leads to the following tax calculation: </w:t>
      </w:r>
    </w:p>
    <w:p w14:paraId="61ABBC5D" w14:textId="77777777" w:rsidR="00A14084" w:rsidRPr="00160EF1" w:rsidRDefault="00A14084" w:rsidP="00A14084">
      <w:pPr>
        <w:pStyle w:val="ReviewAnswer"/>
        <w:rPr>
          <w:sz w:val="20"/>
          <w:szCs w:val="20"/>
        </w:rPr>
      </w:pPr>
      <w:r w:rsidRPr="00160EF1">
        <w:rPr>
          <w:sz w:val="20"/>
          <w:szCs w:val="20"/>
        </w:rPr>
        <w:t>Tentative Tax = 70,800 + .34(350,000 – 250,000) = 70,800 + 34,000 = $104,800</w:t>
      </w:r>
    </w:p>
    <w:p w14:paraId="146615A1" w14:textId="77777777" w:rsidR="00A14084" w:rsidRPr="003D26C6" w:rsidRDefault="00A14084" w:rsidP="00A14084">
      <w:pPr>
        <w:rPr>
          <w:szCs w:val="20"/>
        </w:rPr>
      </w:pPr>
      <w:r w:rsidRPr="003D26C6">
        <w:rPr>
          <w:szCs w:val="20"/>
        </w:rPr>
        <w:t xml:space="preserve">Next, identify the </w:t>
      </w:r>
      <w:r w:rsidRPr="003D26C6">
        <w:rPr>
          <w:bCs/>
          <w:szCs w:val="20"/>
        </w:rPr>
        <w:t>marginal rates</w:t>
      </w:r>
      <w:r w:rsidRPr="003D26C6">
        <w:rPr>
          <w:szCs w:val="20"/>
        </w:rPr>
        <w:t xml:space="preserve"> for the following amounts:</w:t>
      </w:r>
    </w:p>
    <w:p w14:paraId="2B586CCC" w14:textId="77777777" w:rsidR="00A14084" w:rsidRPr="00160EF1" w:rsidRDefault="00A14084" w:rsidP="00A14084">
      <w:pPr>
        <w:rPr>
          <w:rStyle w:val="Strong"/>
        </w:rPr>
      </w:pPr>
      <w:r w:rsidRPr="00160EF1">
        <w:rPr>
          <w:rStyle w:val="Strong"/>
        </w:rPr>
        <w:t>Marginal rate on a transfer of $450,000 =</w:t>
      </w:r>
      <w:r w:rsidR="00576317" w:rsidRPr="00160EF1">
        <w:rPr>
          <w:rStyle w:val="Strong"/>
        </w:rPr>
        <w:t xml:space="preserve"> </w:t>
      </w:r>
      <w:r w:rsidRPr="00160EF1">
        <w:rPr>
          <w:rStyle w:val="Strong"/>
          <w:u w:val="single"/>
        </w:rPr>
        <w:t>34</w:t>
      </w:r>
      <w:r w:rsidRPr="00160EF1">
        <w:rPr>
          <w:rStyle w:val="Strong"/>
        </w:rPr>
        <w:t>%</w:t>
      </w:r>
    </w:p>
    <w:p w14:paraId="7A52A77F" w14:textId="77777777" w:rsidR="00A14084" w:rsidRPr="00160EF1" w:rsidRDefault="00A14084" w:rsidP="00A14084">
      <w:pPr>
        <w:pStyle w:val="ReviewAnswer"/>
        <w:tabs>
          <w:tab w:val="left" w:pos="720"/>
          <w:tab w:val="left" w:pos="1440"/>
          <w:tab w:val="left" w:pos="2160"/>
          <w:tab w:val="left" w:pos="2880"/>
          <w:tab w:val="left" w:pos="3600"/>
          <w:tab w:val="left" w:pos="4320"/>
          <w:tab w:val="left" w:pos="7530"/>
        </w:tabs>
        <w:rPr>
          <w:sz w:val="20"/>
          <w:szCs w:val="20"/>
        </w:rPr>
      </w:pPr>
      <w:r w:rsidRPr="00160EF1">
        <w:rPr>
          <w:rStyle w:val="Strong"/>
          <w:sz w:val="20"/>
        </w:rPr>
        <w:t>Correct!</w:t>
      </w:r>
      <w:r w:rsidRPr="00160EF1">
        <w:rPr>
          <w:sz w:val="20"/>
          <w:szCs w:val="20"/>
        </w:rPr>
        <w:t xml:space="preserve"> The answer is 34%.</w:t>
      </w:r>
    </w:p>
    <w:p w14:paraId="4FF0A7B9" w14:textId="77777777" w:rsidR="00A14084" w:rsidRPr="00160EF1" w:rsidRDefault="00A14084" w:rsidP="00A14084">
      <w:pPr>
        <w:pStyle w:val="ReviewAnswer"/>
        <w:rPr>
          <w:sz w:val="20"/>
          <w:szCs w:val="20"/>
        </w:rPr>
      </w:pPr>
      <w:r w:rsidRPr="00160EF1">
        <w:rPr>
          <w:rStyle w:val="Strong"/>
          <w:sz w:val="20"/>
        </w:rPr>
        <w:t>Incorrect.</w:t>
      </w:r>
      <w:r w:rsidRPr="00160EF1">
        <w:rPr>
          <w:sz w:val="20"/>
          <w:szCs w:val="20"/>
        </w:rPr>
        <w:t xml:space="preserve"> To find the correct answer, follow these steps: </w:t>
      </w:r>
    </w:p>
    <w:p w14:paraId="5E5F5652" w14:textId="77777777" w:rsidR="00A14084" w:rsidRPr="00160EF1" w:rsidRDefault="00A14084" w:rsidP="00A14084">
      <w:pPr>
        <w:pStyle w:val="ReviewAnswer"/>
        <w:rPr>
          <w:sz w:val="20"/>
          <w:szCs w:val="20"/>
        </w:rPr>
      </w:pPr>
      <w:r w:rsidRPr="00160EF1">
        <w:rPr>
          <w:rStyle w:val="Strong"/>
          <w:sz w:val="20"/>
        </w:rPr>
        <w:t>Step 1.</w:t>
      </w:r>
      <w:r w:rsidRPr="00160EF1">
        <w:rPr>
          <w:sz w:val="20"/>
          <w:szCs w:val="20"/>
        </w:rPr>
        <w:t xml:space="preserve"> Locate the row where $450,000 falls within the range given by </w:t>
      </w:r>
      <w:r w:rsidR="003D26C6" w:rsidRPr="003D26C6">
        <w:rPr>
          <w:sz w:val="20"/>
          <w:szCs w:val="20"/>
        </w:rPr>
        <w:t xml:space="preserve">Columns </w:t>
      </w:r>
      <w:r w:rsidR="00576317" w:rsidRPr="00160EF1">
        <w:rPr>
          <w:sz w:val="20"/>
          <w:szCs w:val="20"/>
        </w:rPr>
        <w:t>A</w:t>
      </w:r>
      <w:r w:rsidRPr="00160EF1">
        <w:rPr>
          <w:sz w:val="20"/>
          <w:szCs w:val="20"/>
        </w:rPr>
        <w:t xml:space="preserve"> and </w:t>
      </w:r>
      <w:r w:rsidR="00576317" w:rsidRPr="00160EF1">
        <w:rPr>
          <w:sz w:val="20"/>
          <w:szCs w:val="20"/>
        </w:rPr>
        <w:t>B</w:t>
      </w:r>
      <w:r w:rsidRPr="00160EF1">
        <w:rPr>
          <w:sz w:val="20"/>
          <w:szCs w:val="20"/>
        </w:rPr>
        <w:t>. The appropriate range is $250,000 to $</w:t>
      </w:r>
      <w:r w:rsidR="00576317" w:rsidRPr="00160EF1">
        <w:rPr>
          <w:sz w:val="20"/>
          <w:szCs w:val="20"/>
        </w:rPr>
        <w:t>500</w:t>
      </w:r>
      <w:r w:rsidRPr="00160EF1">
        <w:rPr>
          <w:sz w:val="20"/>
          <w:szCs w:val="20"/>
        </w:rPr>
        <w:t>,</w:t>
      </w:r>
      <w:r w:rsidR="00576317" w:rsidRPr="00160EF1">
        <w:rPr>
          <w:sz w:val="20"/>
          <w:szCs w:val="20"/>
        </w:rPr>
        <w:t>000</w:t>
      </w:r>
      <w:r w:rsidRPr="00160EF1">
        <w:rPr>
          <w:sz w:val="20"/>
          <w:szCs w:val="20"/>
        </w:rPr>
        <w:t xml:space="preserve">. </w:t>
      </w:r>
    </w:p>
    <w:p w14:paraId="0A7F7A22" w14:textId="77777777" w:rsidR="00A14084" w:rsidRPr="00160EF1" w:rsidRDefault="00A14084" w:rsidP="00A14084">
      <w:pPr>
        <w:pStyle w:val="ReviewAnswer"/>
        <w:rPr>
          <w:sz w:val="20"/>
          <w:szCs w:val="20"/>
        </w:rPr>
      </w:pPr>
      <w:r w:rsidRPr="00160EF1">
        <w:rPr>
          <w:rStyle w:val="Strong"/>
          <w:sz w:val="20"/>
        </w:rPr>
        <w:t>Step 2</w:t>
      </w:r>
      <w:r w:rsidRPr="00160EF1">
        <w:rPr>
          <w:sz w:val="20"/>
          <w:szCs w:val="20"/>
        </w:rPr>
        <w:t xml:space="preserve">. Column </w:t>
      </w:r>
      <w:r w:rsidR="00576317" w:rsidRPr="00160EF1">
        <w:rPr>
          <w:sz w:val="20"/>
          <w:szCs w:val="20"/>
        </w:rPr>
        <w:t xml:space="preserve">D </w:t>
      </w:r>
      <w:r w:rsidRPr="00160EF1">
        <w:rPr>
          <w:sz w:val="20"/>
          <w:szCs w:val="20"/>
        </w:rPr>
        <w:t>gives the marginal rate being charged on every dollar over $250,000 as 34%. Thus, the marginal rate for $450,000 is 34%.</w:t>
      </w:r>
    </w:p>
    <w:p w14:paraId="577D24DF" w14:textId="77777777" w:rsidR="00A14084" w:rsidRPr="00160EF1" w:rsidRDefault="00A14084" w:rsidP="00A14084">
      <w:pPr>
        <w:rPr>
          <w:rStyle w:val="Strong"/>
        </w:rPr>
      </w:pPr>
      <w:r w:rsidRPr="00160EF1">
        <w:rPr>
          <w:rStyle w:val="Strong"/>
        </w:rPr>
        <w:t>Marginal rate on a transfer of $4,500,000 =</w:t>
      </w:r>
      <w:r w:rsidR="00576317" w:rsidRPr="00160EF1">
        <w:rPr>
          <w:rStyle w:val="Strong"/>
        </w:rPr>
        <w:t xml:space="preserve"> </w:t>
      </w:r>
      <w:r w:rsidR="00B111D5" w:rsidRPr="00160EF1">
        <w:rPr>
          <w:rStyle w:val="Strong"/>
          <w:u w:val="single"/>
        </w:rPr>
        <w:t>40</w:t>
      </w:r>
      <w:r w:rsidRPr="00160EF1">
        <w:rPr>
          <w:rStyle w:val="Strong"/>
        </w:rPr>
        <w:t>%</w:t>
      </w:r>
    </w:p>
    <w:p w14:paraId="76FC5387" w14:textId="77777777" w:rsidR="00A14084" w:rsidRPr="00160EF1" w:rsidRDefault="00A14084" w:rsidP="00A14084">
      <w:pPr>
        <w:pStyle w:val="ReviewAnswer"/>
        <w:rPr>
          <w:sz w:val="20"/>
          <w:szCs w:val="20"/>
        </w:rPr>
      </w:pPr>
      <w:r w:rsidRPr="00160EF1">
        <w:rPr>
          <w:rStyle w:val="Strong"/>
          <w:sz w:val="20"/>
        </w:rPr>
        <w:t>Correct!</w:t>
      </w:r>
      <w:r w:rsidRPr="00160EF1">
        <w:rPr>
          <w:sz w:val="20"/>
          <w:szCs w:val="20"/>
        </w:rPr>
        <w:t xml:space="preserve"> The answer is </w:t>
      </w:r>
      <w:r w:rsidR="00B111D5" w:rsidRPr="00160EF1">
        <w:rPr>
          <w:sz w:val="20"/>
          <w:szCs w:val="20"/>
        </w:rPr>
        <w:t>40</w:t>
      </w:r>
      <w:r w:rsidRPr="00160EF1">
        <w:rPr>
          <w:sz w:val="20"/>
          <w:szCs w:val="20"/>
        </w:rPr>
        <w:t>%.</w:t>
      </w:r>
    </w:p>
    <w:p w14:paraId="491D5E0D" w14:textId="77777777" w:rsidR="00A14084" w:rsidRPr="00160EF1" w:rsidRDefault="00A14084" w:rsidP="00A14084">
      <w:pPr>
        <w:pStyle w:val="ReviewAnswer"/>
        <w:rPr>
          <w:sz w:val="20"/>
          <w:szCs w:val="20"/>
        </w:rPr>
      </w:pPr>
      <w:r w:rsidRPr="00160EF1">
        <w:rPr>
          <w:rStyle w:val="Strong"/>
          <w:sz w:val="20"/>
        </w:rPr>
        <w:t>Incorrect</w:t>
      </w:r>
      <w:r w:rsidRPr="00160EF1">
        <w:rPr>
          <w:sz w:val="20"/>
          <w:szCs w:val="20"/>
        </w:rPr>
        <w:t xml:space="preserve">. To find the correct answer, follow these steps: </w:t>
      </w:r>
    </w:p>
    <w:p w14:paraId="06ADE3E1" w14:textId="77777777" w:rsidR="00A14084" w:rsidRPr="00160EF1" w:rsidRDefault="00A14084" w:rsidP="00A14084">
      <w:pPr>
        <w:pStyle w:val="ReviewAnswer"/>
        <w:rPr>
          <w:sz w:val="20"/>
          <w:szCs w:val="20"/>
        </w:rPr>
      </w:pPr>
      <w:r w:rsidRPr="00160EF1">
        <w:rPr>
          <w:rStyle w:val="Strong"/>
          <w:sz w:val="20"/>
        </w:rPr>
        <w:t>Step 1.</w:t>
      </w:r>
      <w:r w:rsidRPr="00160EF1">
        <w:rPr>
          <w:sz w:val="20"/>
          <w:szCs w:val="20"/>
        </w:rPr>
        <w:t xml:space="preserve"> Locate the row where $4,500,000 falls within the range given by </w:t>
      </w:r>
      <w:r w:rsidR="003D26C6" w:rsidRPr="003D26C6">
        <w:rPr>
          <w:sz w:val="20"/>
          <w:szCs w:val="20"/>
        </w:rPr>
        <w:t xml:space="preserve">Columns </w:t>
      </w:r>
      <w:r w:rsidR="00576317" w:rsidRPr="00160EF1">
        <w:rPr>
          <w:sz w:val="20"/>
          <w:szCs w:val="20"/>
        </w:rPr>
        <w:t>A</w:t>
      </w:r>
      <w:r w:rsidRPr="00160EF1">
        <w:rPr>
          <w:sz w:val="20"/>
          <w:szCs w:val="20"/>
        </w:rPr>
        <w:t xml:space="preserve"> and </w:t>
      </w:r>
      <w:r w:rsidR="00576317" w:rsidRPr="00160EF1">
        <w:rPr>
          <w:sz w:val="20"/>
          <w:szCs w:val="20"/>
        </w:rPr>
        <w:t>B</w:t>
      </w:r>
      <w:r w:rsidRPr="00160EF1">
        <w:rPr>
          <w:sz w:val="20"/>
          <w:szCs w:val="20"/>
        </w:rPr>
        <w:t>. The appropriate range is in the last row, which includes everything from $</w:t>
      </w:r>
      <w:r w:rsidR="00B111D5" w:rsidRPr="00160EF1">
        <w:rPr>
          <w:sz w:val="20"/>
          <w:szCs w:val="20"/>
        </w:rPr>
        <w:t>1,000</w:t>
      </w:r>
      <w:r w:rsidRPr="00160EF1">
        <w:rPr>
          <w:sz w:val="20"/>
          <w:szCs w:val="20"/>
        </w:rPr>
        <w:t xml:space="preserve">,000 and above. </w:t>
      </w:r>
    </w:p>
    <w:p w14:paraId="580BE955" w14:textId="77777777" w:rsidR="00A14084" w:rsidRPr="00160EF1" w:rsidRDefault="00A14084" w:rsidP="00A14084">
      <w:pPr>
        <w:pStyle w:val="ReviewAnswer"/>
        <w:rPr>
          <w:sz w:val="20"/>
          <w:szCs w:val="20"/>
        </w:rPr>
      </w:pPr>
      <w:r w:rsidRPr="00160EF1">
        <w:rPr>
          <w:rStyle w:val="Strong"/>
          <w:sz w:val="20"/>
        </w:rPr>
        <w:t>Step 2</w:t>
      </w:r>
      <w:r w:rsidRPr="00160EF1">
        <w:rPr>
          <w:sz w:val="20"/>
          <w:szCs w:val="20"/>
        </w:rPr>
        <w:t xml:space="preserve">. Column </w:t>
      </w:r>
      <w:r w:rsidR="00576317" w:rsidRPr="00160EF1">
        <w:rPr>
          <w:sz w:val="20"/>
          <w:szCs w:val="20"/>
        </w:rPr>
        <w:t xml:space="preserve">D </w:t>
      </w:r>
      <w:r w:rsidRPr="00160EF1">
        <w:rPr>
          <w:sz w:val="20"/>
          <w:szCs w:val="20"/>
        </w:rPr>
        <w:t>gives the marginal rate being charged on every dollar over $</w:t>
      </w:r>
      <w:r w:rsidR="00B111D5" w:rsidRPr="00160EF1">
        <w:rPr>
          <w:sz w:val="20"/>
          <w:szCs w:val="20"/>
        </w:rPr>
        <w:t>1,000</w:t>
      </w:r>
      <w:r w:rsidRPr="00160EF1">
        <w:rPr>
          <w:sz w:val="20"/>
          <w:szCs w:val="20"/>
        </w:rPr>
        <w:t xml:space="preserve">,000 as </w:t>
      </w:r>
      <w:r w:rsidR="00B111D5" w:rsidRPr="00160EF1">
        <w:rPr>
          <w:sz w:val="20"/>
          <w:szCs w:val="20"/>
        </w:rPr>
        <w:t>40</w:t>
      </w:r>
      <w:r w:rsidRPr="00160EF1">
        <w:rPr>
          <w:sz w:val="20"/>
          <w:szCs w:val="20"/>
        </w:rPr>
        <w:t xml:space="preserve">%. Thus, the marginal rate is </w:t>
      </w:r>
      <w:r w:rsidR="00B111D5" w:rsidRPr="00160EF1">
        <w:rPr>
          <w:sz w:val="20"/>
          <w:szCs w:val="20"/>
        </w:rPr>
        <w:t>40</w:t>
      </w:r>
      <w:r w:rsidRPr="00160EF1">
        <w:rPr>
          <w:sz w:val="20"/>
          <w:szCs w:val="20"/>
        </w:rPr>
        <w:t>%.</w:t>
      </w:r>
    </w:p>
    <w:p w14:paraId="5C033D5D" w14:textId="77777777" w:rsidR="00A14084" w:rsidRDefault="00A14084" w:rsidP="00A14084"/>
    <w:p w14:paraId="035610AD" w14:textId="77777777" w:rsidR="00787572" w:rsidRDefault="00A14084" w:rsidP="00787572">
      <w:pPr>
        <w:pStyle w:val="Heading2"/>
      </w:pPr>
      <w:r>
        <w:br w:type="page"/>
      </w:r>
      <w:r w:rsidR="00576317" w:rsidDel="00576317">
        <w:lastRenderedPageBreak/>
        <w:t xml:space="preserve"> </w:t>
      </w:r>
      <w:r w:rsidR="00787572" w:rsidRPr="00B36AE6">
        <w:t>Why Unify the Gift and Estate Tax?</w:t>
      </w:r>
    </w:p>
    <w:p w14:paraId="17CA61F1" w14:textId="77777777" w:rsidR="00787572" w:rsidRDefault="00787572" w:rsidP="00787572">
      <w:r>
        <w:t>One of the goals in creating a unified gift and estate tax system was to ultimately have everyone make the same transfer tax calculation regardless of the timing of the transfers. Just how this is accomplished is illustrated in the following example.</w:t>
      </w:r>
    </w:p>
    <w:p w14:paraId="4A1C0AA8" w14:textId="77777777" w:rsidR="00787572" w:rsidRPr="00310A6F" w:rsidRDefault="00787572" w:rsidP="00787572"/>
    <w:tbl>
      <w:tblPr>
        <w:tblW w:w="0" w:type="auto"/>
        <w:tblBorders>
          <w:top w:val="single" w:sz="4" w:space="0" w:color="auto"/>
          <w:left w:val="single" w:sz="4" w:space="0" w:color="auto"/>
          <w:bottom w:val="single" w:sz="4" w:space="0" w:color="auto"/>
          <w:right w:val="single" w:sz="4" w:space="0" w:color="auto"/>
        </w:tblBorders>
        <w:shd w:val="clear" w:color="auto" w:fill="E4E5E3"/>
        <w:tblLook w:val="04A0" w:firstRow="1" w:lastRow="0" w:firstColumn="1" w:lastColumn="0" w:noHBand="0" w:noVBand="1"/>
      </w:tblPr>
      <w:tblGrid>
        <w:gridCol w:w="9350"/>
      </w:tblGrid>
      <w:tr w:rsidR="00787572" w:rsidRPr="00310A6F" w14:paraId="428E11F1" w14:textId="77777777" w:rsidTr="00C83BBB">
        <w:tc>
          <w:tcPr>
            <w:tcW w:w="9350" w:type="dxa"/>
            <w:shd w:val="clear" w:color="auto" w:fill="E4E5E3"/>
          </w:tcPr>
          <w:p w14:paraId="30D19A09" w14:textId="77777777" w:rsidR="00787572" w:rsidRPr="00310A6F" w:rsidRDefault="00787572" w:rsidP="00C83BBB">
            <w:pPr>
              <w:rPr>
                <w:b/>
                <w:bCs/>
              </w:rPr>
            </w:pPr>
            <w:r w:rsidRPr="00310A6F">
              <w:rPr>
                <w:b/>
                <w:bCs/>
              </w:rPr>
              <w:t>Mr. Jones’ Story</w:t>
            </w:r>
          </w:p>
          <w:p w14:paraId="740F1E4A" w14:textId="77777777" w:rsidR="00787572" w:rsidRPr="00310A6F" w:rsidRDefault="00787572" w:rsidP="00C83BBB">
            <w:r w:rsidRPr="00310A6F">
              <w:t xml:space="preserve">Mr. Jones made </w:t>
            </w:r>
            <w:proofErr w:type="gramStart"/>
            <w:r w:rsidRPr="00310A6F">
              <w:t>a taxable gift</w:t>
            </w:r>
            <w:r>
              <w:t>s</w:t>
            </w:r>
            <w:proofErr w:type="gramEnd"/>
            <w:r w:rsidRPr="00310A6F">
              <w:t xml:space="preserve"> during his lifetime (after 1976) of $800,000. He died in </w:t>
            </w:r>
            <w:r>
              <w:t>2016</w:t>
            </w:r>
            <w:r w:rsidRPr="00310A6F">
              <w:t xml:space="preserve"> with an estate valued at $6,200,000. How do you take into account his lifetime gift in computing his estate tax?</w:t>
            </w:r>
          </w:p>
          <w:p w14:paraId="0309E09E" w14:textId="77777777" w:rsidR="00787572" w:rsidRPr="00310A6F" w:rsidRDefault="00787572" w:rsidP="00C83BBB">
            <w:pPr>
              <w:rPr>
                <w:color w:val="FF0000"/>
              </w:rPr>
            </w:pPr>
            <w:r w:rsidRPr="00310A6F">
              <w:rPr>
                <w:noProof/>
              </w:rPr>
              <w:drawing>
                <wp:inline distT="0" distB="0" distL="0" distR="0" wp14:anchorId="4BD0A745" wp14:editId="1EADEC3E">
                  <wp:extent cx="304800" cy="304800"/>
                  <wp:effectExtent l="0" t="0" r="0" b="0"/>
                  <wp:docPr id="92" name="Picture 8"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ationIcon_32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10A6F">
              <w:t xml:space="preserve">   </w:t>
            </w:r>
            <w:r w:rsidRPr="00310A6F">
              <w:rPr>
                <w:b/>
              </w:rPr>
              <w:t xml:space="preserve"> </w:t>
            </w:r>
            <w:r w:rsidRPr="00310A6F">
              <w:rPr>
                <w:b/>
                <w:color w:val="FF0000"/>
              </w:rPr>
              <w:t>Click the icon for the answer.</w:t>
            </w:r>
          </w:p>
          <w:tbl>
            <w:tblPr>
              <w:tblW w:w="0" w:type="auto"/>
              <w:tblBorders>
                <w:top w:val="single" w:sz="4" w:space="0" w:color="auto"/>
                <w:left w:val="single" w:sz="4" w:space="0" w:color="auto"/>
                <w:bottom w:val="single" w:sz="4" w:space="0" w:color="auto"/>
                <w:right w:val="single" w:sz="4" w:space="0" w:color="auto"/>
              </w:tblBorders>
              <w:shd w:val="clear" w:color="auto" w:fill="F3F1F1"/>
              <w:tblLook w:val="04A0" w:firstRow="1" w:lastRow="0" w:firstColumn="1" w:lastColumn="0" w:noHBand="0" w:noVBand="1"/>
            </w:tblPr>
            <w:tblGrid>
              <w:gridCol w:w="9124"/>
            </w:tblGrid>
            <w:tr w:rsidR="00787572" w:rsidRPr="00310A6F" w14:paraId="6BB1EDB9" w14:textId="77777777" w:rsidTr="00C83BBB">
              <w:tc>
                <w:tcPr>
                  <w:tcW w:w="9576" w:type="dxa"/>
                  <w:shd w:val="clear" w:color="auto" w:fill="F3F1F1"/>
                </w:tcPr>
                <w:p w14:paraId="2CFAB7E2" w14:textId="77777777" w:rsidR="00787572" w:rsidRPr="00310A6F" w:rsidRDefault="00787572" w:rsidP="00C83BBB">
                  <w:r w:rsidRPr="00D809E1">
                    <w:rPr>
                      <w:b/>
                    </w:rPr>
                    <w:t>Answer</w:t>
                  </w:r>
                  <w:r>
                    <w:t>:</w:t>
                  </w:r>
                </w:p>
                <w:p w14:paraId="296D3292" w14:textId="77777777" w:rsidR="00787572" w:rsidRPr="00310A6F" w:rsidRDefault="00787572" w:rsidP="00C83BBB">
                  <w:r w:rsidRPr="00310A6F">
                    <w:t>First, add together his lifetime taxable gifts (</w:t>
                  </w:r>
                  <w:r>
                    <w:t xml:space="preserve">those </w:t>
                  </w:r>
                  <w:r w:rsidRPr="00310A6F">
                    <w:t xml:space="preserve">made after 1976) and his final estate value, deriving a total of $7 million. Then compute the tax on $7 million, deriving his tentative estate tax. </w:t>
                  </w:r>
                </w:p>
                <w:p w14:paraId="5D39D0DF" w14:textId="77777777" w:rsidR="00787572" w:rsidRDefault="00787572" w:rsidP="00C83BBB">
                  <w:r w:rsidRPr="00310A6F">
                    <w:t xml:space="preserve">If he paid any prior tax on his lifetime </w:t>
                  </w:r>
                  <w:r>
                    <w:t>gifts</w:t>
                  </w:r>
                  <w:r w:rsidRPr="00310A6F">
                    <w:t xml:space="preserve"> (a likelihood if </w:t>
                  </w:r>
                  <w:r>
                    <w:t>the bulk of his taxable gifts</w:t>
                  </w:r>
                  <w:r w:rsidRPr="00310A6F">
                    <w:t xml:space="preserve"> </w:t>
                  </w:r>
                  <w:r>
                    <w:t>were</w:t>
                  </w:r>
                  <w:r w:rsidRPr="00310A6F">
                    <w:t xml:space="preserve"> made prior to 2002 when the </w:t>
                  </w:r>
                  <w:r>
                    <w:t xml:space="preserve">cumulative </w:t>
                  </w:r>
                  <w:r w:rsidRPr="00310A6F">
                    <w:t xml:space="preserve">amount that could be gifted without paying a tax was less than the </w:t>
                  </w:r>
                  <w:r>
                    <w:t xml:space="preserve">cumulative </w:t>
                  </w:r>
                  <w:r w:rsidRPr="00310A6F">
                    <w:t>$800,000 he gifted), then give him a credit in that amount against his estate tax.</w:t>
                  </w:r>
                </w:p>
                <w:p w14:paraId="0E0EDFF2" w14:textId="77777777" w:rsidR="00787572" w:rsidRPr="00310A6F" w:rsidRDefault="00787572" w:rsidP="00C83BBB">
                  <w:r>
                    <w:t>The result is that Mr. Jones’ estate tax is calculated on $7,000,000, which is the same amount he would have used if he had never made lifetime taxable gifts (ignoring potential market value changes). This illustrates how two people with the same size estate will ultimately make the same estate tax calculation, even though one person made lifetime taxable gifts and the other did not. To be sure, there may be value in getting assets out of your estate during life because the appreciation on those assets will not be in your estate when you die; but ignoring market value changes, the tax calculation itself will be the same.</w:t>
                  </w:r>
                </w:p>
              </w:tc>
            </w:tr>
          </w:tbl>
          <w:p w14:paraId="23F9D5DC" w14:textId="77777777" w:rsidR="00787572" w:rsidRPr="00310A6F" w:rsidRDefault="00787572" w:rsidP="00C83BBB"/>
        </w:tc>
      </w:tr>
    </w:tbl>
    <w:p w14:paraId="5F532D28" w14:textId="77777777" w:rsidR="00787572" w:rsidRDefault="00787572" w:rsidP="00787572"/>
    <w:p w14:paraId="14F832DF" w14:textId="77777777" w:rsidR="00787572" w:rsidRPr="009E2425" w:rsidRDefault="00787572" w:rsidP="00787572">
      <w:r w:rsidRPr="00C81B0E">
        <w:t xml:space="preserve">The concept illustrated by the example above is very important to remember. </w:t>
      </w:r>
      <w:r w:rsidRPr="008C3EE1">
        <w:rPr>
          <w:b/>
          <w:i/>
        </w:rPr>
        <w:t xml:space="preserve">Lifetime taxable gifts (made after 1976) are added back </w:t>
      </w:r>
      <w:r>
        <w:rPr>
          <w:b/>
          <w:i/>
        </w:rPr>
        <w:t xml:space="preserve">whenever a </w:t>
      </w:r>
      <w:r w:rsidR="003D26C6">
        <w:rPr>
          <w:b/>
          <w:i/>
        </w:rPr>
        <w:t xml:space="preserve">federal gift or estate tax return </w:t>
      </w:r>
      <w:r>
        <w:rPr>
          <w:b/>
          <w:i/>
        </w:rPr>
        <w:t>is filed.</w:t>
      </w:r>
      <w:r w:rsidRPr="00C81B0E">
        <w:t xml:space="preserve"> </w:t>
      </w:r>
      <w:r>
        <w:t>Thus</w:t>
      </w:r>
      <w:r w:rsidR="003D26C6">
        <w:t>,</w:t>
      </w:r>
      <w:r>
        <w:t xml:space="preserve"> the calculation is always a cumulative calculation of all taxable transfers since 1976.</w:t>
      </w:r>
      <w:r w:rsidRPr="00C81B0E">
        <w:t xml:space="preserve"> A credit, which we will discuss later, is available against </w:t>
      </w:r>
      <w:r>
        <w:t>the calculated tax</w:t>
      </w:r>
      <w:r w:rsidRPr="00C81B0E">
        <w:t xml:space="preserve">. Furthermore, if any gift taxes were </w:t>
      </w:r>
      <w:r>
        <w:t>previously paid</w:t>
      </w:r>
      <w:r w:rsidRPr="00C81B0E">
        <w:t xml:space="preserve"> on lifetime transfers, then </w:t>
      </w:r>
      <w:r>
        <w:t>credit against the current tax calculation will also be given for prior taxes paid</w:t>
      </w:r>
      <w:r w:rsidRPr="00C81B0E">
        <w:t>.</w:t>
      </w:r>
    </w:p>
    <w:p w14:paraId="10C4589A" w14:textId="77777777" w:rsidR="00576317" w:rsidRDefault="00576317" w:rsidP="00576317">
      <w:pPr>
        <w:pStyle w:val="Heading2"/>
      </w:pPr>
    </w:p>
    <w:p w14:paraId="5787B947" w14:textId="77777777" w:rsidR="00576317" w:rsidRDefault="00576317">
      <w:pPr>
        <w:spacing w:before="0" w:after="0"/>
        <w:rPr>
          <w:b/>
          <w:bCs/>
          <w:color w:val="1F4E79"/>
          <w:sz w:val="40"/>
          <w:szCs w:val="40"/>
        </w:rPr>
      </w:pPr>
      <w:r>
        <w:br w:type="page"/>
      </w:r>
    </w:p>
    <w:p w14:paraId="0CDBAE84" w14:textId="77777777" w:rsidR="00787572" w:rsidRDefault="00787572" w:rsidP="00787572">
      <w:pPr>
        <w:pStyle w:val="Heading2"/>
      </w:pPr>
      <w:r>
        <w:lastRenderedPageBreak/>
        <w:t>The Applicable Credit Amount</w:t>
      </w:r>
    </w:p>
    <w:p w14:paraId="62C2A9A2" w14:textId="77777777" w:rsidR="00D957AE" w:rsidRDefault="00D957AE" w:rsidP="00D957AE">
      <w:r>
        <w:t xml:space="preserve">Every U.S. citizen and </w:t>
      </w:r>
      <w:r w:rsidRPr="00F6254A">
        <w:t xml:space="preserve">resident alien </w:t>
      </w:r>
      <w:r w:rsidRPr="00DC26F7">
        <w:t xml:space="preserve">has a lifetime </w:t>
      </w:r>
      <w:r w:rsidRPr="00DC26F7">
        <w:rPr>
          <w:b/>
          <w:i/>
        </w:rPr>
        <w:t>credit</w:t>
      </w:r>
      <w:r w:rsidRPr="00DC26F7">
        <w:t xml:space="preserve"> against gift and estate taxes</w:t>
      </w:r>
      <w:r>
        <w:t>; it is typically referred to as the “</w:t>
      </w:r>
      <w:r w:rsidRPr="00C20CD1">
        <w:rPr>
          <w:b/>
          <w:i/>
        </w:rPr>
        <w:t>Applicable Credit Amount</w:t>
      </w:r>
      <w:r>
        <w:t>.”</w:t>
      </w:r>
      <w:r w:rsidRPr="00DC26F7">
        <w:t xml:space="preserve"> </w:t>
      </w:r>
      <w:r>
        <w:t>A</w:t>
      </w:r>
      <w:r w:rsidRPr="00DC26F7">
        <w:t xml:space="preserve"> “credit” is an amount that you get to </w:t>
      </w:r>
      <w:r w:rsidRPr="003A448B">
        <w:rPr>
          <w:b/>
          <w:i/>
        </w:rPr>
        <w:t>subtract after a tax is calculated</w:t>
      </w:r>
      <w:r w:rsidRPr="00DC26F7">
        <w:t xml:space="preserve">. So, once we calculate a tentative transfer tax, we get to subtract the </w:t>
      </w:r>
      <w:r>
        <w:t xml:space="preserve">credit </w:t>
      </w:r>
      <w:r w:rsidRPr="00DC26F7">
        <w:t>from the calculated tax.</w:t>
      </w:r>
      <w:r>
        <w:t xml:space="preserve"> </w:t>
      </w:r>
    </w:p>
    <w:p w14:paraId="60F2A815" w14:textId="77777777" w:rsidR="00D957AE" w:rsidRDefault="00D957AE" w:rsidP="00D957AE">
      <w:r>
        <w:t>The Applicable Credit Amount</w:t>
      </w:r>
      <w:r w:rsidRPr="00DC26F7">
        <w:t xml:space="preserve"> is “</w:t>
      </w:r>
      <w:r w:rsidRPr="00DC26F7">
        <w:rPr>
          <w:b/>
          <w:i/>
        </w:rPr>
        <w:t>unified</w:t>
      </w:r>
      <w:r w:rsidRPr="00DC26F7">
        <w:t>,” meaning it is shared with lifetime t</w:t>
      </w:r>
      <w:r>
        <w:t>ransfers (i.e., gifts) and estate transfers (i.e., at death); for this reason, you will sometimes see the Applicable Credit Amount referred to as the “</w:t>
      </w:r>
      <w:r w:rsidRPr="00521A90">
        <w:rPr>
          <w:b/>
          <w:i/>
        </w:rPr>
        <w:t>Unified Credit</w:t>
      </w:r>
      <w:r>
        <w:t>.”</w:t>
      </w:r>
      <w:r w:rsidRPr="00DC26F7">
        <w:t xml:space="preserve"> Thus, the credit can be used to offset calculated gift or estate taxes; but if it is all used up by lifetime </w:t>
      </w:r>
      <w:r>
        <w:t xml:space="preserve">taxable </w:t>
      </w:r>
      <w:r w:rsidRPr="00DC26F7">
        <w:t xml:space="preserve">gifts, there will be no credit left to protect </w:t>
      </w:r>
      <w:r>
        <w:t xml:space="preserve">further </w:t>
      </w:r>
      <w:r w:rsidRPr="00DC26F7">
        <w:t xml:space="preserve">assets that transfer at death. </w:t>
      </w:r>
    </w:p>
    <w:p w14:paraId="58270D9C" w14:textId="77777777" w:rsidR="00D957AE" w:rsidRDefault="00D957AE" w:rsidP="00D957AE">
      <w:r>
        <w:t xml:space="preserve">Historically, the Applicable Credit Amount has not always been fully unified between gift and estate taxes. In other words, there have been times in the past when only a portion of the Applicable Credit Amount could be used for lifetime taxable gifts; but today, there is no limit on how much of the credit can be used while alive. </w:t>
      </w:r>
    </w:p>
    <w:p w14:paraId="6D420DA9" w14:textId="77777777" w:rsidR="00D957AE" w:rsidRDefault="00D957AE">
      <w:pPr>
        <w:spacing w:before="0" w:after="0"/>
        <w:rPr>
          <w:b/>
          <w:bCs/>
          <w:color w:val="1F4E79"/>
          <w:sz w:val="40"/>
          <w:szCs w:val="40"/>
        </w:rPr>
      </w:pPr>
      <w:r>
        <w:br w:type="page"/>
      </w:r>
    </w:p>
    <w:p w14:paraId="1A12ED21" w14:textId="77777777" w:rsidR="00D957AE" w:rsidRDefault="00D957AE" w:rsidP="00160EF1">
      <w:pPr>
        <w:pStyle w:val="Heading2"/>
      </w:pPr>
      <w:r>
        <w:lastRenderedPageBreak/>
        <w:t>The Applicable Exclusion Amount</w:t>
      </w:r>
    </w:p>
    <w:p w14:paraId="631FD1A5" w14:textId="77777777" w:rsidR="00D957AE" w:rsidRDefault="00D957AE" w:rsidP="00D957AE">
      <w:r>
        <w:t xml:space="preserve">The amount of assets that are protected from taxation by the Applicable Credit Amount is known as the </w:t>
      </w:r>
      <w:r w:rsidRPr="004026D0">
        <w:rPr>
          <w:b/>
          <w:i/>
        </w:rPr>
        <w:t>Applicable Exclusion Amount</w:t>
      </w:r>
      <w:r>
        <w:t>.  Stated another way, the Applicable Exclusion Amount is that amount of taxable transferred assets that will result in a tax bill equivalent to the Applicable Credit Amount, resulting in zero taxes owed to the IRS.</w:t>
      </w:r>
    </w:p>
    <w:p w14:paraId="56BA8BCB" w14:textId="77777777" w:rsidR="00D957AE" w:rsidRDefault="00D957AE" w:rsidP="00D957AE">
      <w:pPr>
        <w:spacing w:after="240"/>
      </w:pPr>
      <w:r>
        <w:t xml:space="preserve">In </w:t>
      </w:r>
      <w:r w:rsidR="003D26C6">
        <w:t xml:space="preserve">recent </w:t>
      </w:r>
      <w:r>
        <w:t>years, the Applicable Credit Amount and corresponding Applicable Exclusion Amount available to U.S. citizens and resident aliens have grown considerably. For example, in the decade between 2001 and 2011, we saw the following change: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957AE" w:rsidRPr="00886D90" w14:paraId="03C3954D" w14:textId="77777777" w:rsidTr="00C83BBB">
        <w:tc>
          <w:tcPr>
            <w:tcW w:w="3116" w:type="dxa"/>
            <w:shd w:val="clear" w:color="auto" w:fill="2B4A79"/>
          </w:tcPr>
          <w:p w14:paraId="4D91D751" w14:textId="77777777" w:rsidR="00D957AE" w:rsidRPr="00886D90" w:rsidRDefault="00D957AE" w:rsidP="00C83BBB">
            <w:pPr>
              <w:jc w:val="center"/>
              <w:rPr>
                <w:rFonts w:ascii="Arial" w:hAnsi="Arial"/>
                <w:color w:val="FFFFFF" w:themeColor="background1"/>
              </w:rPr>
            </w:pPr>
            <w:r w:rsidRPr="00886D90">
              <w:rPr>
                <w:rFonts w:ascii="Arial" w:hAnsi="Arial"/>
                <w:color w:val="FFFFFF" w:themeColor="background1"/>
              </w:rPr>
              <w:t>Year</w:t>
            </w:r>
          </w:p>
        </w:tc>
        <w:tc>
          <w:tcPr>
            <w:tcW w:w="3117" w:type="dxa"/>
            <w:shd w:val="clear" w:color="auto" w:fill="2B4A79"/>
          </w:tcPr>
          <w:p w14:paraId="6EFE1FD4" w14:textId="77777777" w:rsidR="00D957AE" w:rsidRPr="00886D90" w:rsidRDefault="00D957AE" w:rsidP="00C83BBB">
            <w:pPr>
              <w:jc w:val="center"/>
              <w:rPr>
                <w:rFonts w:ascii="Arial" w:hAnsi="Arial"/>
                <w:color w:val="FFFFFF" w:themeColor="background1"/>
              </w:rPr>
            </w:pPr>
            <w:r>
              <w:rPr>
                <w:rFonts w:ascii="Arial" w:hAnsi="Arial"/>
                <w:color w:val="FFFFFF" w:themeColor="background1"/>
              </w:rPr>
              <w:t>Applicable Credit Amount</w:t>
            </w:r>
          </w:p>
        </w:tc>
        <w:tc>
          <w:tcPr>
            <w:tcW w:w="3117" w:type="dxa"/>
            <w:shd w:val="clear" w:color="auto" w:fill="2B4A79"/>
          </w:tcPr>
          <w:p w14:paraId="26180D51" w14:textId="77777777" w:rsidR="00D957AE" w:rsidRPr="00886D90" w:rsidRDefault="00D957AE" w:rsidP="00C83BBB">
            <w:pPr>
              <w:jc w:val="center"/>
              <w:rPr>
                <w:rFonts w:ascii="Arial" w:hAnsi="Arial"/>
                <w:color w:val="FFFFFF" w:themeColor="background1"/>
              </w:rPr>
            </w:pPr>
            <w:r>
              <w:rPr>
                <w:rFonts w:ascii="Arial" w:hAnsi="Arial"/>
                <w:color w:val="FFFFFF" w:themeColor="background1"/>
              </w:rPr>
              <w:t>Applicable Exclusion Amount*</w:t>
            </w:r>
          </w:p>
        </w:tc>
      </w:tr>
      <w:tr w:rsidR="00D957AE" w14:paraId="577F595B" w14:textId="77777777" w:rsidTr="00C83BBB">
        <w:tc>
          <w:tcPr>
            <w:tcW w:w="3116" w:type="dxa"/>
            <w:shd w:val="clear" w:color="auto" w:fill="F3F1F1"/>
          </w:tcPr>
          <w:p w14:paraId="01435948" w14:textId="77777777" w:rsidR="00D957AE" w:rsidRDefault="00D957AE" w:rsidP="00C83BBB">
            <w:pPr>
              <w:jc w:val="center"/>
            </w:pPr>
            <w:r>
              <w:t>2001</w:t>
            </w:r>
          </w:p>
        </w:tc>
        <w:tc>
          <w:tcPr>
            <w:tcW w:w="3117" w:type="dxa"/>
            <w:shd w:val="clear" w:color="auto" w:fill="F3F1F1"/>
          </w:tcPr>
          <w:p w14:paraId="0FC4DC60" w14:textId="77777777" w:rsidR="00D957AE" w:rsidRDefault="00D957AE" w:rsidP="00C83BBB">
            <w:pPr>
              <w:jc w:val="center"/>
            </w:pPr>
            <w:r>
              <w:t>$220,550</w:t>
            </w:r>
          </w:p>
        </w:tc>
        <w:tc>
          <w:tcPr>
            <w:tcW w:w="3117" w:type="dxa"/>
            <w:shd w:val="clear" w:color="auto" w:fill="F3F1F1"/>
          </w:tcPr>
          <w:p w14:paraId="0E4711B7" w14:textId="77777777" w:rsidR="00D957AE" w:rsidRDefault="00D957AE" w:rsidP="00C83BBB">
            <w:pPr>
              <w:jc w:val="center"/>
            </w:pPr>
            <w:r>
              <w:t>$675,000</w:t>
            </w:r>
          </w:p>
        </w:tc>
      </w:tr>
      <w:tr w:rsidR="00D957AE" w14:paraId="6A30BC57" w14:textId="77777777" w:rsidTr="00C83BBB">
        <w:trPr>
          <w:trHeight w:val="576"/>
        </w:trPr>
        <w:tc>
          <w:tcPr>
            <w:tcW w:w="3116" w:type="dxa"/>
            <w:shd w:val="clear" w:color="auto" w:fill="E4E5E3"/>
          </w:tcPr>
          <w:p w14:paraId="4B93DF46" w14:textId="77777777" w:rsidR="00D957AE" w:rsidRDefault="00D957AE" w:rsidP="00C83BBB">
            <w:pPr>
              <w:jc w:val="center"/>
            </w:pPr>
            <w:r>
              <w:t>2011</w:t>
            </w:r>
          </w:p>
        </w:tc>
        <w:tc>
          <w:tcPr>
            <w:tcW w:w="3117" w:type="dxa"/>
            <w:shd w:val="clear" w:color="auto" w:fill="E4E5E3"/>
          </w:tcPr>
          <w:p w14:paraId="02E94F1C" w14:textId="77777777" w:rsidR="00D957AE" w:rsidRDefault="00D957AE" w:rsidP="00C83BBB">
            <w:pPr>
              <w:jc w:val="center"/>
            </w:pPr>
            <w:r>
              <w:t>$1,945,800</w:t>
            </w:r>
          </w:p>
        </w:tc>
        <w:tc>
          <w:tcPr>
            <w:tcW w:w="3117" w:type="dxa"/>
            <w:shd w:val="clear" w:color="auto" w:fill="E4E5E3"/>
          </w:tcPr>
          <w:p w14:paraId="4B8C8E02" w14:textId="77777777" w:rsidR="00D957AE" w:rsidRDefault="00D957AE" w:rsidP="00C83BBB">
            <w:pPr>
              <w:jc w:val="center"/>
            </w:pPr>
            <w:r>
              <w:t>$5,000,000</w:t>
            </w:r>
          </w:p>
        </w:tc>
      </w:tr>
    </w:tbl>
    <w:p w14:paraId="6AB64FBC" w14:textId="77777777" w:rsidR="00D957AE" w:rsidRPr="00160EF1" w:rsidRDefault="00D957AE" w:rsidP="00D957AE">
      <w:pPr>
        <w:rPr>
          <w:i/>
          <w:sz w:val="16"/>
          <w:szCs w:val="16"/>
        </w:rPr>
      </w:pPr>
      <w:r w:rsidRPr="00160EF1">
        <w:rPr>
          <w:i/>
          <w:sz w:val="16"/>
          <w:szCs w:val="16"/>
        </w:rPr>
        <w:t>*The amount of assets that are protected from taxation by the Applicable Credit Amount.</w:t>
      </w:r>
    </w:p>
    <w:p w14:paraId="6F1DE258" w14:textId="77777777" w:rsidR="00D957AE" w:rsidRDefault="00D957AE" w:rsidP="00D957AE">
      <w:r>
        <w:t xml:space="preserve">In just 10 years, we went from being able to make $675,000 of taxable transfers to making $5,000,000 of taxable transfers without having to pay a single dollar </w:t>
      </w:r>
      <w:r w:rsidR="003D26C6">
        <w:t>of federal gift and estate taxes</w:t>
      </w:r>
      <w:r>
        <w:t>. This led to a dramatic decrease in the number of estates that owed gift and estate taxes, and an equally dramatic lowering of concern by most Americans regarding depletion of their estates by estate taxes.</w:t>
      </w:r>
    </w:p>
    <w:p w14:paraId="68813E41" w14:textId="77777777" w:rsidR="00D957AE" w:rsidRDefault="00D957AE" w:rsidP="00D957AE">
      <w:r>
        <w:t>For years following 2011, the growth of the Applicable Credit/Exclusion Amounts has slowed. This is because legislation fixed the Applicable Credit and Exclusion Amounts to 2011 levels, but began adjusting the amount for inflation. Today, their inflation-adjusted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957AE" w:rsidRPr="00886D90" w14:paraId="5453CCF3" w14:textId="77777777" w:rsidTr="00C83BBB">
        <w:tc>
          <w:tcPr>
            <w:tcW w:w="3116" w:type="dxa"/>
            <w:shd w:val="clear" w:color="auto" w:fill="2B4A79"/>
          </w:tcPr>
          <w:p w14:paraId="413E4038" w14:textId="77777777" w:rsidR="00D957AE" w:rsidRPr="00886D90" w:rsidRDefault="00D957AE" w:rsidP="00C83BBB">
            <w:pPr>
              <w:jc w:val="center"/>
              <w:rPr>
                <w:rFonts w:ascii="Arial" w:hAnsi="Arial"/>
                <w:color w:val="FFFFFF" w:themeColor="background1"/>
              </w:rPr>
            </w:pPr>
            <w:r w:rsidRPr="00886D90">
              <w:rPr>
                <w:rFonts w:ascii="Arial" w:hAnsi="Arial"/>
                <w:color w:val="FFFFFF" w:themeColor="background1"/>
              </w:rPr>
              <w:t>Year</w:t>
            </w:r>
          </w:p>
        </w:tc>
        <w:tc>
          <w:tcPr>
            <w:tcW w:w="3117" w:type="dxa"/>
            <w:shd w:val="clear" w:color="auto" w:fill="2B4A79"/>
          </w:tcPr>
          <w:p w14:paraId="0C3280CF" w14:textId="77777777" w:rsidR="00D957AE" w:rsidRPr="00886D90" w:rsidRDefault="00D957AE" w:rsidP="00C83BBB">
            <w:pPr>
              <w:jc w:val="center"/>
              <w:rPr>
                <w:rFonts w:ascii="Arial" w:hAnsi="Arial"/>
                <w:color w:val="FFFFFF" w:themeColor="background1"/>
              </w:rPr>
            </w:pPr>
            <w:r>
              <w:rPr>
                <w:rFonts w:ascii="Arial" w:hAnsi="Arial"/>
                <w:color w:val="FFFFFF" w:themeColor="background1"/>
              </w:rPr>
              <w:t>Applicable Credit Amount</w:t>
            </w:r>
          </w:p>
        </w:tc>
        <w:tc>
          <w:tcPr>
            <w:tcW w:w="3117" w:type="dxa"/>
            <w:shd w:val="clear" w:color="auto" w:fill="2B4A79"/>
          </w:tcPr>
          <w:p w14:paraId="08843E39" w14:textId="77777777" w:rsidR="00D957AE" w:rsidRPr="00886D90" w:rsidRDefault="00D957AE" w:rsidP="00C83BBB">
            <w:pPr>
              <w:jc w:val="center"/>
              <w:rPr>
                <w:rFonts w:ascii="Arial" w:hAnsi="Arial"/>
                <w:color w:val="FFFFFF" w:themeColor="background1"/>
              </w:rPr>
            </w:pPr>
            <w:r>
              <w:rPr>
                <w:rFonts w:ascii="Arial" w:hAnsi="Arial"/>
                <w:color w:val="FFFFFF" w:themeColor="background1"/>
              </w:rPr>
              <w:t>Applicable Exclusion Amount</w:t>
            </w:r>
          </w:p>
        </w:tc>
      </w:tr>
      <w:tr w:rsidR="00D957AE" w14:paraId="3988D03E" w14:textId="77777777" w:rsidTr="00C83BBB">
        <w:tc>
          <w:tcPr>
            <w:tcW w:w="3116" w:type="dxa"/>
            <w:shd w:val="clear" w:color="auto" w:fill="F3F1F1"/>
          </w:tcPr>
          <w:p w14:paraId="2DEA619E" w14:textId="77777777" w:rsidR="00D957AE" w:rsidRDefault="00D957AE" w:rsidP="00C83BBB">
            <w:pPr>
              <w:jc w:val="center"/>
            </w:pPr>
            <w:r>
              <w:t>2016</w:t>
            </w:r>
          </w:p>
        </w:tc>
        <w:tc>
          <w:tcPr>
            <w:tcW w:w="3117" w:type="dxa"/>
            <w:shd w:val="clear" w:color="auto" w:fill="F3F1F1"/>
          </w:tcPr>
          <w:p w14:paraId="13AFADFD" w14:textId="77777777" w:rsidR="00D957AE" w:rsidRDefault="00F7272F" w:rsidP="00C83BBB">
            <w:pPr>
              <w:jc w:val="center"/>
            </w:pPr>
            <w:r>
              <w:t>$2,125,800</w:t>
            </w:r>
          </w:p>
        </w:tc>
        <w:tc>
          <w:tcPr>
            <w:tcW w:w="3117" w:type="dxa"/>
            <w:shd w:val="clear" w:color="auto" w:fill="F3F1F1"/>
          </w:tcPr>
          <w:p w14:paraId="55B2703E" w14:textId="77777777" w:rsidR="00D957AE" w:rsidRDefault="00D957AE" w:rsidP="00C83BBB">
            <w:pPr>
              <w:jc w:val="center"/>
            </w:pPr>
            <w:r>
              <w:t>$5,450,000</w:t>
            </w:r>
          </w:p>
        </w:tc>
      </w:tr>
    </w:tbl>
    <w:p w14:paraId="50A9AC92" w14:textId="77777777" w:rsidR="00D957AE" w:rsidRDefault="00D957AE" w:rsidP="00D957AE">
      <w:r>
        <w:t>While you need not memorize the Applicable Credit Amount, you should commit the Applicable Exclusion Amount to memory. Knowing this amount will be extremely useful in evaluating the tax exposure of any given estate.</w:t>
      </w:r>
    </w:p>
    <w:p w14:paraId="184E32E9" w14:textId="77777777" w:rsidR="00D957AE" w:rsidRDefault="00D957AE" w:rsidP="00D957A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4E5E3"/>
        <w:tblLook w:val="04A0" w:firstRow="1" w:lastRow="0" w:firstColumn="1" w:lastColumn="0" w:noHBand="0" w:noVBand="1"/>
      </w:tblPr>
      <w:tblGrid>
        <w:gridCol w:w="9350"/>
      </w:tblGrid>
      <w:tr w:rsidR="00D957AE" w14:paraId="22585169" w14:textId="77777777" w:rsidTr="00C83BBB">
        <w:tc>
          <w:tcPr>
            <w:tcW w:w="9350" w:type="dxa"/>
            <w:shd w:val="clear" w:color="auto" w:fill="E4E5E3"/>
          </w:tcPr>
          <w:p w14:paraId="0B03CE45" w14:textId="77777777" w:rsidR="00D957AE" w:rsidRPr="00D032F2" w:rsidRDefault="00D957AE" w:rsidP="00C83BBB">
            <w:pPr>
              <w:rPr>
                <w:b/>
              </w:rPr>
            </w:pPr>
            <w:r w:rsidRPr="008D2373">
              <w:rPr>
                <w:b/>
                <w:i/>
              </w:rPr>
              <w:t>Illustration</w:t>
            </w:r>
            <w:r w:rsidRPr="00D032F2">
              <w:rPr>
                <w:b/>
              </w:rPr>
              <w:t>:</w:t>
            </w:r>
          </w:p>
          <w:p w14:paraId="2C0CD455" w14:textId="77777777" w:rsidR="00D957AE" w:rsidRDefault="00D957AE" w:rsidP="00C83BBB">
            <w:r>
              <w:t>In 2012, James</w:t>
            </w:r>
            <w:r w:rsidR="007D3024">
              <w:t>, a widower since 1995,</w:t>
            </w:r>
            <w:r>
              <w:t xml:space="preserve"> made a $1,000,000 taxable gift to his children. He had made no prior taxable gifts and had no transfer tax credits other than his own Applicable Credit Amount. </w:t>
            </w:r>
          </w:p>
          <w:p w14:paraId="033A7B41" w14:textId="77777777" w:rsidR="00D957AE" w:rsidRDefault="00D957AE" w:rsidP="00C83BBB">
            <w:r>
              <w:t xml:space="preserve">Next, in 2014, he made another $1,000,000 taxable gift to his children. </w:t>
            </w:r>
          </w:p>
          <w:p w14:paraId="75970CD4" w14:textId="77777777" w:rsidR="00D957AE" w:rsidRDefault="00D957AE" w:rsidP="00C83BBB">
            <w:r>
              <w:t xml:space="preserve">Finally, he died in 2016 with a taxable estate valued at $10,000,000. How much of his estate was </w:t>
            </w:r>
            <w:r w:rsidRPr="0011153E">
              <w:rPr>
                <w:i/>
              </w:rPr>
              <w:t>NOT</w:t>
            </w:r>
            <w:r>
              <w:t xml:space="preserve"> protected by his Applicable Credit/Exclusion Amount?</w:t>
            </w:r>
          </w:p>
          <w:p w14:paraId="3ED42544" w14:textId="77777777" w:rsidR="00D957AE" w:rsidRPr="00D032F2" w:rsidRDefault="00D957AE" w:rsidP="00C83BBB">
            <w:pPr>
              <w:rPr>
                <w:i/>
              </w:rPr>
            </w:pPr>
            <w:r w:rsidRPr="008D2373">
              <w:rPr>
                <w:b/>
                <w:i/>
              </w:rPr>
              <w:t>Analysis</w:t>
            </w:r>
            <w:r w:rsidRPr="00D032F2">
              <w:rPr>
                <w:i/>
              </w:rPr>
              <w:t xml:space="preserve">: </w:t>
            </w:r>
          </w:p>
          <w:p w14:paraId="6BA68308" w14:textId="77777777" w:rsidR="00D957AE" w:rsidRDefault="00D957AE" w:rsidP="00C83BBB">
            <w:r>
              <w:t>James filed a gift tax for the 2012 gift, calculating a tax of $345,800. But his Applicable Credit Amount was more than enough to cover the tax, so no tax was due to the IRS.</w:t>
            </w:r>
          </w:p>
          <w:p w14:paraId="6DFDC83C" w14:textId="77777777" w:rsidR="00D957AE" w:rsidRDefault="00D957AE" w:rsidP="00C83BBB">
            <w:r>
              <w:t xml:space="preserve">When he filed the gift tax return for the 2014 gift, he </w:t>
            </w:r>
            <w:r w:rsidRPr="0011153E">
              <w:rPr>
                <w:b/>
                <w:i/>
              </w:rPr>
              <w:t>added together the 2012 and 2014 gifts</w:t>
            </w:r>
            <w:r>
              <w:t xml:space="preserve"> (remember, all post-1976 taxable gifts must be added back for both gift tax </w:t>
            </w:r>
            <w:r>
              <w:lastRenderedPageBreak/>
              <w:t>returns and estate tax returns). Thus</w:t>
            </w:r>
            <w:r w:rsidR="003D26C6">
              <w:t>,</w:t>
            </w:r>
            <w:r>
              <w:t xml:space="preserve"> he reported his cumulative lifetime taxable transfers of $2,000,000, with a calculated tax of $745,800. Again, no tax was due because his Applicable Credit Amount was more than enough to cover the tax.</w:t>
            </w:r>
          </w:p>
          <w:p w14:paraId="3BF7893A" w14:textId="77777777" w:rsidR="00D957AE" w:rsidRPr="001D1CC8" w:rsidRDefault="00D957AE" w:rsidP="007D3024">
            <w:r>
              <w:t xml:space="preserve">Upon his death, the executor added all post-1976 taxable gifts ($2,000,000) to the value of his estate ($10,000), and calculated the tax on the combined $12,000. The 2016 Applicable Credit of </w:t>
            </w:r>
            <w:r w:rsidR="00F7272F">
              <w:t>$2,125,800</w:t>
            </w:r>
            <w:r>
              <w:t xml:space="preserve"> was sufficient to protect the first $5,450,000 (in this case, the $2,000,000 of lifetime taxable gifts and $3,450,000 of his estate at death). Tax would be due, however, on the remaining $6,550,000 of his estate. Since this will be taxed at the marginal rate of 40%, James’ executor will pay the IRS: $6,550, 000 x 40% = $2,620,000.</w:t>
            </w:r>
          </w:p>
        </w:tc>
      </w:tr>
    </w:tbl>
    <w:p w14:paraId="3137ECBB" w14:textId="77777777" w:rsidR="00D957AE" w:rsidRDefault="00D957AE" w:rsidP="00D957AE">
      <w:pPr>
        <w:rPr>
          <w:b/>
        </w:rPr>
      </w:pPr>
    </w:p>
    <w:p w14:paraId="498195A1" w14:textId="77777777" w:rsidR="00D957AE" w:rsidRDefault="00D957AE" w:rsidP="00D957AE">
      <w:pPr>
        <w:pStyle w:val="Heading3"/>
      </w:pPr>
      <w:r>
        <w:t>What About Nonresident Aliens?</w:t>
      </w:r>
    </w:p>
    <w:p w14:paraId="0B561736" w14:textId="77777777" w:rsidR="00D957AE" w:rsidRPr="004E611A" w:rsidRDefault="00D957AE" w:rsidP="00D957AE">
      <w:pPr>
        <w:spacing w:after="0"/>
        <w:rPr>
          <w:rFonts w:eastAsiaTheme="majorEastAsia" w:cstheme="majorBidi"/>
          <w:b/>
          <w:color w:val="244061" w:themeColor="accent1" w:themeShade="80"/>
          <w:sz w:val="40"/>
          <w:szCs w:val="26"/>
        </w:rPr>
      </w:pPr>
      <w:r>
        <w:t xml:space="preserve">Unlike U.S. citizens and resident aliens, who have a generous unified Applicable Exclusion Amount for use with both lifetime gifts and estate transfers, nonresident aliens have an Applicable Exclusion Amount that can only be used for at-death transfer of their estates. Furthermore, the estate-only </w:t>
      </w:r>
      <w:r w:rsidRPr="004E611A">
        <w:t xml:space="preserve">Applicable Exclusion Amount for nonresident aliens is limited to </w:t>
      </w:r>
      <w:r w:rsidRPr="004E611A">
        <w:rPr>
          <w:b/>
        </w:rPr>
        <w:t>$60,000</w:t>
      </w:r>
      <w:r w:rsidRPr="004E611A">
        <w:t xml:space="preserve">. This amount is </w:t>
      </w:r>
      <w:r w:rsidRPr="004E611A">
        <w:rPr>
          <w:b/>
        </w:rPr>
        <w:t>NOT adjusted for inflation</w:t>
      </w:r>
      <w:r w:rsidRPr="004E611A">
        <w:t>.</w:t>
      </w:r>
    </w:p>
    <w:p w14:paraId="00C51E4E" w14:textId="77777777" w:rsidR="008207B0" w:rsidRDefault="00954E76" w:rsidP="005F29D2">
      <w:pPr>
        <w:pStyle w:val="Heading2"/>
      </w:pPr>
      <w:r>
        <w:br w:type="page"/>
      </w:r>
      <w:r w:rsidR="00525EA0">
        <w:lastRenderedPageBreak/>
        <w:t xml:space="preserve">Gift and Estate Tax </w:t>
      </w:r>
      <w:r w:rsidR="008207B0">
        <w:t xml:space="preserve">Deductions: </w:t>
      </w:r>
      <w:r w:rsidR="00525EA0">
        <w:t xml:space="preserve">Charitable and </w:t>
      </w:r>
      <w:r w:rsidR="008207B0">
        <w:t xml:space="preserve">Unlimited Marital </w:t>
      </w:r>
    </w:p>
    <w:p w14:paraId="252845D8" w14:textId="77777777" w:rsidR="008207B0" w:rsidRPr="009376DD" w:rsidRDefault="008207B0" w:rsidP="009118B1">
      <w:r w:rsidRPr="009376DD">
        <w:t xml:space="preserve">Unlike the applicable credit amount, which is applied after the tentative tax on the gift or estate is calculated, there are certain deductions that actually reduce the taxable amount of the gift or estate </w:t>
      </w:r>
      <w:r w:rsidRPr="009376DD">
        <w:rPr>
          <w:b/>
          <w:bCs/>
          <w:i/>
          <w:iCs/>
        </w:rPr>
        <w:t>before</w:t>
      </w:r>
      <w:r w:rsidRPr="009376DD">
        <w:t xml:space="preserve"> the tentative tax is calculated. Two important deductions that are available for both gift and estate taxes are: </w:t>
      </w:r>
    </w:p>
    <w:p w14:paraId="150C2918" w14:textId="77777777" w:rsidR="00525EA0" w:rsidRPr="009376DD" w:rsidRDefault="00525EA0" w:rsidP="00525EA0">
      <w:pPr>
        <w:numPr>
          <w:ilvl w:val="0"/>
          <w:numId w:val="15"/>
        </w:numPr>
      </w:pPr>
      <w:r w:rsidRPr="009376DD">
        <w:rPr>
          <w:b/>
          <w:bCs/>
        </w:rPr>
        <w:t>Charitable Deductions</w:t>
      </w:r>
      <w:r w:rsidR="00053FF3">
        <w:t xml:space="preserve"> – </w:t>
      </w:r>
      <w:r w:rsidRPr="009376DD">
        <w:t xml:space="preserve">Transfers to qualified charities, during one's lifetime or at death receive an offsetting deduction, which removes them from computation of the transfer tax. </w:t>
      </w:r>
    </w:p>
    <w:p w14:paraId="0E91307C" w14:textId="77777777" w:rsidR="009118B1" w:rsidRDefault="008207B0" w:rsidP="006B5C7E">
      <w:pPr>
        <w:numPr>
          <w:ilvl w:val="0"/>
          <w:numId w:val="15"/>
        </w:numPr>
      </w:pPr>
      <w:r w:rsidRPr="009376DD">
        <w:rPr>
          <w:b/>
          <w:bCs/>
        </w:rPr>
        <w:t>The Unlimited Marital Deduction</w:t>
      </w:r>
      <w:r w:rsidR="00053FF3">
        <w:t xml:space="preserve"> – </w:t>
      </w:r>
      <w:r w:rsidRPr="009376DD">
        <w:t xml:space="preserve">Transfers of assets </w:t>
      </w:r>
      <w:r w:rsidR="00525EA0">
        <w:t>to U.S. citizen</w:t>
      </w:r>
      <w:r w:rsidR="00525EA0" w:rsidRPr="009376DD">
        <w:t xml:space="preserve"> </w:t>
      </w:r>
      <w:r w:rsidRPr="009376DD">
        <w:t xml:space="preserve">spouses are non-taxable events regarding </w:t>
      </w:r>
      <w:r w:rsidR="00525EA0">
        <w:t>gift and estate</w:t>
      </w:r>
      <w:r w:rsidR="00525EA0" w:rsidRPr="009376DD">
        <w:t xml:space="preserve"> </w:t>
      </w:r>
      <w:r w:rsidRPr="009376DD">
        <w:t>taxes</w:t>
      </w:r>
      <w:r w:rsidR="00327CE1">
        <w:t xml:space="preserve"> due to a “marital deduction” that is provided on the gift or estate tax form. </w:t>
      </w:r>
      <w:r w:rsidR="00525EA0">
        <w:t xml:space="preserve">This marital deduction is </w:t>
      </w:r>
      <w:r w:rsidR="00525EA0" w:rsidRPr="0039274D">
        <w:rPr>
          <w:i/>
        </w:rPr>
        <w:t>unlimited</w:t>
      </w:r>
      <w:r w:rsidR="00525EA0">
        <w:t>, so any amount can be transferred to U.S. citizen spouses during life or at death without triggering a gift or estate tax.</w:t>
      </w:r>
    </w:p>
    <w:p w14:paraId="72FDCE10" w14:textId="77777777" w:rsidR="00525EA0" w:rsidRDefault="00525EA0" w:rsidP="00160EF1">
      <w:pPr>
        <w:ind w:left="720"/>
      </w:pPr>
      <w:r w:rsidRPr="0039274D">
        <w:t xml:space="preserve">Beware, however, </w:t>
      </w:r>
      <w:r>
        <w:t>that there is no “unlimited marital deduction” for transfers to spouses who are not U.S. citizens, whether they are resident or nonresident in the United States. Special rules apply and additional planning may be needed to minimize taxes on transfers to a non-citizen spouse.</w:t>
      </w:r>
    </w:p>
    <w:p w14:paraId="0DD7292C" w14:textId="77777777" w:rsidR="00525EA0" w:rsidRDefault="00525EA0" w:rsidP="00160EF1">
      <w:pPr>
        <w:ind w:left="720"/>
      </w:pPr>
      <w:r>
        <w:t>On the following page, we will take a deeper look at the unlimited marital deduction.</w:t>
      </w:r>
    </w:p>
    <w:p w14:paraId="125347B1" w14:textId="77777777" w:rsidR="008207B0" w:rsidRDefault="008207B0" w:rsidP="009118B1">
      <w:pPr>
        <w:spacing w:before="0" w:after="0"/>
      </w:pPr>
      <w:r>
        <w:t> </w:t>
      </w:r>
    </w:p>
    <w:p w14:paraId="1FF20873" w14:textId="77777777" w:rsidR="00CC7CD4" w:rsidRPr="00DC0D61" w:rsidRDefault="002F737D" w:rsidP="005F29D2">
      <w:pPr>
        <w:pStyle w:val="Heading2"/>
      </w:pPr>
      <w:r>
        <w:br w:type="page"/>
      </w:r>
      <w:r w:rsidR="00CC7CD4">
        <w:lastRenderedPageBreak/>
        <w:t xml:space="preserve">Unlimited </w:t>
      </w:r>
      <w:r w:rsidR="00CC7CD4" w:rsidRPr="007E024F">
        <w:t>Marital Deduction</w:t>
      </w:r>
    </w:p>
    <w:p w14:paraId="233AF1A1" w14:textId="77777777" w:rsidR="00CC7CD4" w:rsidRPr="00DC0D61" w:rsidRDefault="00525EA0" w:rsidP="00CC7CD4">
      <w:r w:rsidRPr="001808BE">
        <w:t xml:space="preserve">Under </w:t>
      </w:r>
      <w:r>
        <w:t>certain conditions,</w:t>
      </w:r>
      <w:r w:rsidRPr="001808BE">
        <w:t xml:space="preserve"> current </w:t>
      </w:r>
      <w:r w:rsidR="003D26C6">
        <w:t xml:space="preserve">federal </w:t>
      </w:r>
      <w:r>
        <w:t>transfer tax</w:t>
      </w:r>
      <w:r w:rsidRPr="001808BE">
        <w:t xml:space="preserve"> laws</w:t>
      </w:r>
      <w:r>
        <w:t xml:space="preserve"> provide an</w:t>
      </w:r>
      <w:r w:rsidRPr="001808BE">
        <w:t xml:space="preserve"> </w:t>
      </w:r>
      <w:r w:rsidRPr="001808BE">
        <w:rPr>
          <w:b/>
          <w:i/>
        </w:rPr>
        <w:t>unlimited marital deduction</w:t>
      </w:r>
      <w:r>
        <w:t xml:space="preserve"> for transfers to a U.S. citizen spouse. This means that during life or at death a married person</w:t>
      </w:r>
      <w:r w:rsidRPr="001808BE">
        <w:t xml:space="preserve"> </w:t>
      </w:r>
      <w:r>
        <w:t xml:space="preserve">can transfer assets to his or her spouse </w:t>
      </w:r>
      <w:r w:rsidRPr="001808BE">
        <w:t xml:space="preserve">free of any </w:t>
      </w:r>
      <w:r>
        <w:t xml:space="preserve">gift or estate taxes. Why does the IRS allow this? </w:t>
      </w:r>
      <w:r w:rsidRPr="001808BE">
        <w:t xml:space="preserve">Because they know they will tax all the assets </w:t>
      </w:r>
      <w:r>
        <w:t>upon the last spouse’s death</w:t>
      </w:r>
      <w:r w:rsidRPr="001808BE">
        <w:t xml:space="preserve">. </w:t>
      </w:r>
      <w:r>
        <w:t xml:space="preserve">Thus, the </w:t>
      </w:r>
      <w:r w:rsidRPr="001808BE">
        <w:t xml:space="preserve">unlimited marital deduction does not eliminate any transfer taxes on the spouses’ estates, but merely defers </w:t>
      </w:r>
      <w:r>
        <w:t>taxation until the last spouse’s death</w:t>
      </w:r>
      <w:r w:rsidRPr="001808BE">
        <w:t>.</w:t>
      </w:r>
    </w:p>
    <w:p w14:paraId="27547CC4" w14:textId="77777777" w:rsidR="00CC7CD4" w:rsidRDefault="00CC7CD4" w:rsidP="00CC7CD4">
      <w:r w:rsidRPr="007F2A29">
        <w:t>The following conditions must be met to qualify for the marital deduction.</w:t>
      </w:r>
      <w:r w:rsidR="00053FF3">
        <w:t xml:space="preserve"> </w:t>
      </w:r>
    </w:p>
    <w:p w14:paraId="6F43256B" w14:textId="77777777" w:rsidR="00CC7CD4" w:rsidRDefault="00CC7CD4" w:rsidP="00CC7CD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CC7CD4" w14:paraId="13851390" w14:textId="77777777" w:rsidTr="00CC7CD4">
        <w:tc>
          <w:tcPr>
            <w:tcW w:w="9576" w:type="dxa"/>
            <w:shd w:val="clear" w:color="auto" w:fill="D9D9D9"/>
          </w:tcPr>
          <w:p w14:paraId="7DFF7F3D" w14:textId="77777777" w:rsidR="00CC7CD4" w:rsidRPr="003D26C6" w:rsidRDefault="00CC7CD4" w:rsidP="00CC7CD4">
            <w:pPr>
              <w:rPr>
                <w:rStyle w:val="Strong"/>
              </w:rPr>
            </w:pPr>
            <w:r w:rsidRPr="003D26C6">
              <w:rPr>
                <w:rStyle w:val="Strong"/>
              </w:rPr>
              <w:t>U.S. Citizenship</w:t>
            </w:r>
          </w:p>
          <w:p w14:paraId="4DC153A6" w14:textId="77777777" w:rsidR="00CC7CD4" w:rsidRPr="00D914D1" w:rsidRDefault="00CC7CD4" w:rsidP="00CC7CD4">
            <w:pPr>
              <w:rPr>
                <w:szCs w:val="20"/>
              </w:rPr>
            </w:pPr>
            <w:r w:rsidRPr="003D26C6">
              <w:rPr>
                <w:szCs w:val="20"/>
              </w:rPr>
              <w:t xml:space="preserve">The spouse </w:t>
            </w:r>
            <w:r w:rsidR="00525EA0" w:rsidRPr="003D26C6">
              <w:rPr>
                <w:szCs w:val="20"/>
              </w:rPr>
              <w:t xml:space="preserve">receiving the assets </w:t>
            </w:r>
            <w:r w:rsidR="00436AD2">
              <w:rPr>
                <w:szCs w:val="20"/>
              </w:rPr>
              <w:t xml:space="preserve">must be a U.S. citizen. </w:t>
            </w:r>
            <w:r w:rsidRPr="00774CC7">
              <w:rPr>
                <w:szCs w:val="20"/>
              </w:rPr>
              <w:t>If the IRS were to allow the deduction when the spo</w:t>
            </w:r>
            <w:r w:rsidRPr="00AC38B5">
              <w:rPr>
                <w:szCs w:val="20"/>
              </w:rPr>
              <w:t>use was not a U.S. citizen, there would be a risk that the assets would be removed from the country and thereby escape taxation upon the death of the surviving spouse.  However, if the spouse is not a citizen at the decedent’s death, but becomes a citizen by the time the 706 is filed, the marital deduction is allowable.</w:t>
            </w:r>
          </w:p>
          <w:p w14:paraId="0CB2F753" w14:textId="77777777" w:rsidR="00525EA0" w:rsidRPr="00160EF1" w:rsidRDefault="00525EA0" w:rsidP="00CC7CD4">
            <w:pPr>
              <w:keepNext/>
              <w:keepLines/>
              <w:outlineLvl w:val="4"/>
              <w:rPr>
                <w:szCs w:val="20"/>
              </w:rPr>
            </w:pPr>
            <w:r w:rsidRPr="00436AD2">
              <w:rPr>
                <w:szCs w:val="20"/>
              </w:rPr>
              <w:t>Note that this means that the transfer to the U.S. citizen spouse can come from another U.S. citizen spouse, from a resident alien spouse, or from a nonresident alien spouse. So lo</w:t>
            </w:r>
            <w:r w:rsidRPr="002501A3">
              <w:rPr>
                <w:szCs w:val="20"/>
              </w:rPr>
              <w:t xml:space="preserve">ng as the transfer is being made to a spouse who is a U.S. citizen, the </w:t>
            </w:r>
            <w:proofErr w:type="spellStart"/>
            <w:r w:rsidRPr="002501A3">
              <w:rPr>
                <w:szCs w:val="20"/>
              </w:rPr>
              <w:t>the</w:t>
            </w:r>
            <w:proofErr w:type="spellEnd"/>
            <w:r w:rsidRPr="002501A3">
              <w:rPr>
                <w:szCs w:val="20"/>
              </w:rPr>
              <w:t xml:space="preserve"> unlimited marital deduction is available</w:t>
            </w:r>
          </w:p>
          <w:p w14:paraId="48C6F3D5" w14:textId="77777777" w:rsidR="00CC7CD4" w:rsidRPr="00160EF1" w:rsidRDefault="00525EA0" w:rsidP="00CC7CD4">
            <w:pPr>
              <w:keepNext/>
              <w:outlineLvl w:val="2"/>
              <w:rPr>
                <w:szCs w:val="20"/>
              </w:rPr>
            </w:pPr>
            <w:r w:rsidRPr="00AC38B5">
              <w:rPr>
                <w:szCs w:val="20"/>
              </w:rPr>
              <w:t>When the transfer is made to a non-citizen spouse, the unlimited marital deduction is not available. When one spouse dies, it is possible</w:t>
            </w:r>
            <w:r w:rsidR="00053FF3" w:rsidRPr="00AC38B5">
              <w:rPr>
                <w:szCs w:val="20"/>
              </w:rPr>
              <w:t>, however,</w:t>
            </w:r>
            <w:r w:rsidRPr="00D914D1">
              <w:rPr>
                <w:szCs w:val="20"/>
              </w:rPr>
              <w:t xml:space="preserve"> to make a transfer to a Qualified Domestic Order Trust (QDOT Trust) that will qualify for the marital deduction, but that is a subject for later discussion. For current purposes, direct transfers to a non-citizen spouse simply do not qualify for the unlimited marital deduction.</w:t>
            </w:r>
          </w:p>
        </w:tc>
      </w:tr>
    </w:tbl>
    <w:p w14:paraId="734C4557" w14:textId="77777777" w:rsidR="00CC7CD4" w:rsidRDefault="00CC7CD4" w:rsidP="00CC7CD4">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CC7CD4" w14:paraId="04732274" w14:textId="77777777" w:rsidTr="00CC7CD4">
        <w:tc>
          <w:tcPr>
            <w:tcW w:w="9576" w:type="dxa"/>
            <w:shd w:val="clear" w:color="auto" w:fill="D9D9D9"/>
          </w:tcPr>
          <w:p w14:paraId="500D0620" w14:textId="77777777" w:rsidR="00CC7CD4" w:rsidRPr="003D26C6" w:rsidRDefault="00CC7CD4" w:rsidP="00CC7CD4">
            <w:pPr>
              <w:rPr>
                <w:rStyle w:val="Strong"/>
              </w:rPr>
            </w:pPr>
            <w:r w:rsidRPr="003D26C6">
              <w:rPr>
                <w:rStyle w:val="Strong"/>
              </w:rPr>
              <w:t>Survival of the Spouse</w:t>
            </w:r>
          </w:p>
          <w:p w14:paraId="1EB0ECA4" w14:textId="77777777" w:rsidR="00CC7CD4" w:rsidRPr="00D914D1" w:rsidRDefault="00525EA0" w:rsidP="00160EF1">
            <w:pPr>
              <w:rPr>
                <w:szCs w:val="20"/>
              </w:rPr>
            </w:pPr>
            <w:r w:rsidRPr="003D26C6">
              <w:rPr>
                <w:szCs w:val="20"/>
              </w:rPr>
              <w:t xml:space="preserve">For transfers to qualify at death, </w:t>
            </w:r>
            <w:proofErr w:type="gramStart"/>
            <w:r w:rsidRPr="003D26C6">
              <w:rPr>
                <w:szCs w:val="20"/>
              </w:rPr>
              <w:t>one spouse</w:t>
            </w:r>
            <w:r w:rsidRPr="00774CC7">
              <w:rPr>
                <w:szCs w:val="20"/>
              </w:rPr>
              <w:t xml:space="preserve"> must be survived by the other</w:t>
            </w:r>
            <w:proofErr w:type="gramEnd"/>
            <w:r w:rsidRPr="00774CC7">
              <w:rPr>
                <w:szCs w:val="20"/>
              </w:rPr>
              <w:t>. Presumption of survivorship must be stated in the will in the event both spouses die under circumstances that prevent determination of order of death (e.g., car accident, ai</w:t>
            </w:r>
            <w:r w:rsidRPr="00AC38B5">
              <w:rPr>
                <w:szCs w:val="20"/>
              </w:rPr>
              <w:t>rplane crash, etc.).  If not, the state statutes will govern survivorship.  Under the Uniform Simultaneous Death Act, which has been adopted in many states, in the event of death within 120 hours of each other and no will that states order of death, then each spouse’s estate would be settled as though there had been no surviving spouse, eliminating the use of the marital deduction for either spouse.</w:t>
            </w:r>
          </w:p>
        </w:tc>
      </w:tr>
    </w:tbl>
    <w:p w14:paraId="4FFD6B92" w14:textId="77777777" w:rsidR="00525EA0" w:rsidRPr="001808BE" w:rsidRDefault="00525EA0" w:rsidP="00525EA0"/>
    <w:tbl>
      <w:tblPr>
        <w:tblW w:w="0" w:type="auto"/>
        <w:tblBorders>
          <w:top w:val="single" w:sz="4" w:space="0" w:color="auto"/>
          <w:left w:val="single" w:sz="4" w:space="0" w:color="auto"/>
          <w:bottom w:val="single" w:sz="4" w:space="0" w:color="auto"/>
          <w:right w:val="single" w:sz="4" w:space="0" w:color="auto"/>
        </w:tblBorders>
        <w:shd w:val="clear" w:color="auto" w:fill="E4E5E3"/>
        <w:tblLook w:val="04A0" w:firstRow="1" w:lastRow="0" w:firstColumn="1" w:lastColumn="0" w:noHBand="0" w:noVBand="1"/>
      </w:tblPr>
      <w:tblGrid>
        <w:gridCol w:w="9576"/>
      </w:tblGrid>
      <w:tr w:rsidR="00525EA0" w:rsidRPr="001808BE" w14:paraId="12F792C4" w14:textId="77777777" w:rsidTr="00C83BBB">
        <w:tc>
          <w:tcPr>
            <w:tcW w:w="9576" w:type="dxa"/>
            <w:shd w:val="clear" w:color="auto" w:fill="E4E5E3"/>
          </w:tcPr>
          <w:p w14:paraId="4814990E" w14:textId="77777777" w:rsidR="00525EA0" w:rsidRPr="001808BE" w:rsidRDefault="00525EA0" w:rsidP="00C83BBB">
            <w:pPr>
              <w:rPr>
                <w:b/>
                <w:bCs/>
              </w:rPr>
            </w:pPr>
            <w:r w:rsidRPr="001808BE">
              <w:rPr>
                <w:b/>
                <w:bCs/>
              </w:rPr>
              <w:t>Married</w:t>
            </w:r>
          </w:p>
          <w:p w14:paraId="59407FD5" w14:textId="77777777" w:rsidR="00525EA0" w:rsidRDefault="00525EA0" w:rsidP="00C83BBB">
            <w:r w:rsidRPr="001808BE">
              <w:t>One must be legally married in order to quali</w:t>
            </w:r>
            <w:r>
              <w:t>fy for the marital deduction. With the Supreme Court ruling in June</w:t>
            </w:r>
            <w:r w:rsidR="00774CC7">
              <w:t xml:space="preserve"> </w:t>
            </w:r>
            <w:r>
              <w:t xml:space="preserve">2015, this includes same-sex marriages as well as </w:t>
            </w:r>
            <w:r w:rsidR="000C0445">
              <w:t>opposite-sex</w:t>
            </w:r>
            <w:r>
              <w:t xml:space="preserve"> marriages in all states. </w:t>
            </w:r>
          </w:p>
          <w:p w14:paraId="1A74EEBD" w14:textId="77777777" w:rsidR="00525EA0" w:rsidRPr="001808BE" w:rsidRDefault="00525EA0" w:rsidP="00C83BBB">
            <w:r w:rsidRPr="001808BE">
              <w:t>Spouses who are legally separated are still married and, therefore, can pass assets via the marital deduction.</w:t>
            </w:r>
          </w:p>
        </w:tc>
      </w:tr>
    </w:tbl>
    <w:p w14:paraId="3EC63555" w14:textId="77777777" w:rsidR="00525EA0" w:rsidRDefault="00525EA0">
      <w:pPr>
        <w:spacing w:before="0" w:after="0"/>
        <w:rPr>
          <w:b/>
          <w:bCs/>
          <w:color w:val="1F4E79"/>
          <w:sz w:val="40"/>
          <w:szCs w:val="40"/>
        </w:rPr>
      </w:pPr>
      <w:r>
        <w:br w:type="page"/>
      </w:r>
    </w:p>
    <w:p w14:paraId="54F8C655" w14:textId="77777777" w:rsidR="007C3A77" w:rsidRDefault="0067584A" w:rsidP="005F29D2">
      <w:pPr>
        <w:pStyle w:val="Heading2"/>
      </w:pPr>
      <w:r>
        <w:lastRenderedPageBreak/>
        <w:t xml:space="preserve">Review Exercise </w:t>
      </w:r>
    </w:p>
    <w:p w14:paraId="66DD9D84" w14:textId="77777777" w:rsidR="007C3A77" w:rsidRDefault="007C3A77" w:rsidP="0067584A">
      <w:r w:rsidRPr="009376DD">
        <w:t xml:space="preserve">For the following statements, click on the correct response: </w:t>
      </w:r>
    </w:p>
    <w:p w14:paraId="5EF0CDB5" w14:textId="77777777" w:rsidR="007C3A77" w:rsidRPr="0067584A" w:rsidRDefault="007C3A77" w:rsidP="006B5C7E">
      <w:pPr>
        <w:numPr>
          <w:ilvl w:val="0"/>
          <w:numId w:val="18"/>
        </w:numPr>
        <w:ind w:left="360"/>
        <w:rPr>
          <w:b/>
          <w:bCs/>
        </w:rPr>
      </w:pPr>
      <w:r w:rsidRPr="0067584A">
        <w:rPr>
          <w:b/>
          <w:bCs/>
        </w:rPr>
        <w:t xml:space="preserve">Gift taxes are computed using the same rate schedule as for estates: </w:t>
      </w:r>
    </w:p>
    <w:p w14:paraId="57108327" w14:textId="77777777" w:rsidR="007C3A77" w:rsidRPr="00160EF1" w:rsidRDefault="007C3A77" w:rsidP="006B5C7E">
      <w:pPr>
        <w:numPr>
          <w:ilvl w:val="0"/>
          <w:numId w:val="19"/>
        </w:numPr>
        <w:rPr>
          <w:rStyle w:val="Strong"/>
        </w:rPr>
      </w:pPr>
      <w:r w:rsidRPr="00160EF1">
        <w:rPr>
          <w:rStyle w:val="Strong"/>
        </w:rPr>
        <w:t xml:space="preserve">True </w:t>
      </w:r>
    </w:p>
    <w:p w14:paraId="2F844650" w14:textId="77777777" w:rsidR="007C3A77" w:rsidRPr="00160EF1" w:rsidRDefault="007C3A77" w:rsidP="0067584A">
      <w:pPr>
        <w:pStyle w:val="ReviewAnswer"/>
        <w:rPr>
          <w:sz w:val="20"/>
          <w:szCs w:val="20"/>
        </w:rPr>
      </w:pPr>
      <w:r w:rsidRPr="00160EF1">
        <w:rPr>
          <w:rStyle w:val="Strong"/>
          <w:sz w:val="20"/>
        </w:rPr>
        <w:t>Correct</w:t>
      </w:r>
      <w:r w:rsidRPr="00160EF1">
        <w:rPr>
          <w:sz w:val="20"/>
          <w:szCs w:val="20"/>
        </w:rPr>
        <w:t xml:space="preserve">. The </w:t>
      </w:r>
      <w:r w:rsidR="004220C5" w:rsidRPr="00160EF1">
        <w:rPr>
          <w:sz w:val="20"/>
          <w:szCs w:val="20"/>
        </w:rPr>
        <w:t>Gift and E</w:t>
      </w:r>
      <w:r w:rsidR="003D5B69" w:rsidRPr="00160EF1">
        <w:rPr>
          <w:sz w:val="20"/>
          <w:szCs w:val="20"/>
        </w:rPr>
        <w:t>state</w:t>
      </w:r>
      <w:r w:rsidRPr="00160EF1">
        <w:rPr>
          <w:sz w:val="20"/>
          <w:szCs w:val="20"/>
        </w:rPr>
        <w:t xml:space="preserve"> tax use the same rate schedule.</w:t>
      </w:r>
    </w:p>
    <w:p w14:paraId="008A280F" w14:textId="77777777" w:rsidR="007C3A77" w:rsidRPr="00774CC7" w:rsidRDefault="007C3A77" w:rsidP="006B5C7E">
      <w:pPr>
        <w:numPr>
          <w:ilvl w:val="0"/>
          <w:numId w:val="19"/>
        </w:numPr>
        <w:rPr>
          <w:rFonts w:eastAsia="Arial Unicode MS"/>
          <w:szCs w:val="20"/>
        </w:rPr>
      </w:pPr>
      <w:r w:rsidRPr="00774CC7">
        <w:rPr>
          <w:szCs w:val="20"/>
        </w:rPr>
        <w:t>False</w:t>
      </w:r>
    </w:p>
    <w:p w14:paraId="4F2F7561" w14:textId="77777777" w:rsidR="007C3A77" w:rsidRPr="00160EF1" w:rsidRDefault="007C3A77" w:rsidP="0067584A">
      <w:pPr>
        <w:pStyle w:val="ReviewAnswer"/>
        <w:rPr>
          <w:rFonts w:eastAsia="Arial Unicode MS"/>
          <w:sz w:val="20"/>
          <w:szCs w:val="20"/>
        </w:rPr>
      </w:pPr>
      <w:r w:rsidRPr="00160EF1">
        <w:rPr>
          <w:rStyle w:val="Strong"/>
          <w:rFonts w:eastAsia="Arial Unicode MS"/>
          <w:sz w:val="20"/>
        </w:rPr>
        <w:t>Incorrect.</w:t>
      </w:r>
      <w:r w:rsidRPr="00160EF1">
        <w:rPr>
          <w:rFonts w:eastAsia="Arial Unicode MS"/>
          <w:sz w:val="20"/>
          <w:szCs w:val="20"/>
        </w:rPr>
        <w:t xml:space="preserve"> The </w:t>
      </w:r>
      <w:r w:rsidR="004220C5" w:rsidRPr="00160EF1">
        <w:rPr>
          <w:rFonts w:eastAsia="Arial Unicode MS"/>
          <w:sz w:val="20"/>
          <w:szCs w:val="20"/>
        </w:rPr>
        <w:t>Gift and E</w:t>
      </w:r>
      <w:r w:rsidR="003D5B69" w:rsidRPr="00160EF1">
        <w:rPr>
          <w:rFonts w:eastAsia="Arial Unicode MS"/>
          <w:sz w:val="20"/>
          <w:szCs w:val="20"/>
        </w:rPr>
        <w:t>state</w:t>
      </w:r>
      <w:r w:rsidRPr="00160EF1">
        <w:rPr>
          <w:rFonts w:eastAsia="Arial Unicode MS"/>
          <w:sz w:val="20"/>
          <w:szCs w:val="20"/>
        </w:rPr>
        <w:t xml:space="preserve"> tax actually do use the same rate schedule.</w:t>
      </w:r>
    </w:p>
    <w:p w14:paraId="6AB6F157" w14:textId="77777777" w:rsidR="007C3A77" w:rsidRPr="00774CC7" w:rsidRDefault="007C3A77" w:rsidP="006B5C7E">
      <w:pPr>
        <w:numPr>
          <w:ilvl w:val="0"/>
          <w:numId w:val="18"/>
        </w:numPr>
        <w:ind w:left="360"/>
        <w:rPr>
          <w:b/>
          <w:szCs w:val="20"/>
        </w:rPr>
      </w:pPr>
      <w:r w:rsidRPr="00774CC7">
        <w:rPr>
          <w:b/>
          <w:szCs w:val="20"/>
        </w:rPr>
        <w:t xml:space="preserve">The amount that can be transferred </w:t>
      </w:r>
      <w:r w:rsidRPr="00436AD2">
        <w:rPr>
          <w:b/>
          <w:szCs w:val="20"/>
        </w:rPr>
        <w:t>between U.S. citizen spouses without</w:t>
      </w:r>
      <w:r w:rsidRPr="00774CC7">
        <w:rPr>
          <w:b/>
          <w:szCs w:val="20"/>
        </w:rPr>
        <w:t xml:space="preserve"> incurring a transfer tax is:</w:t>
      </w:r>
    </w:p>
    <w:p w14:paraId="07557984" w14:textId="77777777" w:rsidR="007C3A77" w:rsidRPr="00160EF1" w:rsidRDefault="007C3A77" w:rsidP="006B5C7E">
      <w:pPr>
        <w:numPr>
          <w:ilvl w:val="0"/>
          <w:numId w:val="19"/>
        </w:numPr>
        <w:rPr>
          <w:rStyle w:val="Strong"/>
          <w:b w:val="0"/>
        </w:rPr>
      </w:pPr>
      <w:r w:rsidRPr="00160EF1">
        <w:rPr>
          <w:rStyle w:val="Strong"/>
          <w:b w:val="0"/>
        </w:rPr>
        <w:t>Limited</w:t>
      </w:r>
    </w:p>
    <w:p w14:paraId="7523676F" w14:textId="77777777" w:rsidR="007C3A77" w:rsidRPr="00160EF1" w:rsidRDefault="007C3A77" w:rsidP="0067584A">
      <w:pPr>
        <w:pStyle w:val="ReviewAnswer"/>
        <w:rPr>
          <w:sz w:val="20"/>
          <w:szCs w:val="20"/>
        </w:rPr>
      </w:pPr>
      <w:r w:rsidRPr="00160EF1">
        <w:rPr>
          <w:rStyle w:val="Strong"/>
          <w:sz w:val="20"/>
        </w:rPr>
        <w:t>Incorrect.</w:t>
      </w:r>
      <w:r w:rsidRPr="00160EF1">
        <w:rPr>
          <w:sz w:val="20"/>
          <w:szCs w:val="20"/>
        </w:rPr>
        <w:t xml:space="preserve"> The amount that can be transferred between spouses without generating a transfer tax liability is generally unlimited.</w:t>
      </w:r>
    </w:p>
    <w:p w14:paraId="6A440D26" w14:textId="77777777" w:rsidR="007C3A77" w:rsidRPr="00774CC7" w:rsidRDefault="007C3A77" w:rsidP="006B5C7E">
      <w:pPr>
        <w:numPr>
          <w:ilvl w:val="0"/>
          <w:numId w:val="19"/>
        </w:numPr>
        <w:rPr>
          <w:szCs w:val="20"/>
        </w:rPr>
      </w:pPr>
      <w:r w:rsidRPr="00774CC7">
        <w:rPr>
          <w:szCs w:val="20"/>
        </w:rPr>
        <w:t>50%</w:t>
      </w:r>
    </w:p>
    <w:p w14:paraId="4FB96683" w14:textId="77777777" w:rsidR="007C3A77" w:rsidRPr="00160EF1" w:rsidRDefault="007C3A77" w:rsidP="0067584A">
      <w:pPr>
        <w:pStyle w:val="ReviewAnswer"/>
        <w:rPr>
          <w:sz w:val="20"/>
          <w:szCs w:val="20"/>
        </w:rPr>
      </w:pPr>
      <w:r w:rsidRPr="00160EF1">
        <w:rPr>
          <w:rStyle w:val="Strong"/>
          <w:sz w:val="20"/>
        </w:rPr>
        <w:t>Incorrect</w:t>
      </w:r>
      <w:r w:rsidRPr="00160EF1">
        <w:rPr>
          <w:sz w:val="20"/>
          <w:szCs w:val="20"/>
        </w:rPr>
        <w:t>. The amount that can be transferred between spouses without generating a transfer tax liability is generally unlimited.</w:t>
      </w:r>
    </w:p>
    <w:p w14:paraId="169E8529" w14:textId="77777777" w:rsidR="007C3A77" w:rsidRPr="00160EF1" w:rsidRDefault="007C3A77" w:rsidP="006B5C7E">
      <w:pPr>
        <w:numPr>
          <w:ilvl w:val="0"/>
          <w:numId w:val="19"/>
        </w:numPr>
        <w:rPr>
          <w:rStyle w:val="Strong"/>
        </w:rPr>
      </w:pPr>
      <w:r w:rsidRPr="00160EF1">
        <w:rPr>
          <w:rStyle w:val="Strong"/>
        </w:rPr>
        <w:t>Unlimited</w:t>
      </w:r>
    </w:p>
    <w:p w14:paraId="5A673A01" w14:textId="77777777" w:rsidR="007C3A77" w:rsidRPr="00160EF1" w:rsidRDefault="007C3A77" w:rsidP="0067584A">
      <w:pPr>
        <w:pStyle w:val="ReviewAnswer"/>
        <w:rPr>
          <w:sz w:val="20"/>
          <w:szCs w:val="20"/>
        </w:rPr>
      </w:pPr>
      <w:r w:rsidRPr="00160EF1">
        <w:rPr>
          <w:rStyle w:val="Strong"/>
          <w:sz w:val="20"/>
        </w:rPr>
        <w:t>Correct.</w:t>
      </w:r>
      <w:r w:rsidRPr="00160EF1">
        <w:rPr>
          <w:sz w:val="20"/>
          <w:szCs w:val="20"/>
        </w:rPr>
        <w:t xml:space="preserve"> There is no limit to the amount spouses can transfer between each other without generating a transfer tax liability.</w:t>
      </w:r>
    </w:p>
    <w:p w14:paraId="45291679" w14:textId="77777777" w:rsidR="007C3A77" w:rsidRPr="00774CC7" w:rsidRDefault="007C3A77" w:rsidP="006B5C7E">
      <w:pPr>
        <w:numPr>
          <w:ilvl w:val="0"/>
          <w:numId w:val="18"/>
        </w:numPr>
        <w:ind w:left="360"/>
        <w:rPr>
          <w:b/>
          <w:bCs/>
          <w:szCs w:val="20"/>
        </w:rPr>
      </w:pPr>
      <w:r w:rsidRPr="00774CC7">
        <w:rPr>
          <w:b/>
          <w:bCs/>
          <w:szCs w:val="20"/>
        </w:rPr>
        <w:t xml:space="preserve">When computing the estate tax, lifetime gifts made after 1976 are added back to the gross estate before computing the estate tax: </w:t>
      </w:r>
    </w:p>
    <w:p w14:paraId="544FFF31" w14:textId="77777777" w:rsidR="007C3A77" w:rsidRPr="00160EF1" w:rsidRDefault="007C3A77" w:rsidP="006B5C7E">
      <w:pPr>
        <w:numPr>
          <w:ilvl w:val="0"/>
          <w:numId w:val="19"/>
        </w:numPr>
        <w:rPr>
          <w:rStyle w:val="Strong"/>
        </w:rPr>
      </w:pPr>
      <w:r w:rsidRPr="00160EF1">
        <w:rPr>
          <w:rStyle w:val="Strong"/>
        </w:rPr>
        <w:t>True</w:t>
      </w:r>
    </w:p>
    <w:p w14:paraId="1BFDCF79" w14:textId="77777777" w:rsidR="007C3A77" w:rsidRPr="00160EF1" w:rsidRDefault="007C3A77" w:rsidP="0067584A">
      <w:pPr>
        <w:pStyle w:val="ReviewAnswer"/>
        <w:rPr>
          <w:sz w:val="20"/>
          <w:szCs w:val="20"/>
        </w:rPr>
      </w:pPr>
      <w:r w:rsidRPr="00160EF1">
        <w:rPr>
          <w:rStyle w:val="Strong"/>
          <w:sz w:val="20"/>
        </w:rPr>
        <w:t>Correct</w:t>
      </w:r>
      <w:r w:rsidR="0067584A" w:rsidRPr="00160EF1">
        <w:rPr>
          <w:sz w:val="20"/>
          <w:szCs w:val="20"/>
        </w:rPr>
        <w:t xml:space="preserve">. </w:t>
      </w:r>
      <w:r w:rsidRPr="00160EF1">
        <w:rPr>
          <w:sz w:val="20"/>
          <w:szCs w:val="20"/>
        </w:rPr>
        <w:t xml:space="preserve">This makes it possible to have a unified </w:t>
      </w:r>
      <w:r w:rsidR="003D5B69" w:rsidRPr="00160EF1">
        <w:rPr>
          <w:sz w:val="20"/>
          <w:szCs w:val="20"/>
        </w:rPr>
        <w:t>gift and estate</w:t>
      </w:r>
      <w:r w:rsidRPr="00160EF1">
        <w:rPr>
          <w:sz w:val="20"/>
          <w:szCs w:val="20"/>
        </w:rPr>
        <w:t xml:space="preserve"> tax system.</w:t>
      </w:r>
    </w:p>
    <w:p w14:paraId="730D122C" w14:textId="77777777" w:rsidR="007C3A77" w:rsidRPr="00774CC7" w:rsidRDefault="007C3A77" w:rsidP="006B5C7E">
      <w:pPr>
        <w:numPr>
          <w:ilvl w:val="0"/>
          <w:numId w:val="19"/>
        </w:numPr>
        <w:rPr>
          <w:szCs w:val="20"/>
        </w:rPr>
      </w:pPr>
      <w:r w:rsidRPr="00774CC7">
        <w:rPr>
          <w:szCs w:val="20"/>
        </w:rPr>
        <w:t>False</w:t>
      </w:r>
    </w:p>
    <w:p w14:paraId="577F0B2F" w14:textId="77777777" w:rsidR="007C3A77" w:rsidRPr="00160EF1" w:rsidRDefault="007C3A77" w:rsidP="0067584A">
      <w:pPr>
        <w:pStyle w:val="ReviewAnswer"/>
        <w:rPr>
          <w:sz w:val="20"/>
          <w:szCs w:val="20"/>
        </w:rPr>
      </w:pPr>
      <w:r w:rsidRPr="00160EF1">
        <w:rPr>
          <w:rStyle w:val="Strong"/>
          <w:sz w:val="20"/>
        </w:rPr>
        <w:t>Incorrect.</w:t>
      </w:r>
      <w:r w:rsidRPr="00160EF1">
        <w:rPr>
          <w:sz w:val="20"/>
          <w:szCs w:val="20"/>
        </w:rPr>
        <w:t xml:space="preserve"> The estate tax calculation is inclusive of lifetime transfers after 1976.</w:t>
      </w:r>
    </w:p>
    <w:p w14:paraId="3FDCE4D0" w14:textId="77777777" w:rsidR="007C3A77" w:rsidRPr="00AC38B5" w:rsidRDefault="007C3A77" w:rsidP="006B5C7E">
      <w:pPr>
        <w:numPr>
          <w:ilvl w:val="0"/>
          <w:numId w:val="18"/>
        </w:numPr>
        <w:ind w:left="360"/>
        <w:rPr>
          <w:b/>
          <w:szCs w:val="20"/>
        </w:rPr>
      </w:pPr>
      <w:r w:rsidRPr="00774CC7">
        <w:rPr>
          <w:b/>
          <w:szCs w:val="20"/>
        </w:rPr>
        <w:t xml:space="preserve">Transfers to qualified charities are NOT deductible on </w:t>
      </w:r>
      <w:r w:rsidR="003D5B69" w:rsidRPr="00774CC7">
        <w:rPr>
          <w:b/>
          <w:szCs w:val="20"/>
        </w:rPr>
        <w:t>gift and estate</w:t>
      </w:r>
      <w:r w:rsidRPr="00AC38B5">
        <w:rPr>
          <w:b/>
          <w:szCs w:val="20"/>
        </w:rPr>
        <w:t xml:space="preserve"> tax returns.</w:t>
      </w:r>
    </w:p>
    <w:p w14:paraId="1842D821" w14:textId="77777777" w:rsidR="007C3A77" w:rsidRPr="00D914D1" w:rsidRDefault="007C3A77" w:rsidP="006B5C7E">
      <w:pPr>
        <w:numPr>
          <w:ilvl w:val="0"/>
          <w:numId w:val="19"/>
        </w:numPr>
        <w:rPr>
          <w:szCs w:val="20"/>
        </w:rPr>
      </w:pPr>
      <w:r w:rsidRPr="00AC38B5">
        <w:rPr>
          <w:szCs w:val="20"/>
        </w:rPr>
        <w:t>True</w:t>
      </w:r>
    </w:p>
    <w:p w14:paraId="576A384A" w14:textId="77777777" w:rsidR="007C3A77" w:rsidRPr="00160EF1" w:rsidRDefault="007C3A77" w:rsidP="0067584A">
      <w:pPr>
        <w:pStyle w:val="ReviewAnswer"/>
        <w:rPr>
          <w:rStyle w:val="Strong"/>
          <w:sz w:val="20"/>
        </w:rPr>
      </w:pPr>
      <w:r w:rsidRPr="00160EF1">
        <w:rPr>
          <w:rStyle w:val="Strong"/>
          <w:sz w:val="20"/>
        </w:rPr>
        <w:t xml:space="preserve">Incorrect. </w:t>
      </w:r>
    </w:p>
    <w:p w14:paraId="20FE419B" w14:textId="77777777" w:rsidR="007C3A77" w:rsidRPr="00160EF1" w:rsidRDefault="007C3A77" w:rsidP="006B5C7E">
      <w:pPr>
        <w:numPr>
          <w:ilvl w:val="0"/>
          <w:numId w:val="19"/>
        </w:numPr>
        <w:rPr>
          <w:rStyle w:val="Strong"/>
        </w:rPr>
      </w:pPr>
      <w:r w:rsidRPr="00160EF1">
        <w:rPr>
          <w:rStyle w:val="Strong"/>
        </w:rPr>
        <w:t>False</w:t>
      </w:r>
    </w:p>
    <w:p w14:paraId="55279F2A" w14:textId="77777777" w:rsidR="007C3A77" w:rsidRPr="00160EF1" w:rsidRDefault="007C3A77" w:rsidP="0067584A">
      <w:pPr>
        <w:pStyle w:val="ReviewAnswer"/>
        <w:rPr>
          <w:rStyle w:val="Strong"/>
          <w:sz w:val="20"/>
        </w:rPr>
      </w:pPr>
      <w:r w:rsidRPr="00160EF1">
        <w:rPr>
          <w:rStyle w:val="Strong"/>
          <w:sz w:val="20"/>
        </w:rPr>
        <w:t xml:space="preserve">Correct. </w:t>
      </w:r>
    </w:p>
    <w:p w14:paraId="6C11EF83" w14:textId="77777777" w:rsidR="004D7FD0" w:rsidRPr="0027181A" w:rsidRDefault="004D7FD0" w:rsidP="004D7FD0">
      <w:pPr>
        <w:numPr>
          <w:ilvl w:val="0"/>
          <w:numId w:val="39"/>
        </w:numPr>
        <w:spacing w:before="0"/>
        <w:rPr>
          <w:b/>
          <w:bCs/>
        </w:rPr>
      </w:pPr>
      <w:r w:rsidRPr="0027181A">
        <w:rPr>
          <w:b/>
          <w:bCs/>
        </w:rPr>
        <w:t xml:space="preserve">The gift and estate Applicable Exclusion Amount for 2016 is: </w:t>
      </w:r>
    </w:p>
    <w:p w14:paraId="071E6BF4" w14:textId="77777777" w:rsidR="004D7FD0" w:rsidRPr="0027181A" w:rsidRDefault="004D7FD0" w:rsidP="004D7FD0">
      <w:pPr>
        <w:numPr>
          <w:ilvl w:val="0"/>
          <w:numId w:val="40"/>
        </w:numPr>
        <w:spacing w:before="0"/>
        <w:rPr>
          <w:bCs/>
        </w:rPr>
      </w:pPr>
      <w:r w:rsidRPr="0027181A">
        <w:rPr>
          <w:bCs/>
        </w:rPr>
        <w:t>$</w:t>
      </w:r>
      <w:r w:rsidR="002501A3">
        <w:rPr>
          <w:bCs/>
        </w:rPr>
        <w:t>5</w:t>
      </w:r>
      <w:r w:rsidRPr="0027181A">
        <w:rPr>
          <w:bCs/>
        </w:rPr>
        <w:t>,000</w:t>
      </w:r>
      <w:r w:rsidR="002501A3">
        <w:rPr>
          <w:bCs/>
        </w:rPr>
        <w:t>,000</w:t>
      </w:r>
    </w:p>
    <w:p w14:paraId="352030C1" w14:textId="77777777" w:rsidR="004D7FD0" w:rsidRPr="0027181A" w:rsidRDefault="004D7FD0" w:rsidP="004D7FD0">
      <w:pPr>
        <w:ind w:left="1080"/>
        <w:rPr>
          <w:bCs/>
        </w:rPr>
      </w:pPr>
      <w:r w:rsidRPr="0027181A">
        <w:rPr>
          <w:b/>
          <w:bCs/>
        </w:rPr>
        <w:t>Incorrect.</w:t>
      </w:r>
      <w:r w:rsidRPr="0027181A">
        <w:rPr>
          <w:bCs/>
        </w:rPr>
        <w:t xml:space="preserve"> Try again.</w:t>
      </w:r>
    </w:p>
    <w:p w14:paraId="2EFB3009" w14:textId="77777777" w:rsidR="004D7FD0" w:rsidRPr="0027181A" w:rsidRDefault="004D7FD0" w:rsidP="004D7FD0">
      <w:pPr>
        <w:numPr>
          <w:ilvl w:val="0"/>
          <w:numId w:val="40"/>
        </w:numPr>
        <w:spacing w:before="0"/>
        <w:rPr>
          <w:bCs/>
        </w:rPr>
      </w:pPr>
      <w:r w:rsidRPr="0027181A">
        <w:rPr>
          <w:bCs/>
        </w:rPr>
        <w:t>$</w:t>
      </w:r>
      <w:r w:rsidR="002501A3">
        <w:rPr>
          <w:bCs/>
        </w:rPr>
        <w:t>5,400,00</w:t>
      </w:r>
    </w:p>
    <w:p w14:paraId="756E8D87" w14:textId="77777777" w:rsidR="004D7FD0" w:rsidRPr="0027181A" w:rsidRDefault="004D7FD0" w:rsidP="004D7FD0">
      <w:pPr>
        <w:ind w:left="1080"/>
        <w:rPr>
          <w:bCs/>
        </w:rPr>
      </w:pPr>
      <w:r w:rsidRPr="0027181A">
        <w:rPr>
          <w:b/>
          <w:bCs/>
        </w:rPr>
        <w:t>Incorrect.</w:t>
      </w:r>
      <w:r w:rsidRPr="0027181A">
        <w:rPr>
          <w:bCs/>
        </w:rPr>
        <w:t xml:space="preserve"> Try again.</w:t>
      </w:r>
    </w:p>
    <w:p w14:paraId="2D386017" w14:textId="77777777" w:rsidR="004D7FD0" w:rsidRPr="0027181A" w:rsidRDefault="004D7FD0" w:rsidP="004D7FD0">
      <w:pPr>
        <w:numPr>
          <w:ilvl w:val="0"/>
          <w:numId w:val="40"/>
        </w:numPr>
        <w:spacing w:before="0"/>
        <w:rPr>
          <w:b/>
          <w:bCs/>
        </w:rPr>
      </w:pPr>
      <w:r w:rsidRPr="0027181A">
        <w:rPr>
          <w:b/>
          <w:bCs/>
        </w:rPr>
        <w:t>$</w:t>
      </w:r>
      <w:r w:rsidR="002501A3">
        <w:rPr>
          <w:b/>
          <w:bCs/>
        </w:rPr>
        <w:t>5</w:t>
      </w:r>
      <w:r w:rsidRPr="0027181A">
        <w:rPr>
          <w:b/>
          <w:bCs/>
        </w:rPr>
        <w:t>,</w:t>
      </w:r>
      <w:r w:rsidR="002501A3">
        <w:rPr>
          <w:b/>
          <w:bCs/>
        </w:rPr>
        <w:t>450,</w:t>
      </w:r>
      <w:r w:rsidRPr="0027181A">
        <w:rPr>
          <w:b/>
          <w:bCs/>
        </w:rPr>
        <w:t>000</w:t>
      </w:r>
    </w:p>
    <w:p w14:paraId="66CB297F" w14:textId="77777777" w:rsidR="004D7FD0" w:rsidRPr="0027181A" w:rsidRDefault="004D7FD0" w:rsidP="004D7FD0">
      <w:pPr>
        <w:ind w:left="1080"/>
        <w:rPr>
          <w:bCs/>
        </w:rPr>
      </w:pPr>
      <w:r w:rsidRPr="0027181A">
        <w:rPr>
          <w:b/>
          <w:bCs/>
        </w:rPr>
        <w:t>Correct.</w:t>
      </w:r>
    </w:p>
    <w:p w14:paraId="1B03D07F" w14:textId="77777777" w:rsidR="004D7FD0" w:rsidRPr="0027181A" w:rsidRDefault="004D7FD0" w:rsidP="004D7FD0">
      <w:pPr>
        <w:numPr>
          <w:ilvl w:val="0"/>
          <w:numId w:val="40"/>
        </w:numPr>
        <w:spacing w:before="0"/>
        <w:rPr>
          <w:bCs/>
        </w:rPr>
      </w:pPr>
      <w:r w:rsidRPr="0027181A">
        <w:rPr>
          <w:bCs/>
        </w:rPr>
        <w:lastRenderedPageBreak/>
        <w:t>$</w:t>
      </w:r>
      <w:r w:rsidR="002501A3">
        <w:rPr>
          <w:bCs/>
        </w:rPr>
        <w:t>5</w:t>
      </w:r>
      <w:r w:rsidRPr="0027181A">
        <w:rPr>
          <w:bCs/>
        </w:rPr>
        <w:t>,</w:t>
      </w:r>
      <w:r w:rsidR="002501A3">
        <w:rPr>
          <w:bCs/>
        </w:rPr>
        <w:t>500,</w:t>
      </w:r>
      <w:r w:rsidRPr="0027181A">
        <w:rPr>
          <w:bCs/>
        </w:rPr>
        <w:t>000</w:t>
      </w:r>
    </w:p>
    <w:p w14:paraId="7C624610" w14:textId="77777777" w:rsidR="004D7FD0" w:rsidRPr="0027181A" w:rsidRDefault="004D7FD0" w:rsidP="004D7FD0">
      <w:pPr>
        <w:ind w:left="1080"/>
        <w:rPr>
          <w:bCs/>
        </w:rPr>
      </w:pPr>
      <w:r w:rsidRPr="0027181A">
        <w:rPr>
          <w:b/>
          <w:bCs/>
        </w:rPr>
        <w:t>Incorrect.</w:t>
      </w:r>
      <w:r w:rsidRPr="0027181A">
        <w:rPr>
          <w:bCs/>
        </w:rPr>
        <w:t xml:space="preserve"> Try again.</w:t>
      </w:r>
    </w:p>
    <w:p w14:paraId="6126E147" w14:textId="77777777" w:rsidR="004D7FD0" w:rsidRPr="0027181A" w:rsidRDefault="004D7FD0" w:rsidP="004D7FD0">
      <w:pPr>
        <w:rPr>
          <w:bCs/>
        </w:rPr>
      </w:pPr>
    </w:p>
    <w:p w14:paraId="2B9D383C" w14:textId="77777777" w:rsidR="004D7FD0" w:rsidRPr="0027181A" w:rsidRDefault="004D7FD0" w:rsidP="004D7FD0">
      <w:pPr>
        <w:numPr>
          <w:ilvl w:val="0"/>
          <w:numId w:val="39"/>
        </w:numPr>
        <w:spacing w:before="0"/>
        <w:rPr>
          <w:b/>
          <w:bCs/>
        </w:rPr>
      </w:pPr>
      <w:r w:rsidRPr="0027181A">
        <w:rPr>
          <w:b/>
          <w:bCs/>
        </w:rPr>
        <w:t xml:space="preserve">The maximum marginal rate on the current Unified Gift and Estate Tax Rate Table is: </w:t>
      </w:r>
    </w:p>
    <w:p w14:paraId="49832EA9" w14:textId="77777777" w:rsidR="004D7FD0" w:rsidRPr="0027181A" w:rsidRDefault="004D7FD0" w:rsidP="004D7FD0">
      <w:pPr>
        <w:numPr>
          <w:ilvl w:val="0"/>
          <w:numId w:val="40"/>
        </w:numPr>
        <w:spacing w:before="0"/>
        <w:rPr>
          <w:bCs/>
        </w:rPr>
      </w:pPr>
      <w:r w:rsidRPr="0027181A">
        <w:rPr>
          <w:bCs/>
        </w:rPr>
        <w:t>18%</w:t>
      </w:r>
    </w:p>
    <w:p w14:paraId="48A1F391" w14:textId="77777777" w:rsidR="004D7FD0" w:rsidRPr="0027181A" w:rsidRDefault="004D7FD0" w:rsidP="004D7FD0">
      <w:pPr>
        <w:ind w:left="1080"/>
        <w:rPr>
          <w:bCs/>
        </w:rPr>
      </w:pPr>
      <w:r w:rsidRPr="0027181A">
        <w:rPr>
          <w:b/>
          <w:bCs/>
        </w:rPr>
        <w:t>Incorrect.</w:t>
      </w:r>
      <w:r w:rsidRPr="0027181A">
        <w:rPr>
          <w:bCs/>
        </w:rPr>
        <w:t xml:space="preserve"> This is the minimum rate on the schedule. Try again.</w:t>
      </w:r>
    </w:p>
    <w:p w14:paraId="0809EA48" w14:textId="77777777" w:rsidR="004D7FD0" w:rsidRPr="0027181A" w:rsidRDefault="004D7FD0" w:rsidP="004D7FD0">
      <w:pPr>
        <w:numPr>
          <w:ilvl w:val="0"/>
          <w:numId w:val="40"/>
        </w:numPr>
        <w:spacing w:before="0"/>
        <w:rPr>
          <w:b/>
          <w:bCs/>
        </w:rPr>
      </w:pPr>
      <w:r w:rsidRPr="0027181A">
        <w:rPr>
          <w:b/>
          <w:bCs/>
        </w:rPr>
        <w:t>40%</w:t>
      </w:r>
    </w:p>
    <w:p w14:paraId="7F6D6F25" w14:textId="77777777" w:rsidR="004D7FD0" w:rsidRPr="0027181A" w:rsidRDefault="004D7FD0" w:rsidP="004D7FD0">
      <w:pPr>
        <w:ind w:left="1080"/>
        <w:rPr>
          <w:bCs/>
        </w:rPr>
      </w:pPr>
      <w:r w:rsidRPr="0027181A">
        <w:rPr>
          <w:b/>
          <w:bCs/>
        </w:rPr>
        <w:t>Correct</w:t>
      </w:r>
      <w:r w:rsidRPr="0027181A">
        <w:rPr>
          <w:bCs/>
        </w:rPr>
        <w:t>.</w:t>
      </w:r>
    </w:p>
    <w:p w14:paraId="244DD7FA" w14:textId="77777777" w:rsidR="004D7FD0" w:rsidRPr="0027181A" w:rsidRDefault="004D7FD0" w:rsidP="004D7FD0">
      <w:pPr>
        <w:numPr>
          <w:ilvl w:val="0"/>
          <w:numId w:val="40"/>
        </w:numPr>
        <w:spacing w:before="0"/>
        <w:rPr>
          <w:bCs/>
        </w:rPr>
      </w:pPr>
      <w:r w:rsidRPr="0027181A">
        <w:rPr>
          <w:bCs/>
        </w:rPr>
        <w:t>50%</w:t>
      </w:r>
    </w:p>
    <w:p w14:paraId="59635D46" w14:textId="77777777" w:rsidR="004D7FD0" w:rsidRPr="0027181A" w:rsidRDefault="004D7FD0" w:rsidP="004D7FD0">
      <w:pPr>
        <w:ind w:left="1080"/>
        <w:rPr>
          <w:bCs/>
        </w:rPr>
      </w:pPr>
      <w:r w:rsidRPr="0027181A">
        <w:rPr>
          <w:b/>
          <w:bCs/>
        </w:rPr>
        <w:t>Incorrect.</w:t>
      </w:r>
      <w:r w:rsidRPr="0027181A">
        <w:rPr>
          <w:bCs/>
        </w:rPr>
        <w:t xml:space="preserve"> Try again.</w:t>
      </w:r>
    </w:p>
    <w:p w14:paraId="53FE1CE5" w14:textId="77777777" w:rsidR="004D7FD0" w:rsidRPr="0027181A" w:rsidRDefault="004D7FD0" w:rsidP="004D7FD0">
      <w:pPr>
        <w:numPr>
          <w:ilvl w:val="0"/>
          <w:numId w:val="40"/>
        </w:numPr>
        <w:spacing w:before="0"/>
        <w:rPr>
          <w:bCs/>
        </w:rPr>
      </w:pPr>
      <w:r w:rsidRPr="0027181A">
        <w:rPr>
          <w:bCs/>
        </w:rPr>
        <w:t>70%</w:t>
      </w:r>
    </w:p>
    <w:p w14:paraId="56A76E8F" w14:textId="77777777" w:rsidR="004D7FD0" w:rsidRPr="0027181A" w:rsidRDefault="004D7FD0" w:rsidP="004D7FD0">
      <w:pPr>
        <w:ind w:left="1080"/>
        <w:rPr>
          <w:bCs/>
        </w:rPr>
      </w:pPr>
      <w:r w:rsidRPr="0027181A">
        <w:rPr>
          <w:b/>
          <w:bCs/>
        </w:rPr>
        <w:t>Incorrect</w:t>
      </w:r>
      <w:r w:rsidRPr="0027181A">
        <w:rPr>
          <w:bCs/>
        </w:rPr>
        <w:t>. This was true in 1977, but not today. Try again.</w:t>
      </w:r>
    </w:p>
    <w:p w14:paraId="704936F8" w14:textId="77777777" w:rsidR="0067584A" w:rsidRDefault="0067584A" w:rsidP="0067584A">
      <w:pPr>
        <w:spacing w:before="0" w:after="0"/>
      </w:pPr>
    </w:p>
    <w:p w14:paraId="43CEABD3" w14:textId="77777777" w:rsidR="008207B0" w:rsidRPr="00D10FE1" w:rsidRDefault="007C3A77" w:rsidP="005F29D2">
      <w:pPr>
        <w:pStyle w:val="Heading2"/>
      </w:pPr>
      <w:r>
        <w:br w:type="page"/>
      </w:r>
      <w:r w:rsidR="008207B0" w:rsidRPr="00160EF1">
        <w:rPr>
          <w:highlight w:val="yellow"/>
        </w:rPr>
        <w:lastRenderedPageBreak/>
        <w:t>Summary</w:t>
      </w:r>
    </w:p>
    <w:p w14:paraId="6AA28E7F" w14:textId="77777777" w:rsidR="008207B0" w:rsidRDefault="002179E4" w:rsidP="0067584A">
      <w:r>
        <w:t>The following is a quick review of the key concepts contained in each section of the course: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3"/>
        <w:gridCol w:w="6203"/>
      </w:tblGrid>
      <w:tr w:rsidR="00D433AE" w:rsidRPr="00DC15BA" w14:paraId="2AC908CE" w14:textId="77777777" w:rsidTr="0004406E">
        <w:tc>
          <w:tcPr>
            <w:tcW w:w="3240" w:type="dxa"/>
            <w:tcBorders>
              <w:bottom w:val="single" w:sz="4" w:space="0" w:color="auto"/>
            </w:tcBorders>
            <w:shd w:val="clear" w:color="auto" w:fill="000080"/>
          </w:tcPr>
          <w:p w14:paraId="79419DF6" w14:textId="77777777" w:rsidR="00D433AE" w:rsidRPr="00DC15BA" w:rsidRDefault="00D433AE" w:rsidP="00DC15BA">
            <w:pPr>
              <w:pStyle w:val="NormalWeb"/>
              <w:jc w:val="center"/>
              <w:rPr>
                <w:rFonts w:ascii="Arial" w:hAnsi="Arial" w:cs="Arial"/>
                <w:b/>
                <w:color w:val="FFFFFF"/>
                <w:sz w:val="24"/>
                <w:szCs w:val="24"/>
              </w:rPr>
            </w:pPr>
            <w:r w:rsidRPr="00DC15BA">
              <w:rPr>
                <w:rFonts w:ascii="Arial" w:hAnsi="Arial" w:cs="Arial"/>
                <w:b/>
                <w:color w:val="FFFFFF"/>
                <w:sz w:val="24"/>
                <w:szCs w:val="24"/>
              </w:rPr>
              <w:t>Section:</w:t>
            </w:r>
          </w:p>
        </w:tc>
        <w:tc>
          <w:tcPr>
            <w:tcW w:w="5958" w:type="dxa"/>
            <w:tcBorders>
              <w:bottom w:val="single" w:sz="4" w:space="0" w:color="auto"/>
            </w:tcBorders>
            <w:shd w:val="clear" w:color="auto" w:fill="000080"/>
          </w:tcPr>
          <w:p w14:paraId="6555E1EC" w14:textId="77777777" w:rsidR="00D433AE" w:rsidRPr="00DC15BA" w:rsidRDefault="00D433AE" w:rsidP="00DC15BA">
            <w:pPr>
              <w:pStyle w:val="NormalWeb"/>
              <w:jc w:val="center"/>
              <w:rPr>
                <w:rFonts w:ascii="Arial" w:hAnsi="Arial" w:cs="Arial"/>
                <w:b/>
                <w:color w:val="FFFFFF"/>
                <w:sz w:val="24"/>
                <w:szCs w:val="24"/>
              </w:rPr>
            </w:pPr>
            <w:r w:rsidRPr="00DC15BA">
              <w:rPr>
                <w:rFonts w:ascii="Arial" w:hAnsi="Arial" w:cs="Arial"/>
                <w:b/>
                <w:color w:val="FFFFFF"/>
                <w:sz w:val="24"/>
                <w:szCs w:val="24"/>
              </w:rPr>
              <w:t>Key Points</w:t>
            </w:r>
          </w:p>
        </w:tc>
      </w:tr>
      <w:tr w:rsidR="00D433AE" w:rsidRPr="00DC15BA" w14:paraId="1ED2714C" w14:textId="77777777" w:rsidTr="0004406E">
        <w:tc>
          <w:tcPr>
            <w:tcW w:w="3240" w:type="dxa"/>
            <w:tcBorders>
              <w:bottom w:val="single" w:sz="4" w:space="0" w:color="auto"/>
            </w:tcBorders>
            <w:shd w:val="clear" w:color="auto" w:fill="FFFFCC"/>
          </w:tcPr>
          <w:p w14:paraId="7D639A27" w14:textId="77777777" w:rsidR="00D433AE" w:rsidRPr="00DC15BA" w:rsidRDefault="00D433AE" w:rsidP="00640AD0">
            <w:pPr>
              <w:rPr>
                <w:rFonts w:ascii="Arial" w:hAnsi="Arial"/>
                <w:sz w:val="24"/>
                <w:szCs w:val="24"/>
              </w:rPr>
            </w:pPr>
            <w:r w:rsidRPr="00DC15BA">
              <w:t>History of Transfer Taxes</w:t>
            </w:r>
          </w:p>
        </w:tc>
        <w:tc>
          <w:tcPr>
            <w:tcW w:w="5958" w:type="dxa"/>
            <w:tcBorders>
              <w:bottom w:val="single" w:sz="4" w:space="0" w:color="auto"/>
            </w:tcBorders>
            <w:shd w:val="clear" w:color="auto" w:fill="FFFFCC"/>
          </w:tcPr>
          <w:p w14:paraId="711DC9C5" w14:textId="77777777" w:rsidR="000E3D69" w:rsidRPr="00D433AE" w:rsidRDefault="00D433AE" w:rsidP="004547BF">
            <w:pPr>
              <w:numPr>
                <w:ilvl w:val="0"/>
                <w:numId w:val="19"/>
              </w:numPr>
            </w:pPr>
            <w:r w:rsidRPr="00D433AE">
              <w:t>Key events in the development of transfer taxes.</w:t>
            </w:r>
          </w:p>
        </w:tc>
      </w:tr>
      <w:tr w:rsidR="00D433AE" w:rsidRPr="00DC15BA" w14:paraId="68DB2346" w14:textId="77777777" w:rsidTr="0004406E">
        <w:tc>
          <w:tcPr>
            <w:tcW w:w="3240" w:type="dxa"/>
            <w:tcBorders>
              <w:bottom w:val="single" w:sz="4" w:space="0" w:color="auto"/>
            </w:tcBorders>
            <w:shd w:val="clear" w:color="auto" w:fill="FFFF66"/>
          </w:tcPr>
          <w:p w14:paraId="0A51254A" w14:textId="77777777" w:rsidR="00D433AE" w:rsidRPr="00DC15BA" w:rsidRDefault="00D433AE" w:rsidP="00640AD0">
            <w:pPr>
              <w:rPr>
                <w:rFonts w:ascii="Arial" w:hAnsi="Arial"/>
                <w:sz w:val="24"/>
                <w:szCs w:val="24"/>
              </w:rPr>
            </w:pPr>
            <w:r w:rsidRPr="00DC15BA">
              <w:t>Unified Transfer Tax Rates</w:t>
            </w:r>
          </w:p>
        </w:tc>
        <w:tc>
          <w:tcPr>
            <w:tcW w:w="5958" w:type="dxa"/>
            <w:tcBorders>
              <w:bottom w:val="single" w:sz="4" w:space="0" w:color="auto"/>
            </w:tcBorders>
            <w:shd w:val="clear" w:color="auto" w:fill="FFFF66"/>
          </w:tcPr>
          <w:p w14:paraId="66102F98" w14:textId="77777777" w:rsidR="00D433AE" w:rsidRPr="00D433AE" w:rsidRDefault="00D433AE" w:rsidP="006B5C7E">
            <w:pPr>
              <w:numPr>
                <w:ilvl w:val="0"/>
                <w:numId w:val="19"/>
              </w:numPr>
            </w:pPr>
            <w:r w:rsidRPr="00D433AE">
              <w:t xml:space="preserve">Maximum rate on the </w:t>
            </w:r>
            <w:r w:rsidR="00406540">
              <w:t>201</w:t>
            </w:r>
            <w:r w:rsidR="00774CC7">
              <w:t>6</w:t>
            </w:r>
            <w:r w:rsidR="00406540">
              <w:t xml:space="preserve"> </w:t>
            </w:r>
            <w:r w:rsidRPr="00D433AE">
              <w:t xml:space="preserve">schedule. </w:t>
            </w:r>
          </w:p>
          <w:p w14:paraId="15FEBE67" w14:textId="77777777" w:rsidR="00D433AE" w:rsidRPr="00E579EC" w:rsidRDefault="00D433AE" w:rsidP="006B5C7E">
            <w:pPr>
              <w:numPr>
                <w:ilvl w:val="0"/>
                <w:numId w:val="19"/>
              </w:numPr>
            </w:pPr>
            <w:r w:rsidRPr="00D433AE">
              <w:t>How to compute the tax and marginal rate.</w:t>
            </w:r>
          </w:p>
        </w:tc>
      </w:tr>
      <w:tr w:rsidR="00D433AE" w:rsidRPr="00DC15BA" w14:paraId="1CF96307" w14:textId="77777777" w:rsidTr="0004406E">
        <w:tc>
          <w:tcPr>
            <w:tcW w:w="3240" w:type="dxa"/>
            <w:tcBorders>
              <w:bottom w:val="single" w:sz="4" w:space="0" w:color="auto"/>
            </w:tcBorders>
            <w:shd w:val="clear" w:color="auto" w:fill="FFFFCC"/>
          </w:tcPr>
          <w:p w14:paraId="39E51490" w14:textId="77777777" w:rsidR="00D433AE" w:rsidRPr="00DC15BA" w:rsidRDefault="00D433AE" w:rsidP="00640AD0">
            <w:pPr>
              <w:rPr>
                <w:rFonts w:ascii="Arial" w:hAnsi="Arial"/>
                <w:sz w:val="24"/>
                <w:szCs w:val="24"/>
              </w:rPr>
            </w:pPr>
            <w:r w:rsidRPr="00DC15BA">
              <w:t>Applicable Credit/Exclusion Amount</w:t>
            </w:r>
          </w:p>
        </w:tc>
        <w:tc>
          <w:tcPr>
            <w:tcW w:w="5958" w:type="dxa"/>
            <w:tcBorders>
              <w:bottom w:val="single" w:sz="4" w:space="0" w:color="auto"/>
            </w:tcBorders>
            <w:shd w:val="clear" w:color="auto" w:fill="FFFFCC"/>
          </w:tcPr>
          <w:p w14:paraId="2452B3E0" w14:textId="77777777" w:rsidR="00D433AE" w:rsidRPr="00D433AE" w:rsidRDefault="00774CC7" w:rsidP="006B5C7E">
            <w:pPr>
              <w:numPr>
                <w:ilvl w:val="0"/>
                <w:numId w:val="19"/>
              </w:numPr>
            </w:pPr>
            <w:r>
              <w:t>2016</w:t>
            </w:r>
            <w:r w:rsidRPr="00D433AE">
              <w:t xml:space="preserve"> </w:t>
            </w:r>
            <w:r w:rsidR="00D433AE" w:rsidRPr="00D433AE">
              <w:t>Applicable Exclusion Amount.</w:t>
            </w:r>
          </w:p>
          <w:p w14:paraId="13CB70DE" w14:textId="77777777" w:rsidR="00D433AE" w:rsidRPr="00D433AE" w:rsidRDefault="00D433AE" w:rsidP="006B5C7E">
            <w:pPr>
              <w:numPr>
                <w:ilvl w:val="0"/>
                <w:numId w:val="19"/>
              </w:numPr>
            </w:pPr>
            <w:r w:rsidRPr="00D433AE">
              <w:t xml:space="preserve">Difference between the Credit and </w:t>
            </w:r>
            <w:r w:rsidR="00A91FCA">
              <w:t>Exclusion Amount</w:t>
            </w:r>
            <w:r w:rsidRPr="00D433AE">
              <w:t>s.</w:t>
            </w:r>
          </w:p>
          <w:p w14:paraId="7EB5BBFA" w14:textId="77777777" w:rsidR="00D433AE" w:rsidRPr="00DC15BA" w:rsidRDefault="00D433AE" w:rsidP="006B5C7E">
            <w:pPr>
              <w:numPr>
                <w:ilvl w:val="0"/>
                <w:numId w:val="19"/>
              </w:numPr>
            </w:pPr>
            <w:r w:rsidRPr="00D433AE">
              <w:t>Marginal rate applied to the first dollar of the estate on which a tax is actually paid</w:t>
            </w:r>
            <w:r w:rsidR="004547BF">
              <w:t xml:space="preserve"> to the IRS</w:t>
            </w:r>
            <w:r w:rsidRPr="00D433AE">
              <w:t>.</w:t>
            </w:r>
          </w:p>
        </w:tc>
      </w:tr>
      <w:tr w:rsidR="00D433AE" w:rsidRPr="00DC15BA" w14:paraId="6DE7AD09" w14:textId="77777777" w:rsidTr="0004406E">
        <w:tc>
          <w:tcPr>
            <w:tcW w:w="3240" w:type="dxa"/>
            <w:shd w:val="clear" w:color="auto" w:fill="FFFF66"/>
          </w:tcPr>
          <w:p w14:paraId="2658CB1A" w14:textId="77777777" w:rsidR="00D433AE" w:rsidRPr="00DC15BA" w:rsidRDefault="00D433AE" w:rsidP="00640AD0">
            <w:pPr>
              <w:rPr>
                <w:rFonts w:ascii="Arial" w:hAnsi="Arial"/>
                <w:sz w:val="24"/>
                <w:szCs w:val="24"/>
              </w:rPr>
            </w:pPr>
            <w:r w:rsidRPr="00DC15BA">
              <w:t>Deductions</w:t>
            </w:r>
          </w:p>
        </w:tc>
        <w:tc>
          <w:tcPr>
            <w:tcW w:w="5958" w:type="dxa"/>
            <w:shd w:val="clear" w:color="auto" w:fill="FFFF66"/>
          </w:tcPr>
          <w:p w14:paraId="377469D4" w14:textId="77777777" w:rsidR="00D433AE" w:rsidRPr="00D433AE" w:rsidRDefault="00D433AE" w:rsidP="004547BF">
            <w:pPr>
              <w:numPr>
                <w:ilvl w:val="0"/>
                <w:numId w:val="19"/>
              </w:numPr>
            </w:pPr>
            <w:r w:rsidRPr="00D433AE">
              <w:t>Unlimited Marital Deduction</w:t>
            </w:r>
          </w:p>
          <w:p w14:paraId="080CCB80" w14:textId="77777777" w:rsidR="00D433AE" w:rsidRPr="00DC15BA" w:rsidRDefault="00D433AE" w:rsidP="006B5C7E">
            <w:pPr>
              <w:numPr>
                <w:ilvl w:val="0"/>
                <w:numId w:val="19"/>
              </w:numPr>
            </w:pPr>
            <w:r w:rsidRPr="00D433AE">
              <w:t>Charitable deductions.</w:t>
            </w:r>
          </w:p>
        </w:tc>
      </w:tr>
    </w:tbl>
    <w:p w14:paraId="6BE633AB" w14:textId="77777777" w:rsidR="002179E4" w:rsidRDefault="002179E4" w:rsidP="005F29D2">
      <w:pPr>
        <w:pStyle w:val="Heading2"/>
      </w:pPr>
      <w:r>
        <w:br w:type="page"/>
      </w:r>
      <w:r>
        <w:lastRenderedPageBreak/>
        <w:t>Conclusion</w:t>
      </w:r>
    </w:p>
    <w:p w14:paraId="79591BA2" w14:textId="77777777" w:rsidR="002179E4" w:rsidRPr="00A85081" w:rsidRDefault="002179E4" w:rsidP="001027AA">
      <w:r w:rsidRPr="00A85081">
        <w:t>This concludes the material for this subject.  At this time you may return to any sections in which you feel the need for further study</w:t>
      </w:r>
    </w:p>
    <w:sectPr w:rsidR="002179E4" w:rsidRPr="00A85081" w:rsidSect="005E79AB">
      <w:headerReference w:type="default" r:id="rId14"/>
      <w:footerReference w:type="default" r:id="rId15"/>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674673" w15:done="0"/>
  <w15:commentEx w15:paraId="6C068AF5" w15:done="0"/>
  <w15:commentEx w15:paraId="520DC965" w15:done="0"/>
  <w15:commentEx w15:paraId="75F41336" w15:done="0"/>
  <w15:commentEx w15:paraId="2F91F18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DA392" w14:textId="77777777" w:rsidR="005C3A9D" w:rsidRDefault="005C3A9D">
      <w:r>
        <w:separator/>
      </w:r>
    </w:p>
  </w:endnote>
  <w:endnote w:type="continuationSeparator" w:id="0">
    <w:p w14:paraId="35B46121" w14:textId="77777777" w:rsidR="005C3A9D" w:rsidRDefault="005C3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ource Sans Pro">
    <w:altName w:val="Luminari"/>
    <w:charset w:val="00"/>
    <w:family w:val="auto"/>
    <w:pitch w:val="variable"/>
    <w:sig w:usb0="600002F7" w:usb1="02000001"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6CBC2" w14:textId="77777777" w:rsidR="00D914D1" w:rsidRDefault="00D914D1" w:rsidP="001863B0">
    <w:pPr>
      <w:pStyle w:val="Footer"/>
      <w:tabs>
        <w:tab w:val="clear" w:pos="8640"/>
        <w:tab w:val="right" w:pos="7920"/>
      </w:tabs>
    </w:pPr>
    <w:r>
      <w:t xml:space="preserve">© 2016 </w:t>
    </w:r>
    <w:proofErr w:type="spellStart"/>
    <w:r>
      <w:t>SkillMark</w:t>
    </w:r>
    <w:proofErr w:type="spellEnd"/>
    <w:r>
      <w:t>® is a Product of Greene Consulting Associates, LLC. All Rights Reserved.</w:t>
    </w:r>
    <w:r>
      <w:tab/>
    </w:r>
    <w:r w:rsidRPr="000E5707">
      <w:rPr>
        <w:rStyle w:val="PageNumber"/>
        <w:szCs w:val="16"/>
      </w:rPr>
      <w:fldChar w:fldCharType="begin"/>
    </w:r>
    <w:r w:rsidRPr="000E5707">
      <w:rPr>
        <w:rStyle w:val="PageNumber"/>
        <w:szCs w:val="16"/>
      </w:rPr>
      <w:instrText xml:space="preserve"> PAGE </w:instrText>
    </w:r>
    <w:r w:rsidRPr="000E5707">
      <w:rPr>
        <w:rStyle w:val="PageNumber"/>
        <w:szCs w:val="16"/>
      </w:rPr>
      <w:fldChar w:fldCharType="separate"/>
    </w:r>
    <w:r w:rsidR="00160EF1">
      <w:rPr>
        <w:rStyle w:val="PageNumber"/>
        <w:noProof/>
        <w:szCs w:val="16"/>
      </w:rPr>
      <w:t>1</w:t>
    </w:r>
    <w:r w:rsidRPr="000E5707">
      <w:rPr>
        <w:rStyle w:val="PageNumber"/>
        <w:szCs w:val="16"/>
      </w:rPr>
      <w:fldChar w:fldCharType="end"/>
    </w:r>
  </w:p>
  <w:p w14:paraId="31E3B701" w14:textId="77777777" w:rsidR="00D914D1" w:rsidRDefault="00D914D1" w:rsidP="001863B0">
    <w:pPr>
      <w:pStyle w:val="Footer"/>
      <w:tabs>
        <w:tab w:val="clear" w:pos="8640"/>
        <w:tab w:val="right" w:pos="7920"/>
      </w:tabs>
    </w:pPr>
    <w:r>
      <w:rPr>
        <w:noProof/>
      </w:rPr>
      <w:drawing>
        <wp:anchor distT="0" distB="0" distL="114300" distR="114300" simplePos="0" relativeHeight="251658240" behindDoc="1" locked="0" layoutInCell="1" allowOverlap="1" wp14:anchorId="5C60EE28" wp14:editId="0D9D5A36">
          <wp:simplePos x="0" y="0"/>
          <wp:positionH relativeFrom="column">
            <wp:posOffset>5486400</wp:posOffset>
          </wp:positionH>
          <wp:positionV relativeFrom="paragraph">
            <wp:posOffset>109855</wp:posOffset>
          </wp:positionV>
          <wp:extent cx="933450" cy="485775"/>
          <wp:effectExtent l="0" t="0" r="6350" b="0"/>
          <wp:wrapTight wrapText="bothSides">
            <wp:wrapPolygon edited="0">
              <wp:start x="0" y="0"/>
              <wp:lineTo x="0" y="20329"/>
              <wp:lineTo x="21159" y="20329"/>
              <wp:lineTo x="21159" y="0"/>
              <wp:lineTo x="0" y="0"/>
            </wp:wrapPolygon>
          </wp:wrapTight>
          <wp:docPr id="10" name="Picture 10"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Intended solely for use by licensed users. </w:t>
    </w:r>
  </w:p>
  <w:p w14:paraId="07F08000" w14:textId="77777777" w:rsidR="00D914D1" w:rsidRPr="001863B0" w:rsidRDefault="00D914D1" w:rsidP="001863B0">
    <w:pPr>
      <w:pStyle w:val="Footer"/>
      <w:tabs>
        <w:tab w:val="clear" w:pos="8640"/>
        <w:tab w:val="right" w:pos="7920"/>
      </w:tabs>
    </w:pPr>
    <w:r>
      <w:t>Not to be reproduced or circulated without prior approval.</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BEAA32" w14:textId="77777777" w:rsidR="005C3A9D" w:rsidRDefault="005C3A9D">
      <w:r>
        <w:separator/>
      </w:r>
    </w:p>
  </w:footnote>
  <w:footnote w:type="continuationSeparator" w:id="0">
    <w:p w14:paraId="75B6958B" w14:textId="77777777" w:rsidR="005C3A9D" w:rsidRDefault="005C3A9D">
      <w:r>
        <w:continuationSeparator/>
      </w:r>
    </w:p>
  </w:footnote>
  <w:footnote w:id="1">
    <w:p w14:paraId="689A8FBF" w14:textId="77777777" w:rsidR="00D914D1" w:rsidRPr="00160EF1" w:rsidRDefault="00D914D1" w:rsidP="00D957AE">
      <w:pPr>
        <w:pStyle w:val="FootnoteText"/>
        <w:rPr>
          <w:i/>
          <w:sz w:val="16"/>
          <w:szCs w:val="16"/>
        </w:rPr>
      </w:pPr>
      <w:r w:rsidRPr="00160EF1">
        <w:rPr>
          <w:rStyle w:val="FootnoteReference"/>
          <w:i/>
          <w:sz w:val="16"/>
          <w:szCs w:val="16"/>
        </w:rPr>
        <w:footnoteRef/>
      </w:r>
      <w:r w:rsidRPr="00160EF1">
        <w:rPr>
          <w:i/>
          <w:sz w:val="16"/>
          <w:szCs w:val="16"/>
        </w:rPr>
        <w:t xml:space="preserve"> Please note that the determination of resident and nonresident status is different from the determination made for Federal Income Tax purposes.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5D089" w14:textId="77777777" w:rsidR="00D914D1" w:rsidRPr="00EC48CF" w:rsidRDefault="00D914D1" w:rsidP="00D914D1">
    <w:pPr>
      <w:pStyle w:val="Header"/>
      <w:spacing w:before="0" w:after="0"/>
      <w:ind w:right="-274"/>
      <w:jc w:val="right"/>
      <w:rPr>
        <w:b/>
        <w:bCs/>
      </w:rPr>
    </w:pPr>
    <w:r>
      <w:rPr>
        <w:b/>
        <w:noProof/>
      </w:rPr>
      <mc:AlternateContent>
        <mc:Choice Requires="wps">
          <w:drawing>
            <wp:anchor distT="0" distB="0" distL="114300" distR="114300" simplePos="0" relativeHeight="251657216" behindDoc="0" locked="0" layoutInCell="1" allowOverlap="1" wp14:anchorId="2D105098" wp14:editId="65F0A7C4">
              <wp:simplePos x="0" y="0"/>
              <wp:positionH relativeFrom="column">
                <wp:posOffset>-34925</wp:posOffset>
              </wp:positionH>
              <wp:positionV relativeFrom="paragraph">
                <wp:posOffset>228600</wp:posOffset>
              </wp:positionV>
              <wp:extent cx="6181725" cy="100330"/>
              <wp:effectExtent l="0" t="0" r="0" b="127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11" o:spid="_x0000_s1026" style="position:absolute;margin-left:-2.7pt;margin-top:18pt;width:486.75pt;height:7.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" fillcolor="black" stroked="f">
              <v:fill color2="#339" rotate="t" angle="-90" focus="100%" type="gradient"/>
            </v:rect>
          </w:pict>
        </mc:Fallback>
      </mc:AlternateContent>
    </w:r>
    <w:r>
      <w:rPr>
        <w:b/>
        <w:noProof/>
      </w:rPr>
      <w:t>Transfer Taxation Part 1: Common Elements of Estate and Gift Taxes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2pt;height:12.2pt" o:bullet="t">
        <v:imagedata r:id="rId1" o:title=""/>
      </v:shape>
    </w:pict>
  </w:numPicBullet>
  <w:abstractNum w:abstractNumId="0">
    <w:nsid w:val="FFFFFF1D"/>
    <w:multiLevelType w:val="multilevel"/>
    <w:tmpl w:val="2A4878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CBA2F56"/>
    <w:lvl w:ilvl="0">
      <w:start w:val="1"/>
      <w:numFmt w:val="decimal"/>
      <w:lvlText w:val="%1."/>
      <w:lvlJc w:val="left"/>
      <w:pPr>
        <w:tabs>
          <w:tab w:val="num" w:pos="1800"/>
        </w:tabs>
        <w:ind w:left="1800" w:hanging="360"/>
      </w:pPr>
    </w:lvl>
  </w:abstractNum>
  <w:abstractNum w:abstractNumId="2">
    <w:nsid w:val="FFFFFF7D"/>
    <w:multiLevelType w:val="singleLevel"/>
    <w:tmpl w:val="5EA09E5E"/>
    <w:lvl w:ilvl="0">
      <w:start w:val="1"/>
      <w:numFmt w:val="decimal"/>
      <w:lvlText w:val="%1."/>
      <w:lvlJc w:val="left"/>
      <w:pPr>
        <w:tabs>
          <w:tab w:val="num" w:pos="1440"/>
        </w:tabs>
        <w:ind w:left="1440" w:hanging="360"/>
      </w:pPr>
    </w:lvl>
  </w:abstractNum>
  <w:abstractNum w:abstractNumId="3">
    <w:nsid w:val="FFFFFF7E"/>
    <w:multiLevelType w:val="singleLevel"/>
    <w:tmpl w:val="29A036C4"/>
    <w:lvl w:ilvl="0">
      <w:start w:val="1"/>
      <w:numFmt w:val="decimal"/>
      <w:lvlText w:val="%1."/>
      <w:lvlJc w:val="left"/>
      <w:pPr>
        <w:tabs>
          <w:tab w:val="num" w:pos="1080"/>
        </w:tabs>
        <w:ind w:left="1080" w:hanging="360"/>
      </w:pPr>
    </w:lvl>
  </w:abstractNum>
  <w:abstractNum w:abstractNumId="4">
    <w:nsid w:val="FFFFFF7F"/>
    <w:multiLevelType w:val="singleLevel"/>
    <w:tmpl w:val="5128D5FE"/>
    <w:lvl w:ilvl="0">
      <w:start w:val="1"/>
      <w:numFmt w:val="decimal"/>
      <w:lvlText w:val="%1."/>
      <w:lvlJc w:val="left"/>
      <w:pPr>
        <w:tabs>
          <w:tab w:val="num" w:pos="720"/>
        </w:tabs>
        <w:ind w:left="720" w:hanging="360"/>
      </w:pPr>
    </w:lvl>
  </w:abstractNum>
  <w:abstractNum w:abstractNumId="5">
    <w:nsid w:val="FFFFFF80"/>
    <w:multiLevelType w:val="singleLevel"/>
    <w:tmpl w:val="4162D0A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0920D0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E8A6A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2FA020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07003CE"/>
    <w:lvl w:ilvl="0">
      <w:start w:val="1"/>
      <w:numFmt w:val="decimal"/>
      <w:lvlText w:val="%1."/>
      <w:lvlJc w:val="left"/>
      <w:pPr>
        <w:tabs>
          <w:tab w:val="num" w:pos="360"/>
        </w:tabs>
        <w:ind w:left="360" w:hanging="360"/>
      </w:pPr>
    </w:lvl>
  </w:abstractNum>
  <w:abstractNum w:abstractNumId="10">
    <w:nsid w:val="FFFFFF89"/>
    <w:multiLevelType w:val="singleLevel"/>
    <w:tmpl w:val="31A85538"/>
    <w:lvl w:ilvl="0">
      <w:start w:val="1"/>
      <w:numFmt w:val="bullet"/>
      <w:lvlText w:val=""/>
      <w:lvlJc w:val="left"/>
      <w:pPr>
        <w:tabs>
          <w:tab w:val="num" w:pos="360"/>
        </w:tabs>
        <w:ind w:left="360" w:hanging="360"/>
      </w:pPr>
      <w:rPr>
        <w:rFonts w:ascii="Symbol" w:hAnsi="Symbol" w:hint="default"/>
      </w:rPr>
    </w:lvl>
  </w:abstractNum>
  <w:abstractNum w:abstractNumId="11">
    <w:nsid w:val="0491597A"/>
    <w:multiLevelType w:val="hybridMultilevel"/>
    <w:tmpl w:val="AA841E08"/>
    <w:lvl w:ilvl="0" w:tplc="E3C833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7976B71"/>
    <w:multiLevelType w:val="hybridMultilevel"/>
    <w:tmpl w:val="490486B8"/>
    <w:lvl w:ilvl="0" w:tplc="965813F8">
      <w:start w:val="5"/>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nsid w:val="07CB2A7B"/>
    <w:multiLevelType w:val="hybridMultilevel"/>
    <w:tmpl w:val="C626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DB54E0"/>
    <w:multiLevelType w:val="hybridMultilevel"/>
    <w:tmpl w:val="AEF6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646B3F"/>
    <w:multiLevelType w:val="hybridMultilevel"/>
    <w:tmpl w:val="21B2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81140C"/>
    <w:multiLevelType w:val="hybridMultilevel"/>
    <w:tmpl w:val="2F82F07C"/>
    <w:lvl w:ilvl="0" w:tplc="5060FE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7B4C71"/>
    <w:multiLevelType w:val="hybridMultilevel"/>
    <w:tmpl w:val="BE22C5E2"/>
    <w:lvl w:ilvl="0" w:tplc="E3C833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D545EA"/>
    <w:multiLevelType w:val="hybridMultilevel"/>
    <w:tmpl w:val="DB52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987C99"/>
    <w:multiLevelType w:val="hybridMultilevel"/>
    <w:tmpl w:val="7E5AA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795FF6"/>
    <w:multiLevelType w:val="hybridMultilevel"/>
    <w:tmpl w:val="52AC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A373D9"/>
    <w:multiLevelType w:val="hybridMultilevel"/>
    <w:tmpl w:val="187215F8"/>
    <w:lvl w:ilvl="0" w:tplc="8F588DE8">
      <w:start w:val="1"/>
      <w:numFmt w:val="bullet"/>
      <w:pStyle w:val="4th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41831EE"/>
    <w:multiLevelType w:val="hybridMultilevel"/>
    <w:tmpl w:val="C0A61D32"/>
    <w:lvl w:ilvl="0" w:tplc="E3C833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8C230F"/>
    <w:multiLevelType w:val="hybridMultilevel"/>
    <w:tmpl w:val="91B4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1617F7"/>
    <w:multiLevelType w:val="hybridMultilevel"/>
    <w:tmpl w:val="3BB86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C425AF"/>
    <w:multiLevelType w:val="hybridMultilevel"/>
    <w:tmpl w:val="EAF0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A63933"/>
    <w:multiLevelType w:val="hybridMultilevel"/>
    <w:tmpl w:val="2F82F07C"/>
    <w:lvl w:ilvl="0" w:tplc="5060FE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4B8609BE"/>
    <w:multiLevelType w:val="hybridMultilevel"/>
    <w:tmpl w:val="C51E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6C5E47"/>
    <w:multiLevelType w:val="hybridMultilevel"/>
    <w:tmpl w:val="47AE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B7018F"/>
    <w:multiLevelType w:val="hybridMultilevel"/>
    <w:tmpl w:val="E302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BA0CA2"/>
    <w:multiLevelType w:val="hybridMultilevel"/>
    <w:tmpl w:val="CDEA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B20388"/>
    <w:multiLevelType w:val="hybridMultilevel"/>
    <w:tmpl w:val="D054BF8E"/>
    <w:lvl w:ilvl="0" w:tplc="C4663A3E">
      <w:start w:val="2013"/>
      <w:numFmt w:val="bullet"/>
      <w:lvlText w:val="-"/>
      <w:lvlJc w:val="left"/>
      <w:pPr>
        <w:ind w:left="1740" w:hanging="880"/>
      </w:pPr>
      <w:rPr>
        <w:rFonts w:ascii="Verdana" w:eastAsia="Times New Roman" w:hAnsi="Verdana" w:cs="Aria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35">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2662923"/>
    <w:multiLevelType w:val="hybridMultilevel"/>
    <w:tmpl w:val="A84A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38">
    <w:nsid w:val="6BDA57BF"/>
    <w:multiLevelType w:val="hybridMultilevel"/>
    <w:tmpl w:val="25E0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0771C3"/>
    <w:multiLevelType w:val="hybridMultilevel"/>
    <w:tmpl w:val="1CA2DDCA"/>
    <w:lvl w:ilvl="0" w:tplc="04090001">
      <w:start w:val="1"/>
      <w:numFmt w:val="bullet"/>
      <w:lvlText w:val=""/>
      <w:lvlJc w:val="left"/>
      <w:pPr>
        <w:ind w:left="720" w:hanging="360"/>
      </w:pPr>
      <w:rPr>
        <w:rFonts w:ascii="Symbol" w:hAnsi="Symbol" w:hint="default"/>
      </w:rPr>
    </w:lvl>
    <w:lvl w:ilvl="1" w:tplc="07D2481A">
      <w:numFmt w:val="bullet"/>
      <w:lvlText w:val="•"/>
      <w:lvlJc w:val="left"/>
      <w:pPr>
        <w:ind w:left="1800" w:hanging="720"/>
      </w:pPr>
      <w:rPr>
        <w:rFonts w:ascii="Verdana" w:eastAsia="Times New Roman" w:hAnsi="Verdana"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312CA1"/>
    <w:multiLevelType w:val="hybridMultilevel"/>
    <w:tmpl w:val="B8843F16"/>
    <w:lvl w:ilvl="0" w:tplc="E3C833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2"/>
  </w:num>
  <w:num w:numId="3">
    <w:abstractNumId w:val="37"/>
  </w:num>
  <w:num w:numId="4">
    <w:abstractNumId w:val="19"/>
  </w:num>
  <w:num w:numId="5">
    <w:abstractNumId w:val="30"/>
  </w:num>
  <w:num w:numId="6">
    <w:abstractNumId w:val="28"/>
  </w:num>
  <w:num w:numId="7">
    <w:abstractNumId w:val="14"/>
  </w:num>
  <w:num w:numId="8">
    <w:abstractNumId w:val="29"/>
  </w:num>
  <w:num w:numId="9">
    <w:abstractNumId w:val="17"/>
  </w:num>
  <w:num w:numId="10">
    <w:abstractNumId w:val="11"/>
  </w:num>
  <w:num w:numId="11">
    <w:abstractNumId w:val="38"/>
  </w:num>
  <w:num w:numId="12">
    <w:abstractNumId w:val="40"/>
  </w:num>
  <w:num w:numId="13">
    <w:abstractNumId w:val="31"/>
  </w:num>
  <w:num w:numId="14">
    <w:abstractNumId w:val="15"/>
  </w:num>
  <w:num w:numId="15">
    <w:abstractNumId w:val="23"/>
  </w:num>
  <w:num w:numId="16">
    <w:abstractNumId w:val="16"/>
  </w:num>
  <w:num w:numId="17">
    <w:abstractNumId w:val="33"/>
  </w:num>
  <w:num w:numId="18">
    <w:abstractNumId w:val="27"/>
  </w:num>
  <w:num w:numId="19">
    <w:abstractNumId w:val="24"/>
  </w:num>
  <w:num w:numId="20">
    <w:abstractNumId w:val="0"/>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20"/>
  </w:num>
  <w:num w:numId="32">
    <w:abstractNumId w:val="36"/>
  </w:num>
  <w:num w:numId="33">
    <w:abstractNumId w:val="34"/>
  </w:num>
  <w:num w:numId="34">
    <w:abstractNumId w:val="21"/>
  </w:num>
  <w:num w:numId="35">
    <w:abstractNumId w:val="26"/>
  </w:num>
  <w:num w:numId="36">
    <w:abstractNumId w:val="18"/>
  </w:num>
  <w:num w:numId="37">
    <w:abstractNumId w:val="32"/>
  </w:num>
  <w:num w:numId="38">
    <w:abstractNumId w:val="13"/>
  </w:num>
  <w:num w:numId="39">
    <w:abstractNumId w:val="12"/>
  </w:num>
  <w:num w:numId="40">
    <w:abstractNumId w:val="39"/>
  </w:num>
  <w:num w:numId="41">
    <w:abstractNumId w:val="25"/>
  </w:num>
  <w:numIdMacAtCleanup w:val="1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Tyler">
    <w15:presenceInfo w15:providerId="None" w15:userId="Rick Tyler"/>
  </w15:person>
  <w15:person w15:author="Patti Lee">
    <w15:presenceInfo w15:providerId="Windows Live" w15:userId="9a97c4e2e282e1fb"/>
  </w15:person>
  <w15:person w15:author="Patti Lee [2]">
    <w15:presenceInfo w15:providerId="None" w15:userId="Patti 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448"/>
    <w:rsid w:val="0000639B"/>
    <w:rsid w:val="00012800"/>
    <w:rsid w:val="000228E4"/>
    <w:rsid w:val="00025872"/>
    <w:rsid w:val="00026F00"/>
    <w:rsid w:val="000273CD"/>
    <w:rsid w:val="00033093"/>
    <w:rsid w:val="00036426"/>
    <w:rsid w:val="000404B6"/>
    <w:rsid w:val="00040D14"/>
    <w:rsid w:val="0004406E"/>
    <w:rsid w:val="00052245"/>
    <w:rsid w:val="00053FF3"/>
    <w:rsid w:val="00062A9E"/>
    <w:rsid w:val="0006311B"/>
    <w:rsid w:val="00064667"/>
    <w:rsid w:val="00067839"/>
    <w:rsid w:val="0007240D"/>
    <w:rsid w:val="000729C4"/>
    <w:rsid w:val="00073243"/>
    <w:rsid w:val="0008467B"/>
    <w:rsid w:val="00085331"/>
    <w:rsid w:val="00086F76"/>
    <w:rsid w:val="00093446"/>
    <w:rsid w:val="0009471D"/>
    <w:rsid w:val="00094F6D"/>
    <w:rsid w:val="00096A02"/>
    <w:rsid w:val="000A0D4B"/>
    <w:rsid w:val="000A16BD"/>
    <w:rsid w:val="000A2B7C"/>
    <w:rsid w:val="000A406E"/>
    <w:rsid w:val="000B74B6"/>
    <w:rsid w:val="000C0445"/>
    <w:rsid w:val="000C0834"/>
    <w:rsid w:val="000C39D6"/>
    <w:rsid w:val="000C3F3F"/>
    <w:rsid w:val="000C6CB2"/>
    <w:rsid w:val="000D3EEF"/>
    <w:rsid w:val="000D5E5B"/>
    <w:rsid w:val="000E03E8"/>
    <w:rsid w:val="000E3D69"/>
    <w:rsid w:val="000E5707"/>
    <w:rsid w:val="000F2278"/>
    <w:rsid w:val="000F6657"/>
    <w:rsid w:val="001027AA"/>
    <w:rsid w:val="001046E1"/>
    <w:rsid w:val="001121D2"/>
    <w:rsid w:val="00120E4F"/>
    <w:rsid w:val="00121CC9"/>
    <w:rsid w:val="00131D68"/>
    <w:rsid w:val="00136ED5"/>
    <w:rsid w:val="001405B6"/>
    <w:rsid w:val="0014607E"/>
    <w:rsid w:val="001570B1"/>
    <w:rsid w:val="00160EF1"/>
    <w:rsid w:val="00162B6D"/>
    <w:rsid w:val="00163293"/>
    <w:rsid w:val="00163C70"/>
    <w:rsid w:val="001665A2"/>
    <w:rsid w:val="00166731"/>
    <w:rsid w:val="0017057B"/>
    <w:rsid w:val="00170F7F"/>
    <w:rsid w:val="001737D6"/>
    <w:rsid w:val="001863B0"/>
    <w:rsid w:val="001B0BBA"/>
    <w:rsid w:val="001B1595"/>
    <w:rsid w:val="001B322B"/>
    <w:rsid w:val="001C25E5"/>
    <w:rsid w:val="001C409C"/>
    <w:rsid w:val="001C5F9A"/>
    <w:rsid w:val="001D629B"/>
    <w:rsid w:val="001D7669"/>
    <w:rsid w:val="001E2F41"/>
    <w:rsid w:val="001F0E83"/>
    <w:rsid w:val="001F7CB0"/>
    <w:rsid w:val="00205D54"/>
    <w:rsid w:val="0020686E"/>
    <w:rsid w:val="00216BEA"/>
    <w:rsid w:val="002179E4"/>
    <w:rsid w:val="00223DB6"/>
    <w:rsid w:val="002377B3"/>
    <w:rsid w:val="00247BA7"/>
    <w:rsid w:val="002501A3"/>
    <w:rsid w:val="00251D2A"/>
    <w:rsid w:val="00267707"/>
    <w:rsid w:val="00270CB8"/>
    <w:rsid w:val="00273807"/>
    <w:rsid w:val="002807D9"/>
    <w:rsid w:val="00291771"/>
    <w:rsid w:val="0029398F"/>
    <w:rsid w:val="00296999"/>
    <w:rsid w:val="002A1A57"/>
    <w:rsid w:val="002A2067"/>
    <w:rsid w:val="002A5366"/>
    <w:rsid w:val="002A7990"/>
    <w:rsid w:val="002B0C63"/>
    <w:rsid w:val="002B3F19"/>
    <w:rsid w:val="002C42CE"/>
    <w:rsid w:val="002C4A1C"/>
    <w:rsid w:val="002C5392"/>
    <w:rsid w:val="002C770D"/>
    <w:rsid w:val="002D52FF"/>
    <w:rsid w:val="002D5601"/>
    <w:rsid w:val="002E0912"/>
    <w:rsid w:val="002E3518"/>
    <w:rsid w:val="002E46B0"/>
    <w:rsid w:val="002E642C"/>
    <w:rsid w:val="002F737D"/>
    <w:rsid w:val="00300BFE"/>
    <w:rsid w:val="00303C08"/>
    <w:rsid w:val="00305A8F"/>
    <w:rsid w:val="00310B4F"/>
    <w:rsid w:val="003112C3"/>
    <w:rsid w:val="00312166"/>
    <w:rsid w:val="00314780"/>
    <w:rsid w:val="00314DAA"/>
    <w:rsid w:val="003152F9"/>
    <w:rsid w:val="00315685"/>
    <w:rsid w:val="00317E6C"/>
    <w:rsid w:val="00317F4C"/>
    <w:rsid w:val="0032024D"/>
    <w:rsid w:val="003249EB"/>
    <w:rsid w:val="00327CE1"/>
    <w:rsid w:val="00332D66"/>
    <w:rsid w:val="003338C2"/>
    <w:rsid w:val="00336284"/>
    <w:rsid w:val="003363BB"/>
    <w:rsid w:val="003404E0"/>
    <w:rsid w:val="00342507"/>
    <w:rsid w:val="00342B61"/>
    <w:rsid w:val="003456DF"/>
    <w:rsid w:val="00345818"/>
    <w:rsid w:val="0035097A"/>
    <w:rsid w:val="00351DC5"/>
    <w:rsid w:val="00355918"/>
    <w:rsid w:val="00365C38"/>
    <w:rsid w:val="00365D85"/>
    <w:rsid w:val="0036621C"/>
    <w:rsid w:val="00366F6F"/>
    <w:rsid w:val="00367063"/>
    <w:rsid w:val="00367FF5"/>
    <w:rsid w:val="003702BC"/>
    <w:rsid w:val="003771E4"/>
    <w:rsid w:val="00384127"/>
    <w:rsid w:val="00384891"/>
    <w:rsid w:val="00384EB1"/>
    <w:rsid w:val="00387F09"/>
    <w:rsid w:val="00392DBE"/>
    <w:rsid w:val="003950B9"/>
    <w:rsid w:val="003953F0"/>
    <w:rsid w:val="003977E5"/>
    <w:rsid w:val="003A1F1C"/>
    <w:rsid w:val="003A73FA"/>
    <w:rsid w:val="003B1A12"/>
    <w:rsid w:val="003B7082"/>
    <w:rsid w:val="003C2789"/>
    <w:rsid w:val="003C7D77"/>
    <w:rsid w:val="003D0286"/>
    <w:rsid w:val="003D0D1F"/>
    <w:rsid w:val="003D26C6"/>
    <w:rsid w:val="003D3837"/>
    <w:rsid w:val="003D5B69"/>
    <w:rsid w:val="003E0104"/>
    <w:rsid w:val="003E1938"/>
    <w:rsid w:val="003E204A"/>
    <w:rsid w:val="003E74AC"/>
    <w:rsid w:val="003F113A"/>
    <w:rsid w:val="003F12DB"/>
    <w:rsid w:val="003F5767"/>
    <w:rsid w:val="00405EF4"/>
    <w:rsid w:val="00406540"/>
    <w:rsid w:val="0040767F"/>
    <w:rsid w:val="00412E4B"/>
    <w:rsid w:val="0041571C"/>
    <w:rsid w:val="004220C5"/>
    <w:rsid w:val="004316A7"/>
    <w:rsid w:val="00435B61"/>
    <w:rsid w:val="00436AD2"/>
    <w:rsid w:val="00442DCD"/>
    <w:rsid w:val="00447CED"/>
    <w:rsid w:val="004547BF"/>
    <w:rsid w:val="00456435"/>
    <w:rsid w:val="00457A43"/>
    <w:rsid w:val="004612AD"/>
    <w:rsid w:val="00463F74"/>
    <w:rsid w:val="004656DD"/>
    <w:rsid w:val="004665A5"/>
    <w:rsid w:val="004672DF"/>
    <w:rsid w:val="004727A0"/>
    <w:rsid w:val="004742CB"/>
    <w:rsid w:val="00480250"/>
    <w:rsid w:val="00484AF1"/>
    <w:rsid w:val="0048754A"/>
    <w:rsid w:val="004A044E"/>
    <w:rsid w:val="004A256C"/>
    <w:rsid w:val="004A497E"/>
    <w:rsid w:val="004B4B44"/>
    <w:rsid w:val="004B58C8"/>
    <w:rsid w:val="004C4EA8"/>
    <w:rsid w:val="004C5149"/>
    <w:rsid w:val="004C76D6"/>
    <w:rsid w:val="004D10B1"/>
    <w:rsid w:val="004D7FD0"/>
    <w:rsid w:val="004E6662"/>
    <w:rsid w:val="004F1B88"/>
    <w:rsid w:val="005056A3"/>
    <w:rsid w:val="00511432"/>
    <w:rsid w:val="00511EB2"/>
    <w:rsid w:val="005131F6"/>
    <w:rsid w:val="00520B61"/>
    <w:rsid w:val="00522085"/>
    <w:rsid w:val="005259E7"/>
    <w:rsid w:val="00525EA0"/>
    <w:rsid w:val="00531D9D"/>
    <w:rsid w:val="0053296E"/>
    <w:rsid w:val="00534982"/>
    <w:rsid w:val="00535ED0"/>
    <w:rsid w:val="00544E38"/>
    <w:rsid w:val="005511BB"/>
    <w:rsid w:val="00552DBB"/>
    <w:rsid w:val="00552FEB"/>
    <w:rsid w:val="005566AB"/>
    <w:rsid w:val="005577A2"/>
    <w:rsid w:val="005627B8"/>
    <w:rsid w:val="00570B2C"/>
    <w:rsid w:val="00570CA7"/>
    <w:rsid w:val="00574CDC"/>
    <w:rsid w:val="00574F23"/>
    <w:rsid w:val="00576317"/>
    <w:rsid w:val="005831DE"/>
    <w:rsid w:val="0058520D"/>
    <w:rsid w:val="00586AF8"/>
    <w:rsid w:val="005949B0"/>
    <w:rsid w:val="005A3C14"/>
    <w:rsid w:val="005A545E"/>
    <w:rsid w:val="005B1579"/>
    <w:rsid w:val="005B3094"/>
    <w:rsid w:val="005C3702"/>
    <w:rsid w:val="005C3A9D"/>
    <w:rsid w:val="005C6268"/>
    <w:rsid w:val="005D2E2A"/>
    <w:rsid w:val="005D3FE6"/>
    <w:rsid w:val="005D530C"/>
    <w:rsid w:val="005E540B"/>
    <w:rsid w:val="005E79AB"/>
    <w:rsid w:val="005F0C47"/>
    <w:rsid w:val="005F1C91"/>
    <w:rsid w:val="005F29D2"/>
    <w:rsid w:val="005F2D3F"/>
    <w:rsid w:val="005F37C9"/>
    <w:rsid w:val="005F5F2E"/>
    <w:rsid w:val="005F5FC5"/>
    <w:rsid w:val="00601A7A"/>
    <w:rsid w:val="00603B53"/>
    <w:rsid w:val="00607B70"/>
    <w:rsid w:val="00613C0D"/>
    <w:rsid w:val="006140A9"/>
    <w:rsid w:val="006246FA"/>
    <w:rsid w:val="00626738"/>
    <w:rsid w:val="00627CC7"/>
    <w:rsid w:val="006304DB"/>
    <w:rsid w:val="00631046"/>
    <w:rsid w:val="00635D57"/>
    <w:rsid w:val="006371DD"/>
    <w:rsid w:val="00640AD0"/>
    <w:rsid w:val="00640D98"/>
    <w:rsid w:val="0064172D"/>
    <w:rsid w:val="006426E5"/>
    <w:rsid w:val="00644767"/>
    <w:rsid w:val="00645B9F"/>
    <w:rsid w:val="006508AB"/>
    <w:rsid w:val="00652815"/>
    <w:rsid w:val="00652982"/>
    <w:rsid w:val="00653A2C"/>
    <w:rsid w:val="00662A24"/>
    <w:rsid w:val="0066368A"/>
    <w:rsid w:val="00663C82"/>
    <w:rsid w:val="006640AB"/>
    <w:rsid w:val="00664396"/>
    <w:rsid w:val="00670C58"/>
    <w:rsid w:val="00672922"/>
    <w:rsid w:val="006736FF"/>
    <w:rsid w:val="0067584A"/>
    <w:rsid w:val="006773A8"/>
    <w:rsid w:val="0068532E"/>
    <w:rsid w:val="0068737D"/>
    <w:rsid w:val="00690555"/>
    <w:rsid w:val="00692BA1"/>
    <w:rsid w:val="006954D4"/>
    <w:rsid w:val="00695F97"/>
    <w:rsid w:val="0069611E"/>
    <w:rsid w:val="006A03B9"/>
    <w:rsid w:val="006A3254"/>
    <w:rsid w:val="006A362A"/>
    <w:rsid w:val="006A65F8"/>
    <w:rsid w:val="006A68A0"/>
    <w:rsid w:val="006B5C7E"/>
    <w:rsid w:val="006B6259"/>
    <w:rsid w:val="006C081B"/>
    <w:rsid w:val="006C5AFC"/>
    <w:rsid w:val="006D08AD"/>
    <w:rsid w:val="006D3E90"/>
    <w:rsid w:val="006D44ED"/>
    <w:rsid w:val="006E306B"/>
    <w:rsid w:val="006E5E6B"/>
    <w:rsid w:val="006E7205"/>
    <w:rsid w:val="0070018A"/>
    <w:rsid w:val="007025DA"/>
    <w:rsid w:val="0071235F"/>
    <w:rsid w:val="00716A8F"/>
    <w:rsid w:val="007204EA"/>
    <w:rsid w:val="00720DF7"/>
    <w:rsid w:val="00741C74"/>
    <w:rsid w:val="00742063"/>
    <w:rsid w:val="00745EE2"/>
    <w:rsid w:val="00753EFE"/>
    <w:rsid w:val="007557CC"/>
    <w:rsid w:val="00755A43"/>
    <w:rsid w:val="00757120"/>
    <w:rsid w:val="007612C6"/>
    <w:rsid w:val="00762322"/>
    <w:rsid w:val="00762CB0"/>
    <w:rsid w:val="0076366F"/>
    <w:rsid w:val="00771557"/>
    <w:rsid w:val="00773DC8"/>
    <w:rsid w:val="00774CC7"/>
    <w:rsid w:val="00777F22"/>
    <w:rsid w:val="00784436"/>
    <w:rsid w:val="00787572"/>
    <w:rsid w:val="00790CA0"/>
    <w:rsid w:val="00794114"/>
    <w:rsid w:val="0079461B"/>
    <w:rsid w:val="007A22A3"/>
    <w:rsid w:val="007A3880"/>
    <w:rsid w:val="007A469E"/>
    <w:rsid w:val="007A6871"/>
    <w:rsid w:val="007B0E8F"/>
    <w:rsid w:val="007B2B92"/>
    <w:rsid w:val="007B63F5"/>
    <w:rsid w:val="007B6549"/>
    <w:rsid w:val="007C37CF"/>
    <w:rsid w:val="007C385A"/>
    <w:rsid w:val="007C3A77"/>
    <w:rsid w:val="007D122B"/>
    <w:rsid w:val="007D3024"/>
    <w:rsid w:val="007D546F"/>
    <w:rsid w:val="007D5D9C"/>
    <w:rsid w:val="007E6AEF"/>
    <w:rsid w:val="007F04BC"/>
    <w:rsid w:val="007F6B34"/>
    <w:rsid w:val="00804277"/>
    <w:rsid w:val="008043DE"/>
    <w:rsid w:val="008075B0"/>
    <w:rsid w:val="00807C3D"/>
    <w:rsid w:val="00817B1E"/>
    <w:rsid w:val="008207B0"/>
    <w:rsid w:val="00823EC5"/>
    <w:rsid w:val="008304A5"/>
    <w:rsid w:val="008402C2"/>
    <w:rsid w:val="00841D63"/>
    <w:rsid w:val="00846A05"/>
    <w:rsid w:val="00851866"/>
    <w:rsid w:val="00856F20"/>
    <w:rsid w:val="0086320B"/>
    <w:rsid w:val="0086351D"/>
    <w:rsid w:val="008677A7"/>
    <w:rsid w:val="0087790C"/>
    <w:rsid w:val="00877D5A"/>
    <w:rsid w:val="00884196"/>
    <w:rsid w:val="0088575A"/>
    <w:rsid w:val="00887AA4"/>
    <w:rsid w:val="0089129A"/>
    <w:rsid w:val="008A2134"/>
    <w:rsid w:val="008A27EC"/>
    <w:rsid w:val="008A426D"/>
    <w:rsid w:val="008B2A41"/>
    <w:rsid w:val="008B62BD"/>
    <w:rsid w:val="008B6465"/>
    <w:rsid w:val="008B6E9A"/>
    <w:rsid w:val="008C278A"/>
    <w:rsid w:val="008C44C1"/>
    <w:rsid w:val="008C456C"/>
    <w:rsid w:val="008E1B14"/>
    <w:rsid w:val="008E4B5D"/>
    <w:rsid w:val="008F3ADB"/>
    <w:rsid w:val="008F42FA"/>
    <w:rsid w:val="008F5DB6"/>
    <w:rsid w:val="008F5F46"/>
    <w:rsid w:val="00901B90"/>
    <w:rsid w:val="0090248C"/>
    <w:rsid w:val="0090610A"/>
    <w:rsid w:val="009118B1"/>
    <w:rsid w:val="00924D60"/>
    <w:rsid w:val="00930CE8"/>
    <w:rsid w:val="009339B4"/>
    <w:rsid w:val="00936232"/>
    <w:rsid w:val="009376DD"/>
    <w:rsid w:val="0094315F"/>
    <w:rsid w:val="009444A3"/>
    <w:rsid w:val="00944893"/>
    <w:rsid w:val="00944FFB"/>
    <w:rsid w:val="009451D4"/>
    <w:rsid w:val="00951982"/>
    <w:rsid w:val="00954E76"/>
    <w:rsid w:val="0096099A"/>
    <w:rsid w:val="00962B3C"/>
    <w:rsid w:val="00964B1E"/>
    <w:rsid w:val="00967208"/>
    <w:rsid w:val="00967B92"/>
    <w:rsid w:val="00972322"/>
    <w:rsid w:val="00981AC6"/>
    <w:rsid w:val="009852A4"/>
    <w:rsid w:val="009874E3"/>
    <w:rsid w:val="009915DB"/>
    <w:rsid w:val="0099188E"/>
    <w:rsid w:val="009940E9"/>
    <w:rsid w:val="0099588A"/>
    <w:rsid w:val="009A013E"/>
    <w:rsid w:val="009A3AB3"/>
    <w:rsid w:val="009A5259"/>
    <w:rsid w:val="009A58DE"/>
    <w:rsid w:val="009A6EF7"/>
    <w:rsid w:val="009C20DA"/>
    <w:rsid w:val="009C78CD"/>
    <w:rsid w:val="009D1AA2"/>
    <w:rsid w:val="009D1EC6"/>
    <w:rsid w:val="009D25F8"/>
    <w:rsid w:val="009D45D1"/>
    <w:rsid w:val="009D5C9C"/>
    <w:rsid w:val="009E046E"/>
    <w:rsid w:val="009E0DE8"/>
    <w:rsid w:val="009E3D5B"/>
    <w:rsid w:val="009F0BCA"/>
    <w:rsid w:val="009F45F2"/>
    <w:rsid w:val="009F49EF"/>
    <w:rsid w:val="00A03351"/>
    <w:rsid w:val="00A05EE6"/>
    <w:rsid w:val="00A11749"/>
    <w:rsid w:val="00A12AC6"/>
    <w:rsid w:val="00A14084"/>
    <w:rsid w:val="00A14E84"/>
    <w:rsid w:val="00A22FC7"/>
    <w:rsid w:val="00A24C6A"/>
    <w:rsid w:val="00A25987"/>
    <w:rsid w:val="00A3471A"/>
    <w:rsid w:val="00A422EC"/>
    <w:rsid w:val="00A4481A"/>
    <w:rsid w:val="00A47FB8"/>
    <w:rsid w:val="00A52E3E"/>
    <w:rsid w:val="00A60F5A"/>
    <w:rsid w:val="00A70FA7"/>
    <w:rsid w:val="00A71217"/>
    <w:rsid w:val="00A72E93"/>
    <w:rsid w:val="00A76DA7"/>
    <w:rsid w:val="00A85081"/>
    <w:rsid w:val="00A87017"/>
    <w:rsid w:val="00A91FCA"/>
    <w:rsid w:val="00A973FA"/>
    <w:rsid w:val="00A977D7"/>
    <w:rsid w:val="00AA5448"/>
    <w:rsid w:val="00AB6B40"/>
    <w:rsid w:val="00AC0EEA"/>
    <w:rsid w:val="00AC38B5"/>
    <w:rsid w:val="00AD4DE4"/>
    <w:rsid w:val="00AE1797"/>
    <w:rsid w:val="00AE20DB"/>
    <w:rsid w:val="00AE360F"/>
    <w:rsid w:val="00AE39D7"/>
    <w:rsid w:val="00B0352B"/>
    <w:rsid w:val="00B111D5"/>
    <w:rsid w:val="00B11C0A"/>
    <w:rsid w:val="00B12921"/>
    <w:rsid w:val="00B21247"/>
    <w:rsid w:val="00B25A69"/>
    <w:rsid w:val="00B30586"/>
    <w:rsid w:val="00B31F34"/>
    <w:rsid w:val="00B367C8"/>
    <w:rsid w:val="00B37987"/>
    <w:rsid w:val="00B41DF2"/>
    <w:rsid w:val="00B43E7D"/>
    <w:rsid w:val="00B47D93"/>
    <w:rsid w:val="00B51688"/>
    <w:rsid w:val="00B54026"/>
    <w:rsid w:val="00B5440C"/>
    <w:rsid w:val="00B575EB"/>
    <w:rsid w:val="00B7712B"/>
    <w:rsid w:val="00B8154E"/>
    <w:rsid w:val="00B86182"/>
    <w:rsid w:val="00B90441"/>
    <w:rsid w:val="00B944C1"/>
    <w:rsid w:val="00BA648F"/>
    <w:rsid w:val="00BD21E5"/>
    <w:rsid w:val="00BD4DF1"/>
    <w:rsid w:val="00BD4E32"/>
    <w:rsid w:val="00BD54AA"/>
    <w:rsid w:val="00BE0A64"/>
    <w:rsid w:val="00BE1ACB"/>
    <w:rsid w:val="00BE6A3D"/>
    <w:rsid w:val="00BF21A2"/>
    <w:rsid w:val="00BF34D9"/>
    <w:rsid w:val="00BF3D1B"/>
    <w:rsid w:val="00BF5283"/>
    <w:rsid w:val="00C0377A"/>
    <w:rsid w:val="00C1787E"/>
    <w:rsid w:val="00C323BB"/>
    <w:rsid w:val="00C34ECD"/>
    <w:rsid w:val="00C408E5"/>
    <w:rsid w:val="00C46478"/>
    <w:rsid w:val="00C56DF1"/>
    <w:rsid w:val="00C61FC3"/>
    <w:rsid w:val="00C643BB"/>
    <w:rsid w:val="00C671A9"/>
    <w:rsid w:val="00C70F31"/>
    <w:rsid w:val="00C72267"/>
    <w:rsid w:val="00C74F0C"/>
    <w:rsid w:val="00C83BBB"/>
    <w:rsid w:val="00C85A83"/>
    <w:rsid w:val="00C85D67"/>
    <w:rsid w:val="00C86AB9"/>
    <w:rsid w:val="00C86EF3"/>
    <w:rsid w:val="00C87585"/>
    <w:rsid w:val="00C900B3"/>
    <w:rsid w:val="00C95AF8"/>
    <w:rsid w:val="00C977B3"/>
    <w:rsid w:val="00CA0963"/>
    <w:rsid w:val="00CA1AD5"/>
    <w:rsid w:val="00CA33A0"/>
    <w:rsid w:val="00CB201E"/>
    <w:rsid w:val="00CB2D31"/>
    <w:rsid w:val="00CB505E"/>
    <w:rsid w:val="00CB595B"/>
    <w:rsid w:val="00CC7CD4"/>
    <w:rsid w:val="00CD0B60"/>
    <w:rsid w:val="00CD2E76"/>
    <w:rsid w:val="00CD382C"/>
    <w:rsid w:val="00CD3D73"/>
    <w:rsid w:val="00CE15B7"/>
    <w:rsid w:val="00CE19BA"/>
    <w:rsid w:val="00CF1128"/>
    <w:rsid w:val="00CF50AA"/>
    <w:rsid w:val="00CF793B"/>
    <w:rsid w:val="00D00334"/>
    <w:rsid w:val="00D01257"/>
    <w:rsid w:val="00D023A2"/>
    <w:rsid w:val="00D072A8"/>
    <w:rsid w:val="00D10FE1"/>
    <w:rsid w:val="00D1216A"/>
    <w:rsid w:val="00D165EB"/>
    <w:rsid w:val="00D25E59"/>
    <w:rsid w:val="00D26A20"/>
    <w:rsid w:val="00D26C1D"/>
    <w:rsid w:val="00D31D21"/>
    <w:rsid w:val="00D33757"/>
    <w:rsid w:val="00D33D0D"/>
    <w:rsid w:val="00D345F9"/>
    <w:rsid w:val="00D34CA9"/>
    <w:rsid w:val="00D433AE"/>
    <w:rsid w:val="00D476CA"/>
    <w:rsid w:val="00D52FB4"/>
    <w:rsid w:val="00D5404A"/>
    <w:rsid w:val="00D54CB1"/>
    <w:rsid w:val="00D55200"/>
    <w:rsid w:val="00D56421"/>
    <w:rsid w:val="00D571D8"/>
    <w:rsid w:val="00D57B07"/>
    <w:rsid w:val="00D732FA"/>
    <w:rsid w:val="00D82DFD"/>
    <w:rsid w:val="00D907D3"/>
    <w:rsid w:val="00D914D1"/>
    <w:rsid w:val="00D94F4A"/>
    <w:rsid w:val="00D957AE"/>
    <w:rsid w:val="00DA4354"/>
    <w:rsid w:val="00DA4C82"/>
    <w:rsid w:val="00DB39CC"/>
    <w:rsid w:val="00DB3F3D"/>
    <w:rsid w:val="00DC0127"/>
    <w:rsid w:val="00DC0203"/>
    <w:rsid w:val="00DC0856"/>
    <w:rsid w:val="00DC15BA"/>
    <w:rsid w:val="00DC2FDD"/>
    <w:rsid w:val="00DC61E5"/>
    <w:rsid w:val="00DD4E03"/>
    <w:rsid w:val="00DD5626"/>
    <w:rsid w:val="00DD5BF9"/>
    <w:rsid w:val="00DD5CAA"/>
    <w:rsid w:val="00DD761D"/>
    <w:rsid w:val="00DE2185"/>
    <w:rsid w:val="00DE324A"/>
    <w:rsid w:val="00DE3D40"/>
    <w:rsid w:val="00DF1E5F"/>
    <w:rsid w:val="00DF49FF"/>
    <w:rsid w:val="00DF4B63"/>
    <w:rsid w:val="00DF7BE7"/>
    <w:rsid w:val="00E00ED4"/>
    <w:rsid w:val="00E0164A"/>
    <w:rsid w:val="00E01668"/>
    <w:rsid w:val="00E03F81"/>
    <w:rsid w:val="00E0780E"/>
    <w:rsid w:val="00E12F29"/>
    <w:rsid w:val="00E16B0E"/>
    <w:rsid w:val="00E23023"/>
    <w:rsid w:val="00E2341B"/>
    <w:rsid w:val="00E24AAF"/>
    <w:rsid w:val="00E25031"/>
    <w:rsid w:val="00E27C5B"/>
    <w:rsid w:val="00E32BAE"/>
    <w:rsid w:val="00E35F75"/>
    <w:rsid w:val="00E3686F"/>
    <w:rsid w:val="00E372D6"/>
    <w:rsid w:val="00E43FC9"/>
    <w:rsid w:val="00E44F5D"/>
    <w:rsid w:val="00E50285"/>
    <w:rsid w:val="00E54DD7"/>
    <w:rsid w:val="00E579EC"/>
    <w:rsid w:val="00E619AE"/>
    <w:rsid w:val="00E61D0A"/>
    <w:rsid w:val="00E65C35"/>
    <w:rsid w:val="00E70F47"/>
    <w:rsid w:val="00E751E1"/>
    <w:rsid w:val="00E75B9E"/>
    <w:rsid w:val="00E80518"/>
    <w:rsid w:val="00E83B3C"/>
    <w:rsid w:val="00E85A48"/>
    <w:rsid w:val="00E90AA0"/>
    <w:rsid w:val="00E954B6"/>
    <w:rsid w:val="00E96327"/>
    <w:rsid w:val="00E972A9"/>
    <w:rsid w:val="00E976E7"/>
    <w:rsid w:val="00EA20E9"/>
    <w:rsid w:val="00EA72FC"/>
    <w:rsid w:val="00EB4DBA"/>
    <w:rsid w:val="00EC7F27"/>
    <w:rsid w:val="00ED1AC7"/>
    <w:rsid w:val="00ED3E56"/>
    <w:rsid w:val="00EE22E3"/>
    <w:rsid w:val="00EE3325"/>
    <w:rsid w:val="00EE7051"/>
    <w:rsid w:val="00EE7891"/>
    <w:rsid w:val="00EF1610"/>
    <w:rsid w:val="00EF5DA8"/>
    <w:rsid w:val="00F11F26"/>
    <w:rsid w:val="00F152B6"/>
    <w:rsid w:val="00F20198"/>
    <w:rsid w:val="00F20D9E"/>
    <w:rsid w:val="00F252F2"/>
    <w:rsid w:val="00F27E54"/>
    <w:rsid w:val="00F31D46"/>
    <w:rsid w:val="00F33104"/>
    <w:rsid w:val="00F445ED"/>
    <w:rsid w:val="00F570D4"/>
    <w:rsid w:val="00F60AC6"/>
    <w:rsid w:val="00F61921"/>
    <w:rsid w:val="00F63110"/>
    <w:rsid w:val="00F7272F"/>
    <w:rsid w:val="00F728EB"/>
    <w:rsid w:val="00F72A01"/>
    <w:rsid w:val="00F73127"/>
    <w:rsid w:val="00F7692D"/>
    <w:rsid w:val="00F771ED"/>
    <w:rsid w:val="00F8593A"/>
    <w:rsid w:val="00F85AB0"/>
    <w:rsid w:val="00F85F47"/>
    <w:rsid w:val="00F86010"/>
    <w:rsid w:val="00F866E1"/>
    <w:rsid w:val="00F93EB6"/>
    <w:rsid w:val="00F97BAD"/>
    <w:rsid w:val="00F97C5B"/>
    <w:rsid w:val="00FA0523"/>
    <w:rsid w:val="00FA0B7D"/>
    <w:rsid w:val="00FA510B"/>
    <w:rsid w:val="00FB13F7"/>
    <w:rsid w:val="00FB1D8B"/>
    <w:rsid w:val="00FB2C19"/>
    <w:rsid w:val="00FB59D0"/>
    <w:rsid w:val="00FB6177"/>
    <w:rsid w:val="00FC23CA"/>
    <w:rsid w:val="00FC42AC"/>
    <w:rsid w:val="00FC75D2"/>
    <w:rsid w:val="00FD04CA"/>
    <w:rsid w:val="00FD06EB"/>
    <w:rsid w:val="00FD0B15"/>
    <w:rsid w:val="00FE0114"/>
    <w:rsid w:val="00FE7648"/>
    <w:rsid w:val="00FF0E38"/>
    <w:rsid w:val="00FF26D0"/>
    <w:rsid w:val="00FF5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2EE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ource Sans Pro" w:eastAsia="Times New Roman" w:hAnsi="Source Sans Pro" w:cs="Arial"/>
        <w:sz w:val="32"/>
        <w:szCs w:val="32"/>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Default Paragraph Font" w:uiPriority="1"/>
    <w:lsdException w:name="Body Text" w:qFormat="1"/>
    <w:lsdException w:name="Subtitle" w:semiHidden="0" w:unhideWhenUsed="0" w:qFormat="1"/>
    <w:lsdException w:name="Body Text Indent 3" w:semiHidden="0" w:unhideWhenUsed="0"/>
    <w:lsdException w:name="Block Text" w:semiHidden="0" w:unhideWhenUsed="0"/>
    <w:lsdException w:name="Hyperlink" w:semiHidden="0" w:unhideWhenUsed="0" w:qFormat="1"/>
    <w:lsdException w:name="FollowedHyperlink" w:semiHidden="0" w:unhideWhenUsed="0"/>
    <w:lsdException w:name="Strong" w:semiHidden="0" w:unhideWhenUsed="0" w:qFormat="1"/>
    <w:lsdException w:name="Emphasis" w:semiHidden="0" w:unhideWhenUsed="0" w:qFormat="1"/>
    <w:lsdException w:name="No List" w:uiPriority="99"/>
    <w:lsdException w:name="Table Grid" w:semiHidden="0" w:uiPriority="3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4A"/>
    <w:pPr>
      <w:spacing w:before="120" w:after="120"/>
    </w:pPr>
    <w:rPr>
      <w:rFonts w:ascii="Verdana" w:hAnsi="Verdana"/>
      <w:sz w:val="20"/>
    </w:rPr>
  </w:style>
  <w:style w:type="paragraph" w:styleId="Heading1">
    <w:name w:val="heading 1"/>
    <w:basedOn w:val="Heading2"/>
    <w:next w:val="Normal"/>
    <w:qFormat/>
    <w:rsid w:val="009A58DE"/>
    <w:pPr>
      <w:outlineLvl w:val="0"/>
    </w:pPr>
    <w:rPr>
      <w:b w:val="0"/>
      <w:bCs w:val="0"/>
      <w:i/>
      <w:color w:val="000000"/>
      <w:kern w:val="32"/>
      <w:szCs w:val="32"/>
    </w:rPr>
  </w:style>
  <w:style w:type="paragraph" w:styleId="Heading2">
    <w:name w:val="heading 2"/>
    <w:basedOn w:val="Normal"/>
    <w:next w:val="Normal"/>
    <w:link w:val="Heading2Char"/>
    <w:qFormat/>
    <w:rsid w:val="004A044E"/>
    <w:pPr>
      <w:keepNext/>
      <w:outlineLvl w:val="1"/>
    </w:pPr>
    <w:rPr>
      <w:b/>
      <w:bCs/>
      <w:color w:val="1F4E79"/>
      <w:sz w:val="28"/>
      <w:szCs w:val="40"/>
    </w:rPr>
  </w:style>
  <w:style w:type="paragraph" w:styleId="Heading3">
    <w:name w:val="heading 3"/>
    <w:aliases w:val="Dain Heading 3"/>
    <w:next w:val="Normal"/>
    <w:link w:val="Heading3Char"/>
    <w:autoRedefine/>
    <w:qFormat/>
    <w:rsid w:val="00787572"/>
    <w:pPr>
      <w:keepNext/>
      <w:spacing w:before="240" w:after="120"/>
      <w:outlineLvl w:val="2"/>
    </w:pPr>
    <w:rPr>
      <w:rFonts w:ascii="Arial" w:hAnsi="Arial"/>
      <w:b/>
      <w:bCs/>
      <w:color w:val="800000"/>
      <w:sz w:val="24"/>
      <w:szCs w:val="26"/>
    </w:rPr>
  </w:style>
  <w:style w:type="paragraph" w:styleId="Heading4">
    <w:name w:val="heading 4"/>
    <w:basedOn w:val="Normal"/>
    <w:next w:val="Normal"/>
    <w:qFormat/>
    <w:rsid w:val="009A58DE"/>
    <w:pPr>
      <w:keepNext/>
      <w:spacing w:before="240" w:after="60"/>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character" w:styleId="Hyperlink">
    <w:name w:val="Hyperlink"/>
    <w:qFormat/>
    <w:rsid w:val="009A58DE"/>
    <w:rPr>
      <w:rFonts w:ascii="Verdana" w:hAnsi="Verdana"/>
      <w:b/>
      <w:color w:val="4F81BD"/>
      <w:sz w:val="20"/>
      <w:u w:val="single"/>
    </w:rPr>
  </w:style>
  <w:style w:type="paragraph" w:styleId="NormalWeb">
    <w:name w:val="Normal (Web)"/>
    <w:basedOn w:val="Normal"/>
    <w:link w:val="NormalWebChar"/>
    <w:rsid w:val="009A58DE"/>
    <w:pPr>
      <w:spacing w:before="100" w:beforeAutospacing="1" w:after="100" w:afterAutospacing="1"/>
    </w:pPr>
    <w:rPr>
      <w:rFonts w:eastAsia="Arial Unicode MS" w:cs="Arial Unicode MS"/>
      <w:color w:val="000000"/>
      <w:sz w:val="18"/>
      <w:szCs w:val="18"/>
    </w:rPr>
  </w:style>
  <w:style w:type="paragraph" w:styleId="z-TopofForm">
    <w:name w:val="HTML Top of Form"/>
    <w:basedOn w:val="Normal"/>
    <w:next w:val="Normal"/>
    <w:hidden/>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vanish/>
      <w:sz w:val="16"/>
      <w:szCs w:val="16"/>
    </w:rPr>
  </w:style>
  <w:style w:type="paragraph" w:customStyle="1" w:styleId="Heading20">
    <w:name w:val="Heading2"/>
    <w:rPr>
      <w:rFonts w:ascii="Arial" w:eastAsia="Arial Unicode MS" w:hAnsi="Arial"/>
      <w:b/>
      <w:bCs/>
      <w:color w:val="000080"/>
      <w:sz w:val="36"/>
      <w:szCs w:val="36"/>
    </w:rPr>
  </w:style>
  <w:style w:type="paragraph" w:styleId="Header">
    <w:name w:val="header"/>
    <w:basedOn w:val="Normal"/>
    <w:link w:val="HeaderChar"/>
    <w:rsid w:val="009A58DE"/>
    <w:pPr>
      <w:tabs>
        <w:tab w:val="center" w:pos="4320"/>
        <w:tab w:val="right" w:pos="8640"/>
      </w:tabs>
    </w:pPr>
  </w:style>
  <w:style w:type="paragraph" w:styleId="Footer">
    <w:name w:val="footer"/>
    <w:basedOn w:val="Normal"/>
    <w:rsid w:val="009A58DE"/>
    <w:pPr>
      <w:tabs>
        <w:tab w:val="center" w:pos="4320"/>
        <w:tab w:val="right" w:pos="8640"/>
      </w:tabs>
      <w:spacing w:before="0" w:after="0"/>
    </w:pPr>
    <w:rPr>
      <w:sz w:val="16"/>
    </w:rPr>
  </w:style>
  <w:style w:type="character" w:styleId="PageNumber">
    <w:name w:val="page number"/>
    <w:rsid w:val="009A58DE"/>
  </w:style>
  <w:style w:type="paragraph" w:customStyle="1" w:styleId="dash1">
    <w:name w:val="dash1"/>
    <w:autoRedefine/>
    <w:rsid w:val="008207B0"/>
    <w:pPr>
      <w:tabs>
        <w:tab w:val="num" w:pos="2493"/>
      </w:tabs>
      <w:ind w:left="2493" w:hanging="360"/>
    </w:pPr>
    <w:rPr>
      <w:noProof/>
      <w:sz w:val="24"/>
      <w:szCs w:val="24"/>
    </w:rPr>
  </w:style>
  <w:style w:type="character" w:styleId="Strong">
    <w:name w:val="Strong"/>
    <w:qFormat/>
    <w:rsid w:val="00856F20"/>
    <w:rPr>
      <w:b/>
      <w:bCs/>
      <w:szCs w:val="20"/>
    </w:rPr>
  </w:style>
  <w:style w:type="paragraph" w:styleId="BodyText">
    <w:name w:val="Body Text"/>
    <w:basedOn w:val="Normal"/>
    <w:link w:val="BodyTextChar"/>
    <w:qFormat/>
    <w:rsid w:val="009A58DE"/>
    <w:rPr>
      <w:color w:val="000000"/>
      <w:szCs w:val="12"/>
    </w:rPr>
  </w:style>
  <w:style w:type="paragraph" w:customStyle="1" w:styleId="default">
    <w:name w:val="default"/>
    <w:basedOn w:val="Normal"/>
    <w:rsid w:val="00E954B6"/>
    <w:pPr>
      <w:spacing w:before="100" w:beforeAutospacing="1" w:after="100" w:afterAutospacing="1"/>
    </w:pPr>
  </w:style>
  <w:style w:type="paragraph" w:styleId="BalloonText">
    <w:name w:val="Balloon Text"/>
    <w:basedOn w:val="Normal"/>
    <w:semiHidden/>
    <w:rsid w:val="009874E3"/>
    <w:rPr>
      <w:rFonts w:ascii="Tahoma" w:hAnsi="Tahoma" w:cs="Tahoma"/>
      <w:sz w:val="16"/>
      <w:szCs w:val="16"/>
    </w:rPr>
  </w:style>
  <w:style w:type="paragraph" w:styleId="BlockText">
    <w:name w:val="Block Text"/>
    <w:basedOn w:val="Normal"/>
    <w:rsid w:val="009A58DE"/>
    <w:pPr>
      <w:ind w:left="720" w:right="-1440"/>
    </w:pPr>
    <w:rPr>
      <w:color w:val="40458C"/>
      <w:sz w:val="28"/>
      <w:szCs w:val="12"/>
    </w:rPr>
  </w:style>
  <w:style w:type="paragraph" w:customStyle="1" w:styleId="TableofContentsText">
    <w:name w:val="Table of Contents Text"/>
    <w:rsid w:val="009A58DE"/>
    <w:pPr>
      <w:spacing w:after="120"/>
    </w:pPr>
    <w:rPr>
      <w:rFonts w:ascii="Arial" w:hAnsi="Arial"/>
      <w:color w:val="000000"/>
      <w:szCs w:val="24"/>
    </w:rPr>
  </w:style>
  <w:style w:type="paragraph" w:customStyle="1" w:styleId="ProgrammerNotes">
    <w:name w:val="Programmer Notes"/>
    <w:rsid w:val="009A58DE"/>
    <w:rPr>
      <w:rFonts w:ascii="Arial" w:hAnsi="Arial"/>
      <w:color w:val="800080"/>
      <w:kern w:val="32"/>
      <w:sz w:val="24"/>
    </w:rPr>
  </w:style>
  <w:style w:type="paragraph" w:customStyle="1" w:styleId="RolloverHeading">
    <w:name w:val="Rollover Heading"/>
    <w:link w:val="RolloverHeadingChar"/>
    <w:qFormat/>
    <w:rsid w:val="009A58DE"/>
    <w:pPr>
      <w:spacing w:before="120" w:after="120"/>
    </w:pPr>
    <w:rPr>
      <w:rFonts w:ascii="Verdana" w:hAnsi="Verdana"/>
      <w:b/>
      <w:color w:val="0000FF"/>
    </w:rPr>
  </w:style>
  <w:style w:type="paragraph" w:customStyle="1" w:styleId="RolloverText">
    <w:name w:val="Rollover Text"/>
    <w:link w:val="RolloverTextChar"/>
    <w:qFormat/>
    <w:rsid w:val="009A58DE"/>
    <w:pPr>
      <w:spacing w:before="120" w:after="120"/>
    </w:pPr>
    <w:rPr>
      <w:rFonts w:ascii="Verdana" w:hAnsi="Verdana"/>
      <w:color w:val="0000FF"/>
    </w:rPr>
  </w:style>
  <w:style w:type="paragraph" w:customStyle="1" w:styleId="RolloverBullet">
    <w:name w:val="Rollover Bullet"/>
    <w:basedOn w:val="TextBullet1"/>
    <w:link w:val="RolloverBulletChar"/>
    <w:autoRedefine/>
    <w:qFormat/>
    <w:rsid w:val="009A58DE"/>
    <w:pPr>
      <w:numPr>
        <w:numId w:val="6"/>
      </w:numPr>
      <w:ind w:left="1080"/>
    </w:pPr>
    <w:rPr>
      <w:color w:val="0000FF"/>
    </w:rPr>
  </w:style>
  <w:style w:type="paragraph" w:customStyle="1" w:styleId="TextBullet1">
    <w:name w:val="Text Bullet 1"/>
    <w:basedOn w:val="Normal"/>
    <w:rsid w:val="009A58DE"/>
    <w:pPr>
      <w:numPr>
        <w:numId w:val="4"/>
      </w:numPr>
    </w:pPr>
  </w:style>
  <w:style w:type="paragraph" w:customStyle="1" w:styleId="TextBullet2">
    <w:name w:val="Text Bullet 2"/>
    <w:rsid w:val="009A58DE"/>
    <w:pPr>
      <w:numPr>
        <w:numId w:val="1"/>
      </w:numPr>
      <w:spacing w:after="240"/>
    </w:pPr>
    <w:rPr>
      <w:rFonts w:ascii="Arial" w:hAnsi="Arial"/>
      <w:color w:val="000000"/>
    </w:rPr>
  </w:style>
  <w:style w:type="paragraph" w:customStyle="1" w:styleId="ReviewQuestions">
    <w:name w:val="Review Questions"/>
    <w:basedOn w:val="Normal"/>
    <w:qFormat/>
    <w:rsid w:val="009A58DE"/>
    <w:pPr>
      <w:numPr>
        <w:numId w:val="5"/>
      </w:numPr>
      <w:spacing w:before="0"/>
    </w:pPr>
    <w:rPr>
      <w:b/>
    </w:rPr>
  </w:style>
  <w:style w:type="paragraph" w:customStyle="1" w:styleId="TextNumbering">
    <w:name w:val="Text Numbering"/>
    <w:rsid w:val="009A58DE"/>
    <w:pPr>
      <w:numPr>
        <w:numId w:val="3"/>
      </w:numPr>
      <w:spacing w:after="240"/>
    </w:pPr>
    <w:rPr>
      <w:rFonts w:ascii="Arial" w:hAnsi="Arial"/>
      <w:bCs/>
      <w:color w:val="000000"/>
    </w:rPr>
  </w:style>
  <w:style w:type="character" w:customStyle="1" w:styleId="Heading3Char">
    <w:name w:val="Heading 3 Char"/>
    <w:aliases w:val="Dain Heading 3 Char"/>
    <w:link w:val="Heading3"/>
    <w:rsid w:val="00787572"/>
    <w:rPr>
      <w:rFonts w:ascii="Arial" w:hAnsi="Arial"/>
      <w:b/>
      <w:bCs/>
      <w:color w:val="800000"/>
      <w:sz w:val="24"/>
      <w:szCs w:val="26"/>
    </w:rPr>
  </w:style>
  <w:style w:type="character" w:styleId="CommentReference">
    <w:name w:val="annotation reference"/>
    <w:semiHidden/>
    <w:rsid w:val="00EE7051"/>
    <w:rPr>
      <w:sz w:val="16"/>
      <w:szCs w:val="16"/>
    </w:rPr>
  </w:style>
  <w:style w:type="paragraph" w:styleId="CommentText">
    <w:name w:val="annotation text"/>
    <w:basedOn w:val="Normal"/>
    <w:link w:val="CommentTextChar"/>
    <w:semiHidden/>
    <w:rsid w:val="00EE7051"/>
  </w:style>
  <w:style w:type="paragraph" w:styleId="CommentSubject">
    <w:name w:val="annotation subject"/>
    <w:basedOn w:val="CommentText"/>
    <w:next w:val="CommentText"/>
    <w:semiHidden/>
    <w:rsid w:val="00EE7051"/>
    <w:rPr>
      <w:b/>
      <w:bCs/>
    </w:rPr>
  </w:style>
  <w:style w:type="table" w:styleId="TableGrid">
    <w:name w:val="Table Grid"/>
    <w:basedOn w:val="TableNormal"/>
    <w:uiPriority w:val="39"/>
    <w:rsid w:val="009A58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thbullet">
    <w:name w:val="4th bullet"/>
    <w:basedOn w:val="Normal"/>
    <w:rsid w:val="00D433AE"/>
    <w:pPr>
      <w:numPr>
        <w:numId w:val="2"/>
      </w:numPr>
    </w:pPr>
  </w:style>
  <w:style w:type="paragraph" w:customStyle="1" w:styleId="LightGrid-Accent31">
    <w:name w:val="Light Grid - Accent 31"/>
    <w:basedOn w:val="Normal"/>
    <w:uiPriority w:val="34"/>
    <w:qFormat/>
    <w:rsid w:val="00F73127"/>
    <w:pPr>
      <w:ind w:left="720"/>
      <w:contextualSpacing/>
    </w:pPr>
    <w:rPr>
      <w:rFonts w:ascii="Calibri" w:eastAsia="Calibri" w:hAnsi="Calibri"/>
      <w:sz w:val="22"/>
      <w:szCs w:val="22"/>
    </w:rPr>
  </w:style>
  <w:style w:type="character" w:customStyle="1" w:styleId="NormalWebChar">
    <w:name w:val="Normal (Web) Char"/>
    <w:link w:val="NormalWeb"/>
    <w:locked/>
    <w:rsid w:val="009A58DE"/>
    <w:rPr>
      <w:rFonts w:ascii="Verdana" w:eastAsia="Arial Unicode MS" w:hAnsi="Verdana" w:cs="Arial Unicode MS"/>
      <w:color w:val="000000"/>
      <w:sz w:val="18"/>
      <w:szCs w:val="18"/>
    </w:rPr>
  </w:style>
  <w:style w:type="paragraph" w:customStyle="1" w:styleId="LightList-Accent31">
    <w:name w:val="Light List - Accent 31"/>
    <w:hidden/>
    <w:uiPriority w:val="99"/>
    <w:semiHidden/>
    <w:rsid w:val="00742063"/>
    <w:rPr>
      <w:rFonts w:ascii="Arial" w:hAnsi="Arial"/>
      <w:sz w:val="24"/>
      <w:szCs w:val="24"/>
    </w:rPr>
  </w:style>
  <w:style w:type="paragraph" w:styleId="BodyText2">
    <w:name w:val="Body Text 2"/>
    <w:basedOn w:val="Normal"/>
    <w:link w:val="BodyText2Char"/>
    <w:rsid w:val="00435B61"/>
    <w:pPr>
      <w:spacing w:line="480" w:lineRule="auto"/>
    </w:pPr>
  </w:style>
  <w:style w:type="character" w:customStyle="1" w:styleId="BodyText2Char">
    <w:name w:val="Body Text 2 Char"/>
    <w:link w:val="BodyText2"/>
    <w:rsid w:val="00435B61"/>
    <w:rPr>
      <w:rFonts w:ascii="Arial" w:hAnsi="Arial"/>
      <w:sz w:val="24"/>
      <w:szCs w:val="24"/>
    </w:rPr>
  </w:style>
  <w:style w:type="paragraph" w:customStyle="1" w:styleId="BodyTextBoldRed">
    <w:name w:val="Body Text Bold Red"/>
    <w:autoRedefine/>
    <w:rsid w:val="00160EF1"/>
    <w:rPr>
      <w:rFonts w:ascii="Verdana" w:hAnsi="Verdana"/>
      <w:b/>
      <w:color w:val="FF0000"/>
      <w:sz w:val="20"/>
      <w:szCs w:val="20"/>
    </w:rPr>
  </w:style>
  <w:style w:type="character" w:customStyle="1" w:styleId="CommentTextChar">
    <w:name w:val="Comment Text Char"/>
    <w:link w:val="CommentText"/>
    <w:semiHidden/>
    <w:rsid w:val="002D52FF"/>
    <w:rPr>
      <w:rFonts w:ascii="Arial" w:hAnsi="Arial"/>
    </w:rPr>
  </w:style>
  <w:style w:type="paragraph" w:styleId="BodyText3">
    <w:name w:val="Body Text 3"/>
    <w:basedOn w:val="Normal"/>
    <w:link w:val="BodyText3Char"/>
    <w:rsid w:val="005F37C9"/>
    <w:rPr>
      <w:sz w:val="16"/>
      <w:szCs w:val="16"/>
    </w:rPr>
  </w:style>
  <w:style w:type="character" w:customStyle="1" w:styleId="BodyText3Char">
    <w:name w:val="Body Text 3 Char"/>
    <w:link w:val="BodyText3"/>
    <w:rsid w:val="005F37C9"/>
    <w:rPr>
      <w:rFonts w:ascii="Arial" w:hAnsi="Arial"/>
      <w:sz w:val="16"/>
      <w:szCs w:val="16"/>
    </w:rPr>
  </w:style>
  <w:style w:type="paragraph" w:customStyle="1" w:styleId="ReviewAnswer">
    <w:name w:val="Review Answer"/>
    <w:qFormat/>
    <w:rsid w:val="009A58DE"/>
    <w:pPr>
      <w:spacing w:before="120" w:after="120"/>
      <w:ind w:left="1080"/>
    </w:pPr>
    <w:rPr>
      <w:rFonts w:ascii="Verdana" w:hAnsi="Verdana"/>
      <w:color w:val="244061"/>
    </w:rPr>
  </w:style>
  <w:style w:type="paragraph" w:customStyle="1" w:styleId="Answer">
    <w:name w:val="Answer"/>
    <w:qFormat/>
    <w:rsid w:val="009A58DE"/>
    <w:rPr>
      <w:rFonts w:ascii="Verdana" w:hAnsi="Verdana"/>
      <w:color w:val="244061"/>
    </w:rPr>
  </w:style>
  <w:style w:type="character" w:customStyle="1" w:styleId="BodyTextChar">
    <w:name w:val="Body Text Char"/>
    <w:link w:val="BodyText"/>
    <w:rsid w:val="009A58DE"/>
    <w:rPr>
      <w:rFonts w:ascii="Verdana" w:hAnsi="Verdana" w:cs="Arial"/>
      <w:color w:val="000000"/>
      <w:szCs w:val="12"/>
    </w:rPr>
  </w:style>
  <w:style w:type="paragraph" w:customStyle="1" w:styleId="SubtitlesonPage">
    <w:name w:val="Subtitles on Page"/>
    <w:link w:val="SubtitlesonPageChar"/>
    <w:qFormat/>
    <w:rsid w:val="009A58DE"/>
    <w:pPr>
      <w:spacing w:after="60"/>
    </w:pPr>
    <w:rPr>
      <w:rFonts w:ascii="Verdana" w:hAnsi="Verdana"/>
      <w:b/>
      <w:bCs/>
      <w:color w:val="1F497D"/>
      <w:sz w:val="22"/>
      <w:szCs w:val="26"/>
    </w:rPr>
  </w:style>
  <w:style w:type="character" w:customStyle="1" w:styleId="SubtitlesonPageChar">
    <w:name w:val="Subtitles on Page Char"/>
    <w:link w:val="SubtitlesonPage"/>
    <w:rsid w:val="009A58DE"/>
    <w:rPr>
      <w:rFonts w:ascii="Verdana" w:hAnsi="Verdana" w:cs="Arial"/>
      <w:b/>
      <w:bCs/>
      <w:color w:val="1F497D"/>
      <w:sz w:val="22"/>
      <w:szCs w:val="26"/>
    </w:rPr>
  </w:style>
  <w:style w:type="paragraph" w:customStyle="1" w:styleId="Sub-Headings">
    <w:name w:val="Sub-Headings"/>
    <w:link w:val="Sub-HeadingsChar"/>
    <w:qFormat/>
    <w:rsid w:val="009A58DE"/>
    <w:pPr>
      <w:spacing w:after="60"/>
    </w:pPr>
    <w:rPr>
      <w:rFonts w:ascii="Verdana" w:hAnsi="Verdana"/>
      <w:b/>
      <w:bCs/>
      <w:color w:val="1F497D"/>
      <w:sz w:val="22"/>
      <w:szCs w:val="26"/>
    </w:rPr>
  </w:style>
  <w:style w:type="character" w:customStyle="1" w:styleId="Sub-HeadingsChar">
    <w:name w:val="Sub-Headings Char"/>
    <w:link w:val="Sub-Headings"/>
    <w:rsid w:val="009A58DE"/>
    <w:rPr>
      <w:rFonts w:ascii="Verdana" w:hAnsi="Verdana" w:cs="Arial"/>
      <w:b/>
      <w:bCs/>
      <w:color w:val="1F497D"/>
      <w:sz w:val="22"/>
      <w:szCs w:val="26"/>
    </w:rPr>
  </w:style>
  <w:style w:type="paragraph" w:customStyle="1" w:styleId="Objectives">
    <w:name w:val="Objectives"/>
    <w:basedOn w:val="Heading3"/>
    <w:link w:val="ObjectivesChar"/>
    <w:qFormat/>
    <w:rsid w:val="009A58DE"/>
    <w:pPr>
      <w:spacing w:after="60"/>
    </w:pPr>
    <w:rPr>
      <w:rFonts w:ascii="Verdana" w:hAnsi="Verdana"/>
      <w:color w:val="1F497D"/>
      <w:sz w:val="22"/>
    </w:rPr>
  </w:style>
  <w:style w:type="character" w:customStyle="1" w:styleId="ObjectivesChar">
    <w:name w:val="Objectives Char"/>
    <w:link w:val="Objectives"/>
    <w:rsid w:val="009A58DE"/>
    <w:rPr>
      <w:rFonts w:ascii="Verdana" w:hAnsi="Verdana" w:cs="Arial"/>
      <w:b/>
      <w:bCs/>
      <w:color w:val="1F497D"/>
      <w:sz w:val="22"/>
      <w:szCs w:val="26"/>
    </w:rPr>
  </w:style>
  <w:style w:type="paragraph" w:customStyle="1" w:styleId="FirstPageTitleText">
    <w:name w:val="First Page Title Text"/>
    <w:basedOn w:val="Normal"/>
    <w:qFormat/>
    <w:rsid w:val="009A58DE"/>
    <w:rPr>
      <w:rFonts w:ascii="Trebuchet MS" w:hAnsi="Trebuchet MS"/>
      <w:b/>
      <w:color w:val="183864"/>
      <w:sz w:val="44"/>
      <w:szCs w:val="72"/>
    </w:rPr>
  </w:style>
  <w:style w:type="character" w:customStyle="1" w:styleId="RolloverHeadingChar">
    <w:name w:val="Rollover Heading Char"/>
    <w:link w:val="RolloverHeading"/>
    <w:rsid w:val="009A58DE"/>
    <w:rPr>
      <w:rFonts w:ascii="Verdana" w:hAnsi="Verdana" w:cs="Arial"/>
      <w:b/>
      <w:color w:val="0000FF"/>
    </w:rPr>
  </w:style>
  <w:style w:type="character" w:customStyle="1" w:styleId="RolloverTextChar">
    <w:name w:val="Rollover Text Char"/>
    <w:link w:val="RolloverText"/>
    <w:rsid w:val="009A58DE"/>
    <w:rPr>
      <w:rFonts w:ascii="Verdana" w:hAnsi="Verdana" w:cs="Arial"/>
      <w:color w:val="0000FF"/>
    </w:rPr>
  </w:style>
  <w:style w:type="character" w:customStyle="1" w:styleId="RolloverBulletChar">
    <w:name w:val="Rollover Bullet Char"/>
    <w:link w:val="RolloverBullet"/>
    <w:rsid w:val="009A58DE"/>
    <w:rPr>
      <w:rFonts w:ascii="Verdana" w:hAnsi="Verdana" w:cs="Arial"/>
      <w:color w:val="0000FF"/>
    </w:rPr>
  </w:style>
  <w:style w:type="character" w:customStyle="1" w:styleId="HeaderChar">
    <w:name w:val="Header Char"/>
    <w:link w:val="Header"/>
    <w:rsid w:val="00A71217"/>
    <w:rPr>
      <w:rFonts w:ascii="Verdana" w:hAnsi="Verdana" w:cs="Arial"/>
    </w:rPr>
  </w:style>
  <w:style w:type="character" w:customStyle="1" w:styleId="Heading2Char">
    <w:name w:val="Heading 2 Char"/>
    <w:link w:val="Heading2"/>
    <w:rsid w:val="004A044E"/>
    <w:rPr>
      <w:rFonts w:ascii="Verdana" w:hAnsi="Verdana"/>
      <w:b/>
      <w:bCs/>
      <w:color w:val="1F4E79"/>
      <w:sz w:val="28"/>
      <w:szCs w:val="40"/>
    </w:rPr>
  </w:style>
  <w:style w:type="paragraph" w:customStyle="1" w:styleId="directions">
    <w:name w:val="directions"/>
    <w:basedOn w:val="BodyText"/>
    <w:link w:val="directionsChar"/>
    <w:qFormat/>
    <w:rsid w:val="00A14084"/>
    <w:pPr>
      <w:spacing w:before="0" w:after="200" w:line="276" w:lineRule="auto"/>
    </w:pPr>
    <w:rPr>
      <w:rFonts w:ascii="Calibri" w:eastAsia="Calibri" w:hAnsi="Calibri" w:cs="Times New Roman"/>
      <w:b/>
      <w:color w:val="943634"/>
      <w:sz w:val="22"/>
      <w:szCs w:val="20"/>
    </w:rPr>
  </w:style>
  <w:style w:type="character" w:customStyle="1" w:styleId="directionsChar">
    <w:name w:val="directions Char"/>
    <w:link w:val="directions"/>
    <w:rsid w:val="00A14084"/>
    <w:rPr>
      <w:rFonts w:ascii="Calibri" w:eastAsia="Calibri" w:hAnsi="Calibri"/>
      <w:b/>
      <w:color w:val="943634"/>
      <w:sz w:val="22"/>
    </w:rPr>
  </w:style>
  <w:style w:type="paragraph" w:styleId="Revision">
    <w:name w:val="Revision"/>
    <w:hidden/>
    <w:uiPriority w:val="71"/>
    <w:rsid w:val="00D55200"/>
    <w:rPr>
      <w:rFonts w:ascii="Verdana" w:hAnsi="Verdana"/>
    </w:rPr>
  </w:style>
  <w:style w:type="paragraph" w:styleId="ListParagraph">
    <w:name w:val="List Paragraph"/>
    <w:basedOn w:val="Normal"/>
    <w:uiPriority w:val="34"/>
    <w:qFormat/>
    <w:rsid w:val="009D1AA2"/>
    <w:pPr>
      <w:spacing w:before="0"/>
      <w:ind w:left="720"/>
      <w:contextualSpacing/>
    </w:pPr>
    <w:rPr>
      <w:rFonts w:eastAsiaTheme="minorHAnsi" w:cstheme="minorBidi"/>
      <w:color w:val="404040" w:themeColor="text1" w:themeTint="BF"/>
      <w:szCs w:val="24"/>
    </w:rPr>
  </w:style>
  <w:style w:type="paragraph" w:styleId="FootnoteText">
    <w:name w:val="footnote text"/>
    <w:basedOn w:val="Normal"/>
    <w:link w:val="FootnoteTextChar"/>
    <w:uiPriority w:val="99"/>
    <w:unhideWhenUsed/>
    <w:rsid w:val="00D957AE"/>
    <w:pPr>
      <w:spacing w:before="0" w:after="0"/>
    </w:pPr>
    <w:rPr>
      <w:rFonts w:eastAsiaTheme="minorHAnsi" w:cstheme="minorBidi"/>
      <w:color w:val="404040" w:themeColor="text1" w:themeTint="BF"/>
      <w:sz w:val="24"/>
      <w:szCs w:val="24"/>
    </w:rPr>
  </w:style>
  <w:style w:type="character" w:customStyle="1" w:styleId="FootnoteTextChar">
    <w:name w:val="Footnote Text Char"/>
    <w:basedOn w:val="DefaultParagraphFont"/>
    <w:link w:val="FootnoteText"/>
    <w:uiPriority w:val="99"/>
    <w:rsid w:val="00D957AE"/>
    <w:rPr>
      <w:rFonts w:eastAsiaTheme="minorHAnsi" w:cstheme="minorBidi"/>
      <w:color w:val="404040" w:themeColor="text1" w:themeTint="BF"/>
      <w:sz w:val="24"/>
      <w:szCs w:val="24"/>
    </w:rPr>
  </w:style>
  <w:style w:type="character" w:styleId="FootnoteReference">
    <w:name w:val="footnote reference"/>
    <w:basedOn w:val="DefaultParagraphFont"/>
    <w:uiPriority w:val="99"/>
    <w:unhideWhenUsed/>
    <w:rsid w:val="00D957A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ource Sans Pro" w:eastAsia="Times New Roman" w:hAnsi="Source Sans Pro" w:cs="Arial"/>
        <w:sz w:val="32"/>
        <w:szCs w:val="32"/>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Default Paragraph Font" w:uiPriority="1"/>
    <w:lsdException w:name="Body Text" w:qFormat="1"/>
    <w:lsdException w:name="Subtitle" w:semiHidden="0" w:unhideWhenUsed="0" w:qFormat="1"/>
    <w:lsdException w:name="Body Text Indent 3" w:semiHidden="0" w:unhideWhenUsed="0"/>
    <w:lsdException w:name="Block Text" w:semiHidden="0" w:unhideWhenUsed="0"/>
    <w:lsdException w:name="Hyperlink" w:semiHidden="0" w:unhideWhenUsed="0" w:qFormat="1"/>
    <w:lsdException w:name="FollowedHyperlink" w:semiHidden="0" w:unhideWhenUsed="0"/>
    <w:lsdException w:name="Strong" w:semiHidden="0" w:unhideWhenUsed="0" w:qFormat="1"/>
    <w:lsdException w:name="Emphasis" w:semiHidden="0" w:unhideWhenUsed="0" w:qFormat="1"/>
    <w:lsdException w:name="No List" w:uiPriority="99"/>
    <w:lsdException w:name="Table Grid" w:semiHidden="0" w:uiPriority="3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4A"/>
    <w:pPr>
      <w:spacing w:before="120" w:after="120"/>
    </w:pPr>
    <w:rPr>
      <w:rFonts w:ascii="Verdana" w:hAnsi="Verdana"/>
      <w:sz w:val="20"/>
    </w:rPr>
  </w:style>
  <w:style w:type="paragraph" w:styleId="Heading1">
    <w:name w:val="heading 1"/>
    <w:basedOn w:val="Heading2"/>
    <w:next w:val="Normal"/>
    <w:qFormat/>
    <w:rsid w:val="009A58DE"/>
    <w:pPr>
      <w:outlineLvl w:val="0"/>
    </w:pPr>
    <w:rPr>
      <w:b w:val="0"/>
      <w:bCs w:val="0"/>
      <w:i/>
      <w:color w:val="000000"/>
      <w:kern w:val="32"/>
      <w:szCs w:val="32"/>
    </w:rPr>
  </w:style>
  <w:style w:type="paragraph" w:styleId="Heading2">
    <w:name w:val="heading 2"/>
    <w:basedOn w:val="Normal"/>
    <w:next w:val="Normal"/>
    <w:link w:val="Heading2Char"/>
    <w:qFormat/>
    <w:rsid w:val="004A044E"/>
    <w:pPr>
      <w:keepNext/>
      <w:outlineLvl w:val="1"/>
    </w:pPr>
    <w:rPr>
      <w:b/>
      <w:bCs/>
      <w:color w:val="1F4E79"/>
      <w:sz w:val="28"/>
      <w:szCs w:val="40"/>
    </w:rPr>
  </w:style>
  <w:style w:type="paragraph" w:styleId="Heading3">
    <w:name w:val="heading 3"/>
    <w:aliases w:val="Dain Heading 3"/>
    <w:next w:val="Normal"/>
    <w:link w:val="Heading3Char"/>
    <w:autoRedefine/>
    <w:qFormat/>
    <w:rsid w:val="00787572"/>
    <w:pPr>
      <w:keepNext/>
      <w:spacing w:before="240" w:after="120"/>
      <w:outlineLvl w:val="2"/>
    </w:pPr>
    <w:rPr>
      <w:rFonts w:ascii="Arial" w:hAnsi="Arial"/>
      <w:b/>
      <w:bCs/>
      <w:color w:val="800000"/>
      <w:sz w:val="24"/>
      <w:szCs w:val="26"/>
    </w:rPr>
  </w:style>
  <w:style w:type="paragraph" w:styleId="Heading4">
    <w:name w:val="heading 4"/>
    <w:basedOn w:val="Normal"/>
    <w:next w:val="Normal"/>
    <w:qFormat/>
    <w:rsid w:val="009A58DE"/>
    <w:pPr>
      <w:keepNext/>
      <w:spacing w:before="240" w:after="60"/>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character" w:styleId="Hyperlink">
    <w:name w:val="Hyperlink"/>
    <w:qFormat/>
    <w:rsid w:val="009A58DE"/>
    <w:rPr>
      <w:rFonts w:ascii="Verdana" w:hAnsi="Verdana"/>
      <w:b/>
      <w:color w:val="4F81BD"/>
      <w:sz w:val="20"/>
      <w:u w:val="single"/>
    </w:rPr>
  </w:style>
  <w:style w:type="paragraph" w:styleId="NormalWeb">
    <w:name w:val="Normal (Web)"/>
    <w:basedOn w:val="Normal"/>
    <w:link w:val="NormalWebChar"/>
    <w:rsid w:val="009A58DE"/>
    <w:pPr>
      <w:spacing w:before="100" w:beforeAutospacing="1" w:after="100" w:afterAutospacing="1"/>
    </w:pPr>
    <w:rPr>
      <w:rFonts w:eastAsia="Arial Unicode MS" w:cs="Arial Unicode MS"/>
      <w:color w:val="000000"/>
      <w:sz w:val="18"/>
      <w:szCs w:val="18"/>
    </w:rPr>
  </w:style>
  <w:style w:type="paragraph" w:styleId="z-TopofForm">
    <w:name w:val="HTML Top of Form"/>
    <w:basedOn w:val="Normal"/>
    <w:next w:val="Normal"/>
    <w:hidden/>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vanish/>
      <w:sz w:val="16"/>
      <w:szCs w:val="16"/>
    </w:rPr>
  </w:style>
  <w:style w:type="paragraph" w:customStyle="1" w:styleId="Heading20">
    <w:name w:val="Heading2"/>
    <w:rPr>
      <w:rFonts w:ascii="Arial" w:eastAsia="Arial Unicode MS" w:hAnsi="Arial"/>
      <w:b/>
      <w:bCs/>
      <w:color w:val="000080"/>
      <w:sz w:val="36"/>
      <w:szCs w:val="36"/>
    </w:rPr>
  </w:style>
  <w:style w:type="paragraph" w:styleId="Header">
    <w:name w:val="header"/>
    <w:basedOn w:val="Normal"/>
    <w:link w:val="HeaderChar"/>
    <w:rsid w:val="009A58DE"/>
    <w:pPr>
      <w:tabs>
        <w:tab w:val="center" w:pos="4320"/>
        <w:tab w:val="right" w:pos="8640"/>
      </w:tabs>
    </w:pPr>
  </w:style>
  <w:style w:type="paragraph" w:styleId="Footer">
    <w:name w:val="footer"/>
    <w:basedOn w:val="Normal"/>
    <w:rsid w:val="009A58DE"/>
    <w:pPr>
      <w:tabs>
        <w:tab w:val="center" w:pos="4320"/>
        <w:tab w:val="right" w:pos="8640"/>
      </w:tabs>
      <w:spacing w:before="0" w:after="0"/>
    </w:pPr>
    <w:rPr>
      <w:sz w:val="16"/>
    </w:rPr>
  </w:style>
  <w:style w:type="character" w:styleId="PageNumber">
    <w:name w:val="page number"/>
    <w:rsid w:val="009A58DE"/>
  </w:style>
  <w:style w:type="paragraph" w:customStyle="1" w:styleId="dash1">
    <w:name w:val="dash1"/>
    <w:autoRedefine/>
    <w:rsid w:val="008207B0"/>
    <w:pPr>
      <w:tabs>
        <w:tab w:val="num" w:pos="2493"/>
      </w:tabs>
      <w:ind w:left="2493" w:hanging="360"/>
    </w:pPr>
    <w:rPr>
      <w:noProof/>
      <w:sz w:val="24"/>
      <w:szCs w:val="24"/>
    </w:rPr>
  </w:style>
  <w:style w:type="character" w:styleId="Strong">
    <w:name w:val="Strong"/>
    <w:qFormat/>
    <w:rsid w:val="00856F20"/>
    <w:rPr>
      <w:b/>
      <w:bCs/>
      <w:szCs w:val="20"/>
    </w:rPr>
  </w:style>
  <w:style w:type="paragraph" w:styleId="BodyText">
    <w:name w:val="Body Text"/>
    <w:basedOn w:val="Normal"/>
    <w:link w:val="BodyTextChar"/>
    <w:qFormat/>
    <w:rsid w:val="009A58DE"/>
    <w:rPr>
      <w:color w:val="000000"/>
      <w:szCs w:val="12"/>
    </w:rPr>
  </w:style>
  <w:style w:type="paragraph" w:customStyle="1" w:styleId="default">
    <w:name w:val="default"/>
    <w:basedOn w:val="Normal"/>
    <w:rsid w:val="00E954B6"/>
    <w:pPr>
      <w:spacing w:before="100" w:beforeAutospacing="1" w:after="100" w:afterAutospacing="1"/>
    </w:pPr>
  </w:style>
  <w:style w:type="paragraph" w:styleId="BalloonText">
    <w:name w:val="Balloon Text"/>
    <w:basedOn w:val="Normal"/>
    <w:semiHidden/>
    <w:rsid w:val="009874E3"/>
    <w:rPr>
      <w:rFonts w:ascii="Tahoma" w:hAnsi="Tahoma" w:cs="Tahoma"/>
      <w:sz w:val="16"/>
      <w:szCs w:val="16"/>
    </w:rPr>
  </w:style>
  <w:style w:type="paragraph" w:styleId="BlockText">
    <w:name w:val="Block Text"/>
    <w:basedOn w:val="Normal"/>
    <w:rsid w:val="009A58DE"/>
    <w:pPr>
      <w:ind w:left="720" w:right="-1440"/>
    </w:pPr>
    <w:rPr>
      <w:color w:val="40458C"/>
      <w:sz w:val="28"/>
      <w:szCs w:val="12"/>
    </w:rPr>
  </w:style>
  <w:style w:type="paragraph" w:customStyle="1" w:styleId="TableofContentsText">
    <w:name w:val="Table of Contents Text"/>
    <w:rsid w:val="009A58DE"/>
    <w:pPr>
      <w:spacing w:after="120"/>
    </w:pPr>
    <w:rPr>
      <w:rFonts w:ascii="Arial" w:hAnsi="Arial"/>
      <w:color w:val="000000"/>
      <w:szCs w:val="24"/>
    </w:rPr>
  </w:style>
  <w:style w:type="paragraph" w:customStyle="1" w:styleId="ProgrammerNotes">
    <w:name w:val="Programmer Notes"/>
    <w:rsid w:val="009A58DE"/>
    <w:rPr>
      <w:rFonts w:ascii="Arial" w:hAnsi="Arial"/>
      <w:color w:val="800080"/>
      <w:kern w:val="32"/>
      <w:sz w:val="24"/>
    </w:rPr>
  </w:style>
  <w:style w:type="paragraph" w:customStyle="1" w:styleId="RolloverHeading">
    <w:name w:val="Rollover Heading"/>
    <w:link w:val="RolloverHeadingChar"/>
    <w:qFormat/>
    <w:rsid w:val="009A58DE"/>
    <w:pPr>
      <w:spacing w:before="120" w:after="120"/>
    </w:pPr>
    <w:rPr>
      <w:rFonts w:ascii="Verdana" w:hAnsi="Verdana"/>
      <w:b/>
      <w:color w:val="0000FF"/>
    </w:rPr>
  </w:style>
  <w:style w:type="paragraph" w:customStyle="1" w:styleId="RolloverText">
    <w:name w:val="Rollover Text"/>
    <w:link w:val="RolloverTextChar"/>
    <w:qFormat/>
    <w:rsid w:val="009A58DE"/>
    <w:pPr>
      <w:spacing w:before="120" w:after="120"/>
    </w:pPr>
    <w:rPr>
      <w:rFonts w:ascii="Verdana" w:hAnsi="Verdana"/>
      <w:color w:val="0000FF"/>
    </w:rPr>
  </w:style>
  <w:style w:type="paragraph" w:customStyle="1" w:styleId="RolloverBullet">
    <w:name w:val="Rollover Bullet"/>
    <w:basedOn w:val="TextBullet1"/>
    <w:link w:val="RolloverBulletChar"/>
    <w:autoRedefine/>
    <w:qFormat/>
    <w:rsid w:val="009A58DE"/>
    <w:pPr>
      <w:numPr>
        <w:numId w:val="6"/>
      </w:numPr>
      <w:ind w:left="1080"/>
    </w:pPr>
    <w:rPr>
      <w:color w:val="0000FF"/>
    </w:rPr>
  </w:style>
  <w:style w:type="paragraph" w:customStyle="1" w:styleId="TextBullet1">
    <w:name w:val="Text Bullet 1"/>
    <w:basedOn w:val="Normal"/>
    <w:rsid w:val="009A58DE"/>
    <w:pPr>
      <w:numPr>
        <w:numId w:val="4"/>
      </w:numPr>
    </w:pPr>
  </w:style>
  <w:style w:type="paragraph" w:customStyle="1" w:styleId="TextBullet2">
    <w:name w:val="Text Bullet 2"/>
    <w:rsid w:val="009A58DE"/>
    <w:pPr>
      <w:numPr>
        <w:numId w:val="1"/>
      </w:numPr>
      <w:spacing w:after="240"/>
    </w:pPr>
    <w:rPr>
      <w:rFonts w:ascii="Arial" w:hAnsi="Arial"/>
      <w:color w:val="000000"/>
    </w:rPr>
  </w:style>
  <w:style w:type="paragraph" w:customStyle="1" w:styleId="ReviewQuestions">
    <w:name w:val="Review Questions"/>
    <w:basedOn w:val="Normal"/>
    <w:qFormat/>
    <w:rsid w:val="009A58DE"/>
    <w:pPr>
      <w:numPr>
        <w:numId w:val="5"/>
      </w:numPr>
      <w:spacing w:before="0"/>
    </w:pPr>
    <w:rPr>
      <w:b/>
    </w:rPr>
  </w:style>
  <w:style w:type="paragraph" w:customStyle="1" w:styleId="TextNumbering">
    <w:name w:val="Text Numbering"/>
    <w:rsid w:val="009A58DE"/>
    <w:pPr>
      <w:numPr>
        <w:numId w:val="3"/>
      </w:numPr>
      <w:spacing w:after="240"/>
    </w:pPr>
    <w:rPr>
      <w:rFonts w:ascii="Arial" w:hAnsi="Arial"/>
      <w:bCs/>
      <w:color w:val="000000"/>
    </w:rPr>
  </w:style>
  <w:style w:type="character" w:customStyle="1" w:styleId="Heading3Char">
    <w:name w:val="Heading 3 Char"/>
    <w:aliases w:val="Dain Heading 3 Char"/>
    <w:link w:val="Heading3"/>
    <w:rsid w:val="00787572"/>
    <w:rPr>
      <w:rFonts w:ascii="Arial" w:hAnsi="Arial"/>
      <w:b/>
      <w:bCs/>
      <w:color w:val="800000"/>
      <w:sz w:val="24"/>
      <w:szCs w:val="26"/>
    </w:rPr>
  </w:style>
  <w:style w:type="character" w:styleId="CommentReference">
    <w:name w:val="annotation reference"/>
    <w:semiHidden/>
    <w:rsid w:val="00EE7051"/>
    <w:rPr>
      <w:sz w:val="16"/>
      <w:szCs w:val="16"/>
    </w:rPr>
  </w:style>
  <w:style w:type="paragraph" w:styleId="CommentText">
    <w:name w:val="annotation text"/>
    <w:basedOn w:val="Normal"/>
    <w:link w:val="CommentTextChar"/>
    <w:semiHidden/>
    <w:rsid w:val="00EE7051"/>
  </w:style>
  <w:style w:type="paragraph" w:styleId="CommentSubject">
    <w:name w:val="annotation subject"/>
    <w:basedOn w:val="CommentText"/>
    <w:next w:val="CommentText"/>
    <w:semiHidden/>
    <w:rsid w:val="00EE7051"/>
    <w:rPr>
      <w:b/>
      <w:bCs/>
    </w:rPr>
  </w:style>
  <w:style w:type="table" w:styleId="TableGrid">
    <w:name w:val="Table Grid"/>
    <w:basedOn w:val="TableNormal"/>
    <w:uiPriority w:val="39"/>
    <w:rsid w:val="009A58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thbullet">
    <w:name w:val="4th bullet"/>
    <w:basedOn w:val="Normal"/>
    <w:rsid w:val="00D433AE"/>
    <w:pPr>
      <w:numPr>
        <w:numId w:val="2"/>
      </w:numPr>
    </w:pPr>
  </w:style>
  <w:style w:type="paragraph" w:customStyle="1" w:styleId="LightGrid-Accent31">
    <w:name w:val="Light Grid - Accent 31"/>
    <w:basedOn w:val="Normal"/>
    <w:uiPriority w:val="34"/>
    <w:qFormat/>
    <w:rsid w:val="00F73127"/>
    <w:pPr>
      <w:ind w:left="720"/>
      <w:contextualSpacing/>
    </w:pPr>
    <w:rPr>
      <w:rFonts w:ascii="Calibri" w:eastAsia="Calibri" w:hAnsi="Calibri"/>
      <w:sz w:val="22"/>
      <w:szCs w:val="22"/>
    </w:rPr>
  </w:style>
  <w:style w:type="character" w:customStyle="1" w:styleId="NormalWebChar">
    <w:name w:val="Normal (Web) Char"/>
    <w:link w:val="NormalWeb"/>
    <w:locked/>
    <w:rsid w:val="009A58DE"/>
    <w:rPr>
      <w:rFonts w:ascii="Verdana" w:eastAsia="Arial Unicode MS" w:hAnsi="Verdana" w:cs="Arial Unicode MS"/>
      <w:color w:val="000000"/>
      <w:sz w:val="18"/>
      <w:szCs w:val="18"/>
    </w:rPr>
  </w:style>
  <w:style w:type="paragraph" w:customStyle="1" w:styleId="LightList-Accent31">
    <w:name w:val="Light List - Accent 31"/>
    <w:hidden/>
    <w:uiPriority w:val="99"/>
    <w:semiHidden/>
    <w:rsid w:val="00742063"/>
    <w:rPr>
      <w:rFonts w:ascii="Arial" w:hAnsi="Arial"/>
      <w:sz w:val="24"/>
      <w:szCs w:val="24"/>
    </w:rPr>
  </w:style>
  <w:style w:type="paragraph" w:styleId="BodyText2">
    <w:name w:val="Body Text 2"/>
    <w:basedOn w:val="Normal"/>
    <w:link w:val="BodyText2Char"/>
    <w:rsid w:val="00435B61"/>
    <w:pPr>
      <w:spacing w:line="480" w:lineRule="auto"/>
    </w:pPr>
  </w:style>
  <w:style w:type="character" w:customStyle="1" w:styleId="BodyText2Char">
    <w:name w:val="Body Text 2 Char"/>
    <w:link w:val="BodyText2"/>
    <w:rsid w:val="00435B61"/>
    <w:rPr>
      <w:rFonts w:ascii="Arial" w:hAnsi="Arial"/>
      <w:sz w:val="24"/>
      <w:szCs w:val="24"/>
    </w:rPr>
  </w:style>
  <w:style w:type="paragraph" w:customStyle="1" w:styleId="BodyTextBoldRed">
    <w:name w:val="Body Text Bold Red"/>
    <w:autoRedefine/>
    <w:rsid w:val="00160EF1"/>
    <w:rPr>
      <w:rFonts w:ascii="Verdana" w:hAnsi="Verdana"/>
      <w:b/>
      <w:color w:val="FF0000"/>
      <w:sz w:val="20"/>
      <w:szCs w:val="20"/>
    </w:rPr>
  </w:style>
  <w:style w:type="character" w:customStyle="1" w:styleId="CommentTextChar">
    <w:name w:val="Comment Text Char"/>
    <w:link w:val="CommentText"/>
    <w:semiHidden/>
    <w:rsid w:val="002D52FF"/>
    <w:rPr>
      <w:rFonts w:ascii="Arial" w:hAnsi="Arial"/>
    </w:rPr>
  </w:style>
  <w:style w:type="paragraph" w:styleId="BodyText3">
    <w:name w:val="Body Text 3"/>
    <w:basedOn w:val="Normal"/>
    <w:link w:val="BodyText3Char"/>
    <w:rsid w:val="005F37C9"/>
    <w:rPr>
      <w:sz w:val="16"/>
      <w:szCs w:val="16"/>
    </w:rPr>
  </w:style>
  <w:style w:type="character" w:customStyle="1" w:styleId="BodyText3Char">
    <w:name w:val="Body Text 3 Char"/>
    <w:link w:val="BodyText3"/>
    <w:rsid w:val="005F37C9"/>
    <w:rPr>
      <w:rFonts w:ascii="Arial" w:hAnsi="Arial"/>
      <w:sz w:val="16"/>
      <w:szCs w:val="16"/>
    </w:rPr>
  </w:style>
  <w:style w:type="paragraph" w:customStyle="1" w:styleId="ReviewAnswer">
    <w:name w:val="Review Answer"/>
    <w:qFormat/>
    <w:rsid w:val="009A58DE"/>
    <w:pPr>
      <w:spacing w:before="120" w:after="120"/>
      <w:ind w:left="1080"/>
    </w:pPr>
    <w:rPr>
      <w:rFonts w:ascii="Verdana" w:hAnsi="Verdana"/>
      <w:color w:val="244061"/>
    </w:rPr>
  </w:style>
  <w:style w:type="paragraph" w:customStyle="1" w:styleId="Answer">
    <w:name w:val="Answer"/>
    <w:qFormat/>
    <w:rsid w:val="009A58DE"/>
    <w:rPr>
      <w:rFonts w:ascii="Verdana" w:hAnsi="Verdana"/>
      <w:color w:val="244061"/>
    </w:rPr>
  </w:style>
  <w:style w:type="character" w:customStyle="1" w:styleId="BodyTextChar">
    <w:name w:val="Body Text Char"/>
    <w:link w:val="BodyText"/>
    <w:rsid w:val="009A58DE"/>
    <w:rPr>
      <w:rFonts w:ascii="Verdana" w:hAnsi="Verdana" w:cs="Arial"/>
      <w:color w:val="000000"/>
      <w:szCs w:val="12"/>
    </w:rPr>
  </w:style>
  <w:style w:type="paragraph" w:customStyle="1" w:styleId="SubtitlesonPage">
    <w:name w:val="Subtitles on Page"/>
    <w:link w:val="SubtitlesonPageChar"/>
    <w:qFormat/>
    <w:rsid w:val="009A58DE"/>
    <w:pPr>
      <w:spacing w:after="60"/>
    </w:pPr>
    <w:rPr>
      <w:rFonts w:ascii="Verdana" w:hAnsi="Verdana"/>
      <w:b/>
      <w:bCs/>
      <w:color w:val="1F497D"/>
      <w:sz w:val="22"/>
      <w:szCs w:val="26"/>
    </w:rPr>
  </w:style>
  <w:style w:type="character" w:customStyle="1" w:styleId="SubtitlesonPageChar">
    <w:name w:val="Subtitles on Page Char"/>
    <w:link w:val="SubtitlesonPage"/>
    <w:rsid w:val="009A58DE"/>
    <w:rPr>
      <w:rFonts w:ascii="Verdana" w:hAnsi="Verdana" w:cs="Arial"/>
      <w:b/>
      <w:bCs/>
      <w:color w:val="1F497D"/>
      <w:sz w:val="22"/>
      <w:szCs w:val="26"/>
    </w:rPr>
  </w:style>
  <w:style w:type="paragraph" w:customStyle="1" w:styleId="Sub-Headings">
    <w:name w:val="Sub-Headings"/>
    <w:link w:val="Sub-HeadingsChar"/>
    <w:qFormat/>
    <w:rsid w:val="009A58DE"/>
    <w:pPr>
      <w:spacing w:after="60"/>
    </w:pPr>
    <w:rPr>
      <w:rFonts w:ascii="Verdana" w:hAnsi="Verdana"/>
      <w:b/>
      <w:bCs/>
      <w:color w:val="1F497D"/>
      <w:sz w:val="22"/>
      <w:szCs w:val="26"/>
    </w:rPr>
  </w:style>
  <w:style w:type="character" w:customStyle="1" w:styleId="Sub-HeadingsChar">
    <w:name w:val="Sub-Headings Char"/>
    <w:link w:val="Sub-Headings"/>
    <w:rsid w:val="009A58DE"/>
    <w:rPr>
      <w:rFonts w:ascii="Verdana" w:hAnsi="Verdana" w:cs="Arial"/>
      <w:b/>
      <w:bCs/>
      <w:color w:val="1F497D"/>
      <w:sz w:val="22"/>
      <w:szCs w:val="26"/>
    </w:rPr>
  </w:style>
  <w:style w:type="paragraph" w:customStyle="1" w:styleId="Objectives">
    <w:name w:val="Objectives"/>
    <w:basedOn w:val="Heading3"/>
    <w:link w:val="ObjectivesChar"/>
    <w:qFormat/>
    <w:rsid w:val="009A58DE"/>
    <w:pPr>
      <w:spacing w:after="60"/>
    </w:pPr>
    <w:rPr>
      <w:rFonts w:ascii="Verdana" w:hAnsi="Verdana"/>
      <w:color w:val="1F497D"/>
      <w:sz w:val="22"/>
    </w:rPr>
  </w:style>
  <w:style w:type="character" w:customStyle="1" w:styleId="ObjectivesChar">
    <w:name w:val="Objectives Char"/>
    <w:link w:val="Objectives"/>
    <w:rsid w:val="009A58DE"/>
    <w:rPr>
      <w:rFonts w:ascii="Verdana" w:hAnsi="Verdana" w:cs="Arial"/>
      <w:b/>
      <w:bCs/>
      <w:color w:val="1F497D"/>
      <w:sz w:val="22"/>
      <w:szCs w:val="26"/>
    </w:rPr>
  </w:style>
  <w:style w:type="paragraph" w:customStyle="1" w:styleId="FirstPageTitleText">
    <w:name w:val="First Page Title Text"/>
    <w:basedOn w:val="Normal"/>
    <w:qFormat/>
    <w:rsid w:val="009A58DE"/>
    <w:rPr>
      <w:rFonts w:ascii="Trebuchet MS" w:hAnsi="Trebuchet MS"/>
      <w:b/>
      <w:color w:val="183864"/>
      <w:sz w:val="44"/>
      <w:szCs w:val="72"/>
    </w:rPr>
  </w:style>
  <w:style w:type="character" w:customStyle="1" w:styleId="RolloverHeadingChar">
    <w:name w:val="Rollover Heading Char"/>
    <w:link w:val="RolloverHeading"/>
    <w:rsid w:val="009A58DE"/>
    <w:rPr>
      <w:rFonts w:ascii="Verdana" w:hAnsi="Verdana" w:cs="Arial"/>
      <w:b/>
      <w:color w:val="0000FF"/>
    </w:rPr>
  </w:style>
  <w:style w:type="character" w:customStyle="1" w:styleId="RolloverTextChar">
    <w:name w:val="Rollover Text Char"/>
    <w:link w:val="RolloverText"/>
    <w:rsid w:val="009A58DE"/>
    <w:rPr>
      <w:rFonts w:ascii="Verdana" w:hAnsi="Verdana" w:cs="Arial"/>
      <w:color w:val="0000FF"/>
    </w:rPr>
  </w:style>
  <w:style w:type="character" w:customStyle="1" w:styleId="RolloverBulletChar">
    <w:name w:val="Rollover Bullet Char"/>
    <w:link w:val="RolloverBullet"/>
    <w:rsid w:val="009A58DE"/>
    <w:rPr>
      <w:rFonts w:ascii="Verdana" w:hAnsi="Verdana" w:cs="Arial"/>
      <w:color w:val="0000FF"/>
    </w:rPr>
  </w:style>
  <w:style w:type="character" w:customStyle="1" w:styleId="HeaderChar">
    <w:name w:val="Header Char"/>
    <w:link w:val="Header"/>
    <w:rsid w:val="00A71217"/>
    <w:rPr>
      <w:rFonts w:ascii="Verdana" w:hAnsi="Verdana" w:cs="Arial"/>
    </w:rPr>
  </w:style>
  <w:style w:type="character" w:customStyle="1" w:styleId="Heading2Char">
    <w:name w:val="Heading 2 Char"/>
    <w:link w:val="Heading2"/>
    <w:rsid w:val="004A044E"/>
    <w:rPr>
      <w:rFonts w:ascii="Verdana" w:hAnsi="Verdana"/>
      <w:b/>
      <w:bCs/>
      <w:color w:val="1F4E79"/>
      <w:sz w:val="28"/>
      <w:szCs w:val="40"/>
    </w:rPr>
  </w:style>
  <w:style w:type="paragraph" w:customStyle="1" w:styleId="directions">
    <w:name w:val="directions"/>
    <w:basedOn w:val="BodyText"/>
    <w:link w:val="directionsChar"/>
    <w:qFormat/>
    <w:rsid w:val="00A14084"/>
    <w:pPr>
      <w:spacing w:before="0" w:after="200" w:line="276" w:lineRule="auto"/>
    </w:pPr>
    <w:rPr>
      <w:rFonts w:ascii="Calibri" w:eastAsia="Calibri" w:hAnsi="Calibri" w:cs="Times New Roman"/>
      <w:b/>
      <w:color w:val="943634"/>
      <w:sz w:val="22"/>
      <w:szCs w:val="20"/>
    </w:rPr>
  </w:style>
  <w:style w:type="character" w:customStyle="1" w:styleId="directionsChar">
    <w:name w:val="directions Char"/>
    <w:link w:val="directions"/>
    <w:rsid w:val="00A14084"/>
    <w:rPr>
      <w:rFonts w:ascii="Calibri" w:eastAsia="Calibri" w:hAnsi="Calibri"/>
      <w:b/>
      <w:color w:val="943634"/>
      <w:sz w:val="22"/>
    </w:rPr>
  </w:style>
  <w:style w:type="paragraph" w:styleId="Revision">
    <w:name w:val="Revision"/>
    <w:hidden/>
    <w:uiPriority w:val="71"/>
    <w:rsid w:val="00D55200"/>
    <w:rPr>
      <w:rFonts w:ascii="Verdana" w:hAnsi="Verdana"/>
    </w:rPr>
  </w:style>
  <w:style w:type="paragraph" w:styleId="ListParagraph">
    <w:name w:val="List Paragraph"/>
    <w:basedOn w:val="Normal"/>
    <w:uiPriority w:val="34"/>
    <w:qFormat/>
    <w:rsid w:val="009D1AA2"/>
    <w:pPr>
      <w:spacing w:before="0"/>
      <w:ind w:left="720"/>
      <w:contextualSpacing/>
    </w:pPr>
    <w:rPr>
      <w:rFonts w:eastAsiaTheme="minorHAnsi" w:cstheme="minorBidi"/>
      <w:color w:val="404040" w:themeColor="text1" w:themeTint="BF"/>
      <w:szCs w:val="24"/>
    </w:rPr>
  </w:style>
  <w:style w:type="paragraph" w:styleId="FootnoteText">
    <w:name w:val="footnote text"/>
    <w:basedOn w:val="Normal"/>
    <w:link w:val="FootnoteTextChar"/>
    <w:uiPriority w:val="99"/>
    <w:unhideWhenUsed/>
    <w:rsid w:val="00D957AE"/>
    <w:pPr>
      <w:spacing w:before="0" w:after="0"/>
    </w:pPr>
    <w:rPr>
      <w:rFonts w:eastAsiaTheme="minorHAnsi" w:cstheme="minorBidi"/>
      <w:color w:val="404040" w:themeColor="text1" w:themeTint="BF"/>
      <w:sz w:val="24"/>
      <w:szCs w:val="24"/>
    </w:rPr>
  </w:style>
  <w:style w:type="character" w:customStyle="1" w:styleId="FootnoteTextChar">
    <w:name w:val="Footnote Text Char"/>
    <w:basedOn w:val="DefaultParagraphFont"/>
    <w:link w:val="FootnoteText"/>
    <w:uiPriority w:val="99"/>
    <w:rsid w:val="00D957AE"/>
    <w:rPr>
      <w:rFonts w:eastAsiaTheme="minorHAnsi" w:cstheme="minorBidi"/>
      <w:color w:val="404040" w:themeColor="text1" w:themeTint="BF"/>
      <w:sz w:val="24"/>
      <w:szCs w:val="24"/>
    </w:rPr>
  </w:style>
  <w:style w:type="character" w:styleId="FootnoteReference">
    <w:name w:val="footnote reference"/>
    <w:basedOn w:val="DefaultParagraphFont"/>
    <w:uiPriority w:val="99"/>
    <w:unhideWhenUsed/>
    <w:rsid w:val="00D957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819563">
      <w:bodyDiv w:val="1"/>
      <w:marLeft w:val="0"/>
      <w:marRight w:val="0"/>
      <w:marTop w:val="0"/>
      <w:marBottom w:val="0"/>
      <w:divBdr>
        <w:top w:val="none" w:sz="0" w:space="0" w:color="auto"/>
        <w:left w:val="none" w:sz="0" w:space="0" w:color="auto"/>
        <w:bottom w:val="none" w:sz="0" w:space="0" w:color="auto"/>
        <w:right w:val="none" w:sz="0" w:space="0" w:color="auto"/>
      </w:divBdr>
    </w:div>
    <w:div w:id="1534659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2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jpeg"/><Relationship Id="rId23" Type="http://schemas.microsoft.com/office/2011/relationships/commentsExtended" Target="commentsExtended.xml"/><Relationship Id="rId10" Type="http://schemas.openxmlformats.org/officeDocument/2006/relationships/hyperlink" Target="http://www.greeneconsult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D1F0B-F805-0545-A8D0-9F8909BA1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In Development\Template\EPUB New Course Template.dotx</Template>
  <TotalTime>103</TotalTime>
  <Pages>24</Pages>
  <Words>4771</Words>
  <Characters>27199</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Transfer Taxation Part 1: Common Elements of Estate and Gift Taxes</vt:lpstr>
    </vt:vector>
  </TitlesOfParts>
  <Company>Hicks Attorney at Law</Company>
  <LinksUpToDate>false</LinksUpToDate>
  <CharactersWithSpaces>31907</CharactersWithSpaces>
  <SharedDoc>false</SharedDoc>
  <HLinks>
    <vt:vector size="54" baseType="variant">
      <vt:variant>
        <vt:i4>655407</vt:i4>
      </vt:variant>
      <vt:variant>
        <vt:i4>0</vt:i4>
      </vt:variant>
      <vt:variant>
        <vt:i4>0</vt:i4>
      </vt:variant>
      <vt:variant>
        <vt:i4>5</vt:i4>
      </vt:variant>
      <vt:variant>
        <vt:lpwstr>http://www.greeneconsults.com</vt:lpwstr>
      </vt:variant>
      <vt:variant>
        <vt:lpwstr/>
      </vt:variant>
      <vt:variant>
        <vt:i4>3014660</vt:i4>
      </vt:variant>
      <vt:variant>
        <vt:i4>7633</vt:i4>
      </vt:variant>
      <vt:variant>
        <vt:i4>1025</vt:i4>
      </vt:variant>
      <vt:variant>
        <vt:i4>1</vt:i4>
      </vt:variant>
      <vt:variant>
        <vt:lpwstr>History of Transfer Taxes 1</vt:lpwstr>
      </vt:variant>
      <vt:variant>
        <vt:lpwstr/>
      </vt:variant>
      <vt:variant>
        <vt:i4>3014663</vt:i4>
      </vt:variant>
      <vt:variant>
        <vt:i4>7635</vt:i4>
      </vt:variant>
      <vt:variant>
        <vt:i4>1026</vt:i4>
      </vt:variant>
      <vt:variant>
        <vt:i4>1</vt:i4>
      </vt:variant>
      <vt:variant>
        <vt:lpwstr>History of Transfer Taxes 2</vt:lpwstr>
      </vt:variant>
      <vt:variant>
        <vt:lpwstr/>
      </vt:variant>
      <vt:variant>
        <vt:i4>7340111</vt:i4>
      </vt:variant>
      <vt:variant>
        <vt:i4>13101</vt:i4>
      </vt:variant>
      <vt:variant>
        <vt:i4>1027</vt:i4>
      </vt:variant>
      <vt:variant>
        <vt:i4>1</vt:i4>
      </vt:variant>
      <vt:variant>
        <vt:lpwstr>commanelements1</vt:lpwstr>
      </vt:variant>
      <vt:variant>
        <vt:lpwstr/>
      </vt:variant>
      <vt:variant>
        <vt:i4>7143531</vt:i4>
      </vt:variant>
      <vt:variant>
        <vt:i4>21319</vt:i4>
      </vt:variant>
      <vt:variant>
        <vt:i4>1029</vt:i4>
      </vt:variant>
      <vt:variant>
        <vt:i4>1</vt:i4>
      </vt:variant>
      <vt:variant>
        <vt:lpwstr>Common Elements of Gift and Estate Taxes 1</vt:lpwstr>
      </vt:variant>
      <vt:variant>
        <vt:lpwstr/>
      </vt:variant>
      <vt:variant>
        <vt:i4>7209067</vt:i4>
      </vt:variant>
      <vt:variant>
        <vt:i4>36580</vt:i4>
      </vt:variant>
      <vt:variant>
        <vt:i4>1030</vt:i4>
      </vt:variant>
      <vt:variant>
        <vt:i4>1</vt:i4>
      </vt:variant>
      <vt:variant>
        <vt:lpwstr>Common Elements of Gift and Estate Taxes 2</vt:lpwstr>
      </vt:variant>
      <vt:variant>
        <vt:lpwstr/>
      </vt:variant>
      <vt:variant>
        <vt:i4>7274603</vt:i4>
      </vt:variant>
      <vt:variant>
        <vt:i4>45656</vt:i4>
      </vt:variant>
      <vt:variant>
        <vt:i4>1031</vt:i4>
      </vt:variant>
      <vt:variant>
        <vt:i4>1</vt:i4>
      </vt:variant>
      <vt:variant>
        <vt:lpwstr>Common Elements of Gift and Estate Taxes 3</vt:lpwstr>
      </vt:variant>
      <vt:variant>
        <vt:lpwstr/>
      </vt:variant>
      <vt:variant>
        <vt:i4>2818105</vt:i4>
      </vt:variant>
      <vt:variant>
        <vt:i4>-1</vt:i4>
      </vt:variant>
      <vt:variant>
        <vt:i4>2058</vt:i4>
      </vt:variant>
      <vt:variant>
        <vt:i4>1</vt:i4>
      </vt:variant>
      <vt:variant>
        <vt:lpwstr>gca logo_whitespace</vt:lpwstr>
      </vt:variant>
      <vt:variant>
        <vt:lpwstr/>
      </vt:variant>
      <vt:variant>
        <vt:i4>2818105</vt:i4>
      </vt:variant>
      <vt:variant>
        <vt:i4>-1</vt:i4>
      </vt:variant>
      <vt:variant>
        <vt:i4>1026</vt:i4>
      </vt:variant>
      <vt:variant>
        <vt:i4>1</vt:i4>
      </vt:variant>
      <vt:variant>
        <vt:lpwstr>gca logo_whitespace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 Taxation Part 1: Common Elements of Estate and Gift Taxes</dc:title>
  <dc:subject/>
  <dc:creator>Gloria </dc:creator>
  <cp:keywords/>
  <dc:description/>
  <cp:lastModifiedBy>Patti Lee</cp:lastModifiedBy>
  <cp:revision>20</cp:revision>
  <cp:lastPrinted>2016-02-23T21:55:00Z</cp:lastPrinted>
  <dcterms:created xsi:type="dcterms:W3CDTF">2015-08-17T20:50:00Z</dcterms:created>
  <dcterms:modified xsi:type="dcterms:W3CDTF">2016-02-23T21:56:00Z</dcterms:modified>
</cp:coreProperties>
</file>