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830CC" w14:textId="77777777" w:rsidR="00042E35" w:rsidRDefault="00042E35" w:rsidP="00042E35">
      <w:bookmarkStart w:id="0" w:name="_GoBack"/>
      <w:bookmarkEnd w:id="0"/>
    </w:p>
    <w:p w14:paraId="1E14C5FF" w14:textId="77777777" w:rsidR="00042E35" w:rsidRDefault="00042E35" w:rsidP="00042E35"/>
    <w:p w14:paraId="1DFC90D8" w14:textId="77777777" w:rsidR="00042E35" w:rsidRDefault="00042E35" w:rsidP="00042E35"/>
    <w:p w14:paraId="7D4D73B3" w14:textId="77777777" w:rsidR="00042E35" w:rsidRDefault="00042E35" w:rsidP="00042E35"/>
    <w:p w14:paraId="1F5C93F0" w14:textId="77777777" w:rsidR="00042E35" w:rsidRDefault="00042E35" w:rsidP="00042E35"/>
    <w:p w14:paraId="3DA4260B" w14:textId="77777777" w:rsidR="00042E35" w:rsidRDefault="00703499" w:rsidP="00042E35">
      <w:pPr>
        <w:jc w:val="right"/>
      </w:pPr>
      <w:r>
        <w:rPr>
          <w:noProof/>
          <w:lang w:eastAsia="zh-CN"/>
        </w:rPr>
        <w:drawing>
          <wp:inline distT="0" distB="0" distL="0" distR="0" wp14:anchorId="059F7573" wp14:editId="51698023">
            <wp:extent cx="1544320" cy="426720"/>
            <wp:effectExtent l="0" t="0" r="5080" b="5080"/>
            <wp:docPr id="12"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4320" cy="426720"/>
                    </a:xfrm>
                    <a:prstGeom prst="rect">
                      <a:avLst/>
                    </a:prstGeom>
                    <a:noFill/>
                    <a:ln>
                      <a:noFill/>
                    </a:ln>
                  </pic:spPr>
                </pic:pic>
              </a:graphicData>
            </a:graphic>
          </wp:inline>
        </w:drawing>
      </w:r>
    </w:p>
    <w:p w14:paraId="5D545540" w14:textId="77777777" w:rsidR="00042E35" w:rsidRDefault="00042E35" w:rsidP="00042E35">
      <w:pPr>
        <w:jc w:val="right"/>
      </w:pPr>
    </w:p>
    <w:p w14:paraId="07576F9D" w14:textId="77777777" w:rsidR="00042E35" w:rsidRDefault="00042E35" w:rsidP="00042E35">
      <w:pPr>
        <w:jc w:val="right"/>
      </w:pPr>
      <w:r>
        <w:t>_________________________________________________________________________</w:t>
      </w:r>
    </w:p>
    <w:p w14:paraId="40619B13" w14:textId="77777777" w:rsidR="00042E35" w:rsidRDefault="00042E35" w:rsidP="00042E35">
      <w:pPr>
        <w:jc w:val="right"/>
        <w:rPr>
          <w:b/>
          <w:color w:val="183864"/>
          <w:sz w:val="44"/>
          <w:szCs w:val="72"/>
        </w:rPr>
      </w:pPr>
    </w:p>
    <w:p w14:paraId="7B86F4DA" w14:textId="77777777" w:rsidR="00042E35" w:rsidRDefault="00042E35" w:rsidP="00042E35">
      <w:pPr>
        <w:spacing w:after="0"/>
        <w:jc w:val="right"/>
        <w:rPr>
          <w:b/>
          <w:color w:val="183864"/>
          <w:sz w:val="44"/>
          <w:szCs w:val="72"/>
        </w:rPr>
      </w:pPr>
      <w:r>
        <w:rPr>
          <w:color w:val="183864"/>
          <w:sz w:val="44"/>
          <w:szCs w:val="72"/>
        </w:rPr>
        <w:t xml:space="preserve"> </w:t>
      </w:r>
      <w:r>
        <w:rPr>
          <w:b/>
          <w:color w:val="183864"/>
          <w:sz w:val="44"/>
          <w:szCs w:val="72"/>
        </w:rPr>
        <w:t>Transfer Taxation Part 3:</w:t>
      </w:r>
    </w:p>
    <w:p w14:paraId="036C3DF2" w14:textId="77777777" w:rsidR="00042E35" w:rsidRDefault="00042E35" w:rsidP="00042E35">
      <w:pPr>
        <w:spacing w:before="0"/>
        <w:jc w:val="right"/>
        <w:rPr>
          <w:b/>
          <w:color w:val="183864"/>
          <w:sz w:val="44"/>
          <w:szCs w:val="72"/>
        </w:rPr>
      </w:pPr>
      <w:r>
        <w:rPr>
          <w:b/>
          <w:color w:val="183864"/>
          <w:sz w:val="44"/>
          <w:szCs w:val="72"/>
        </w:rPr>
        <w:t>GST and Income Taxes</w:t>
      </w:r>
    </w:p>
    <w:p w14:paraId="6A910C02" w14:textId="77777777" w:rsidR="00042E35" w:rsidRDefault="00042E35" w:rsidP="00042E35"/>
    <w:p w14:paraId="5986912D" w14:textId="77777777" w:rsidR="00042E35" w:rsidRDefault="00042E35" w:rsidP="00042E35"/>
    <w:p w14:paraId="1A7C4D22" w14:textId="77777777" w:rsidR="00042E35" w:rsidRDefault="00042E35" w:rsidP="00042E35"/>
    <w:p w14:paraId="2DA7C667" w14:textId="77777777" w:rsidR="00042E35" w:rsidRDefault="00042E35" w:rsidP="00042E35"/>
    <w:p w14:paraId="187327F9" w14:textId="77777777" w:rsidR="00042E35" w:rsidRDefault="00042E35" w:rsidP="00042E35"/>
    <w:p w14:paraId="14D14B09" w14:textId="77777777" w:rsidR="00042E35" w:rsidRDefault="00042E35" w:rsidP="00042E35"/>
    <w:p w14:paraId="3C384800" w14:textId="7DF606CC" w:rsidR="00042E35" w:rsidRPr="008771A6" w:rsidRDefault="00042E35" w:rsidP="00042E35">
      <w:r w:rsidRPr="00FE688F">
        <w:t xml:space="preserve">© </w:t>
      </w:r>
      <w:r w:rsidR="00042D33">
        <w:t>2016</w:t>
      </w:r>
      <w:r w:rsidR="00042D33"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562EF686" w14:textId="77777777" w:rsidR="00042E35" w:rsidRDefault="00042E35" w:rsidP="00042E35"/>
    <w:p w14:paraId="62B45A4E" w14:textId="77777777" w:rsidR="00E82306" w:rsidRDefault="00042E35" w:rsidP="00AE5FBF">
      <w:pPr>
        <w:pStyle w:val="Heading2"/>
      </w:pPr>
      <w:r>
        <w:br w:type="page"/>
      </w:r>
      <w:r w:rsidR="00E82306">
        <w:lastRenderedPageBreak/>
        <w:t>ABOUT GREENE CONSULTING ASSOCIATES, LLC</w:t>
      </w:r>
    </w:p>
    <w:p w14:paraId="3BF94431" w14:textId="77777777" w:rsidR="00E82306" w:rsidRPr="00A84723" w:rsidRDefault="00E82306" w:rsidP="00AE5FBF">
      <w:r w:rsidRPr="00A84723">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6F40A1">
        <w:t>a</w:t>
      </w:r>
      <w:r w:rsidR="006F40A1" w:rsidRPr="00A84723">
        <w:t xml:space="preserve"> </w:t>
      </w:r>
      <w:r w:rsidRPr="00A84723">
        <w:t xml:space="preserve">comprehensive suite of online learning </w:t>
      </w:r>
      <w:r w:rsidR="006F40A1">
        <w:t>courses</w:t>
      </w:r>
      <w:r w:rsidR="006F40A1" w:rsidRPr="00A84723">
        <w:t xml:space="preserve"> </w:t>
      </w:r>
      <w:r w:rsidRPr="00A84723">
        <w:t xml:space="preserve">related to investments and wealth management. </w:t>
      </w:r>
    </w:p>
    <w:p w14:paraId="64B9EE2E" w14:textId="77777777" w:rsidR="00E82306" w:rsidRDefault="00E82306" w:rsidP="00AE5FBF">
      <w:r w:rsidRPr="00A84723">
        <w:t xml:space="preserve">For more information about Greene Consulting or any of its products and services, write Greene Consulting at </w:t>
      </w:r>
      <w:proofErr w:type="spellStart"/>
      <w:r w:rsidR="00976E1F">
        <w:t>Waterstone</w:t>
      </w:r>
      <w:proofErr w:type="spellEnd"/>
      <w:r w:rsidR="00976E1F">
        <w:t xml:space="preserve"> Building, 4751 Best Road, Suite 450, Atlanta, </w:t>
      </w:r>
      <w:proofErr w:type="gramStart"/>
      <w:r w:rsidR="00976E1F">
        <w:t>Georgia  30337</w:t>
      </w:r>
      <w:proofErr w:type="gramEnd"/>
      <w:r w:rsidRPr="00A84723">
        <w:t xml:space="preserve">. Or, visit the company's website at </w:t>
      </w:r>
      <w:r w:rsidRPr="00811B59">
        <w:t>www.greeneconsults.com</w:t>
      </w:r>
      <w:r w:rsidRPr="00A84723">
        <w:t>.</w:t>
      </w:r>
    </w:p>
    <w:p w14:paraId="4BF34782" w14:textId="77777777" w:rsidR="00042E35" w:rsidRDefault="00042E35" w:rsidP="00AE5FBF">
      <w:pPr>
        <w:spacing w:before="0" w:after="0"/>
      </w:pPr>
    </w:p>
    <w:p w14:paraId="50C9E233" w14:textId="77777777" w:rsidR="00996761" w:rsidRDefault="00042E35">
      <w:pPr>
        <w:spacing w:before="0" w:after="0"/>
      </w:pPr>
      <w:r>
        <w:br w:type="page"/>
      </w:r>
    </w:p>
    <w:p w14:paraId="33C6EE5D" w14:textId="77777777" w:rsidR="00996761" w:rsidRDefault="00996761" w:rsidP="00996761">
      <w:pPr>
        <w:pStyle w:val="Heading4"/>
        <w:jc w:val="center"/>
      </w:pPr>
      <w:r>
        <w:lastRenderedPageBreak/>
        <w:t>Table of Contents</w:t>
      </w:r>
    </w:p>
    <w:p w14:paraId="6CC9A138" w14:textId="77777777" w:rsidR="00996761" w:rsidRDefault="00996761" w:rsidP="00996761">
      <w:pPr>
        <w:pStyle w:val="TableofContentsText"/>
      </w:pPr>
    </w:p>
    <w:p w14:paraId="71B32E9D" w14:textId="77777777" w:rsidR="00996761" w:rsidRDefault="00996761" w:rsidP="00996761">
      <w:pPr>
        <w:rPr>
          <w:rFonts w:eastAsia="Arial Unicode MS" w:cs="Arial Unicode MS"/>
        </w:rPr>
      </w:pPr>
      <w:r>
        <w:t xml:space="preserve">Introduction </w:t>
      </w:r>
    </w:p>
    <w:p w14:paraId="02102C28" w14:textId="77777777" w:rsidR="00996761" w:rsidRDefault="00996761" w:rsidP="00996761">
      <w:pPr>
        <w:rPr>
          <w:rFonts w:eastAsia="Arial Unicode MS" w:cs="Arial Unicode MS"/>
        </w:rPr>
      </w:pPr>
      <w:r>
        <w:t xml:space="preserve">Generation Skipping Transfer Taxes </w:t>
      </w:r>
    </w:p>
    <w:p w14:paraId="417ABC65" w14:textId="77777777" w:rsidR="00996761" w:rsidRDefault="00996761" w:rsidP="00996761">
      <w:pPr>
        <w:rPr>
          <w:rFonts w:eastAsia="Arial Unicode MS" w:cs="Arial Unicode MS"/>
        </w:rPr>
      </w:pPr>
      <w:r>
        <w:t xml:space="preserve">Identifying Skip Persons </w:t>
      </w:r>
    </w:p>
    <w:p w14:paraId="1C9A3B93" w14:textId="77777777" w:rsidR="00996761" w:rsidRDefault="00996761" w:rsidP="00996761">
      <w:pPr>
        <w:rPr>
          <w:rFonts w:eastAsia="Arial Unicode MS" w:cs="Arial Unicode MS"/>
        </w:rPr>
      </w:pPr>
      <w:r>
        <w:t xml:space="preserve">Predeceased Parents </w:t>
      </w:r>
    </w:p>
    <w:p w14:paraId="63EC2874" w14:textId="77777777" w:rsidR="00996761" w:rsidRDefault="00996761" w:rsidP="00996761">
      <w:pPr>
        <w:rPr>
          <w:rFonts w:eastAsia="Arial Unicode MS" w:cs="Arial Unicode MS"/>
        </w:rPr>
      </w:pPr>
      <w:r>
        <w:t xml:space="preserve">Identifying Triggering Events </w:t>
      </w:r>
    </w:p>
    <w:p w14:paraId="75D8D0DD" w14:textId="77777777" w:rsidR="00996761" w:rsidRDefault="00996761" w:rsidP="00996761">
      <w:r>
        <w:t>The GST Tax Rate and Exemption</w:t>
      </w:r>
    </w:p>
    <w:p w14:paraId="19D1AF9D" w14:textId="77777777" w:rsidR="00996761" w:rsidRDefault="00996761" w:rsidP="00996761">
      <w:pPr>
        <w:rPr>
          <w:rFonts w:eastAsia="Arial Unicode MS" w:cs="Arial Unicode MS"/>
        </w:rPr>
      </w:pPr>
      <w:r>
        <w:t xml:space="preserve">Review Exercise </w:t>
      </w:r>
    </w:p>
    <w:p w14:paraId="1C4AE14B" w14:textId="77777777" w:rsidR="00996761" w:rsidRDefault="00996761" w:rsidP="00996761">
      <w:pPr>
        <w:rPr>
          <w:rFonts w:eastAsia="Arial Unicode MS" w:cs="Arial Unicode MS"/>
        </w:rPr>
      </w:pPr>
      <w:r>
        <w:t xml:space="preserve">Summary Review of Transfer Taxes </w:t>
      </w:r>
    </w:p>
    <w:p w14:paraId="7FB1CA1E" w14:textId="77777777" w:rsidR="00996761" w:rsidRDefault="00996761" w:rsidP="00996761">
      <w:pPr>
        <w:rPr>
          <w:rFonts w:eastAsia="Arial Unicode MS" w:cs="Arial Unicode MS"/>
        </w:rPr>
      </w:pPr>
      <w:r>
        <w:t xml:space="preserve">Review Exercise </w:t>
      </w:r>
    </w:p>
    <w:p w14:paraId="62A3D2DD" w14:textId="77777777" w:rsidR="00996761" w:rsidRDefault="00996761" w:rsidP="00996761">
      <w:pPr>
        <w:rPr>
          <w:rFonts w:eastAsia="Arial Unicode MS" w:cs="Arial Unicode MS"/>
        </w:rPr>
      </w:pPr>
      <w:r>
        <w:t>Income Taxes Relevant to Estate Planning</w:t>
      </w:r>
    </w:p>
    <w:p w14:paraId="41DD4CC4" w14:textId="77777777" w:rsidR="00996761" w:rsidRDefault="00996761" w:rsidP="00996761">
      <w:pPr>
        <w:rPr>
          <w:rFonts w:eastAsia="Arial Unicode MS" w:cs="Arial Unicode MS"/>
        </w:rPr>
      </w:pPr>
      <w:r>
        <w:t xml:space="preserve">Step-Up in Basis at Death </w:t>
      </w:r>
    </w:p>
    <w:p w14:paraId="61D6C4EE" w14:textId="77777777" w:rsidR="00996761" w:rsidRDefault="00996761" w:rsidP="00996761">
      <w:pPr>
        <w:rPr>
          <w:rFonts w:eastAsia="Arial Unicode MS" w:cs="Arial Unicode MS"/>
        </w:rPr>
      </w:pPr>
      <w:r>
        <w:t xml:space="preserve">Review Exercise </w:t>
      </w:r>
    </w:p>
    <w:p w14:paraId="074DD47A" w14:textId="77777777" w:rsidR="00996761" w:rsidRDefault="00996761" w:rsidP="00996761">
      <w:r>
        <w:t xml:space="preserve">Summary </w:t>
      </w:r>
    </w:p>
    <w:p w14:paraId="4FDD0304" w14:textId="77777777" w:rsidR="00996761" w:rsidRDefault="00996761" w:rsidP="00996761">
      <w:r>
        <w:rPr>
          <w:rFonts w:eastAsia="Arial Unicode MS" w:cs="Arial Unicode MS"/>
        </w:rPr>
        <w:t>Conclusion</w:t>
      </w:r>
    </w:p>
    <w:p w14:paraId="143E4417" w14:textId="77777777" w:rsidR="00996761" w:rsidRDefault="00996761">
      <w:pPr>
        <w:spacing w:before="0" w:after="0"/>
      </w:pPr>
    </w:p>
    <w:p w14:paraId="3B6FF2FF" w14:textId="6BF795E4" w:rsidR="00996761" w:rsidRDefault="00996761">
      <w:pPr>
        <w:spacing w:before="0" w:after="0"/>
        <w:rPr>
          <w:b/>
          <w:iCs/>
          <w:color w:val="17365D"/>
          <w:sz w:val="28"/>
          <w:szCs w:val="12"/>
        </w:rPr>
      </w:pPr>
      <w:r>
        <w:br w:type="page"/>
      </w:r>
    </w:p>
    <w:p w14:paraId="4F0B162D" w14:textId="177D4294" w:rsidR="00AE5FBF" w:rsidRDefault="00E82306" w:rsidP="00AE5FBF">
      <w:pPr>
        <w:pStyle w:val="Heading2"/>
      </w:pPr>
      <w:r>
        <w:lastRenderedPageBreak/>
        <w:t xml:space="preserve">Introduction </w:t>
      </w:r>
    </w:p>
    <w:p w14:paraId="775E8EEA" w14:textId="77777777" w:rsidR="00E82306" w:rsidRDefault="00E82306" w:rsidP="00AE5FBF">
      <w:r w:rsidRPr="00A84723">
        <w:t xml:space="preserve">This course is part of a three-part series on Taxation for Estate Planning. The first two courses examined </w:t>
      </w:r>
      <w:r w:rsidR="00E50D4B">
        <w:t>gift</w:t>
      </w:r>
      <w:r w:rsidR="00E50D4B" w:rsidRPr="00A84723">
        <w:t xml:space="preserve"> </w:t>
      </w:r>
      <w:r w:rsidRPr="00A84723">
        <w:t xml:space="preserve">and </w:t>
      </w:r>
      <w:r w:rsidR="00E50D4B">
        <w:t>estate</w:t>
      </w:r>
      <w:r w:rsidR="00E50D4B" w:rsidRPr="00A84723">
        <w:t xml:space="preserve"> </w:t>
      </w:r>
      <w:r w:rsidRPr="00A84723">
        <w:t>taxes. This course completes the study of transfer taxes by examining Generation Skipping Transfer Taxes. In addition, it addresses certain aspects of income taxation that are relevant to estate planning. The material in this course, along with the other two in the series, should be considered as prerequisite to any study of estate planning techniques.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0B1ED5" w14:paraId="30597C69" w14:textId="77777777" w:rsidTr="00E1027F">
        <w:tc>
          <w:tcPr>
            <w:tcW w:w="9576" w:type="dxa"/>
            <w:shd w:val="clear" w:color="auto" w:fill="DBD9B9"/>
          </w:tcPr>
          <w:p w14:paraId="019DADA8" w14:textId="77777777" w:rsidR="000B1ED5" w:rsidRDefault="000B1ED5" w:rsidP="000B1ED5">
            <w:pPr>
              <w:pStyle w:val="Sub-Headings"/>
            </w:pPr>
            <w:r w:rsidRPr="00AE5FBF">
              <w:t>Objectives</w:t>
            </w:r>
            <w:r>
              <w:t>:</w:t>
            </w:r>
          </w:p>
          <w:p w14:paraId="191BC93F" w14:textId="77777777" w:rsidR="000B1ED5" w:rsidRPr="00A84723" w:rsidRDefault="000B1ED5" w:rsidP="000B1ED5">
            <w:r w:rsidRPr="00A84723">
              <w:t>At the conclusion of this course, you will be able to:</w:t>
            </w:r>
          </w:p>
          <w:p w14:paraId="5A0426BD" w14:textId="77777777" w:rsidR="00042D33" w:rsidRDefault="00042D33" w:rsidP="00306F33">
            <w:pPr>
              <w:numPr>
                <w:ilvl w:val="0"/>
                <w:numId w:val="6"/>
              </w:numPr>
            </w:pPr>
            <w:r>
              <w:t>Explain the basics of the GST tax</w:t>
            </w:r>
          </w:p>
          <w:p w14:paraId="6C4F167C" w14:textId="77777777" w:rsidR="000B1ED5" w:rsidRDefault="000B1ED5" w:rsidP="00306F33">
            <w:pPr>
              <w:numPr>
                <w:ilvl w:val="0"/>
                <w:numId w:val="6"/>
              </w:numPr>
            </w:pPr>
            <w:r>
              <w:t xml:space="preserve">Identify skip persons. </w:t>
            </w:r>
          </w:p>
          <w:p w14:paraId="311E71E8" w14:textId="77777777" w:rsidR="000B1ED5" w:rsidRDefault="000B1ED5" w:rsidP="00306F33">
            <w:pPr>
              <w:numPr>
                <w:ilvl w:val="0"/>
                <w:numId w:val="6"/>
              </w:numPr>
            </w:pPr>
            <w:r>
              <w:t xml:space="preserve">Identify triggering events that can potentially trigger a generation skipping transfer tax. </w:t>
            </w:r>
          </w:p>
          <w:p w14:paraId="65EC1885" w14:textId="77777777" w:rsidR="000B1ED5" w:rsidRDefault="000B1ED5" w:rsidP="00306F33">
            <w:pPr>
              <w:numPr>
                <w:ilvl w:val="0"/>
                <w:numId w:val="6"/>
              </w:numPr>
            </w:pPr>
            <w:r>
              <w:t xml:space="preserve">Explain the impact of the "kiddie tax" on transfers to minors. </w:t>
            </w:r>
          </w:p>
          <w:p w14:paraId="109146E5" w14:textId="77777777" w:rsidR="000B1ED5" w:rsidRDefault="000B1ED5" w:rsidP="00306F33">
            <w:pPr>
              <w:numPr>
                <w:ilvl w:val="0"/>
                <w:numId w:val="6"/>
              </w:numPr>
            </w:pPr>
            <w:r>
              <w:t xml:space="preserve">Better understand estate planning techniques, having established a solid understanding of the primary tax issues related to estate planning by your completion of all three parts of "Taxation for Estate Planning." </w:t>
            </w:r>
          </w:p>
        </w:tc>
      </w:tr>
    </w:tbl>
    <w:p w14:paraId="74068AFA" w14:textId="77777777" w:rsidR="00E82306" w:rsidRDefault="00E82306" w:rsidP="00F73E6C">
      <w:pPr>
        <w:pStyle w:val="Heading2"/>
      </w:pPr>
      <w:r>
        <w:br w:type="page"/>
      </w:r>
      <w:r>
        <w:lastRenderedPageBreak/>
        <w:t xml:space="preserve">Generation Skipping Transfer Taxes </w:t>
      </w:r>
    </w:p>
    <w:p w14:paraId="3A0E99EC" w14:textId="77777777" w:rsidR="00E82306" w:rsidRPr="00A84723" w:rsidRDefault="00E82306" w:rsidP="00F73E6C">
      <w:r w:rsidRPr="00A84723">
        <w:t>The third aspect of the transfer tax system to be examined is the Generation Skipping Transfer Tax (commonly referred to as the GST tax</w:t>
      </w:r>
      <w:r w:rsidR="00CD1D0F">
        <w:t xml:space="preserve"> or as the GSTT</w:t>
      </w:r>
      <w:r w:rsidRPr="00A84723">
        <w:t xml:space="preserve">). This tax helps ensure that every generation gets taxed. </w:t>
      </w:r>
      <w:r w:rsidR="00342869">
        <w:t xml:space="preserve">It is IN ADDITION TO any gift or estate taxes that may be applicable to a transfer. </w:t>
      </w:r>
      <w:r w:rsidR="00006326">
        <w:t xml:space="preserve">Therefore, situations that require payment of both a gift/estate transfer tax AND a GST tax are generally to be avoided, as they </w:t>
      </w:r>
      <w:r w:rsidR="00402B34">
        <w:t xml:space="preserve">may </w:t>
      </w:r>
      <w:r w:rsidR="00006326">
        <w:t>result in a combined tax that is close to the value of the transfer</w:t>
      </w:r>
      <w:r w:rsidR="00427B9C">
        <w:t>.</w:t>
      </w:r>
    </w:p>
    <w:p w14:paraId="5D33CB60" w14:textId="77777777" w:rsidR="00E82306" w:rsidRPr="00A84723" w:rsidRDefault="00E82306" w:rsidP="00F73E6C">
      <w:r w:rsidRPr="00A84723">
        <w:t xml:space="preserve">GST taxation is an area of taxation that is very complex, and usually involves a specialist when it applies. For most professionals, the primary skills needed are: </w:t>
      </w:r>
    </w:p>
    <w:p w14:paraId="270DF725" w14:textId="77777777" w:rsidR="00E82306" w:rsidRDefault="00E82306" w:rsidP="00306F33">
      <w:pPr>
        <w:numPr>
          <w:ilvl w:val="0"/>
          <w:numId w:val="7"/>
        </w:numPr>
      </w:pPr>
      <w:r>
        <w:t xml:space="preserve">The ability to identify skip persons. </w:t>
      </w:r>
    </w:p>
    <w:p w14:paraId="5DCF150A" w14:textId="77777777" w:rsidR="00E82306" w:rsidRDefault="00E82306" w:rsidP="00306F33">
      <w:pPr>
        <w:numPr>
          <w:ilvl w:val="0"/>
          <w:numId w:val="7"/>
        </w:numPr>
      </w:pPr>
      <w:r>
        <w:t xml:space="preserve">The ability to identify events that trigger the tax. </w:t>
      </w:r>
    </w:p>
    <w:p w14:paraId="6C670F39" w14:textId="77777777" w:rsidR="00E82306" w:rsidRPr="00A84723" w:rsidRDefault="00E82306" w:rsidP="00F73E6C">
      <w:r w:rsidRPr="00A84723">
        <w:t xml:space="preserve">This course will restrict itself to those two skills. Once an event is identified as </w:t>
      </w:r>
      <w:r w:rsidR="00042E35">
        <w:t>p</w:t>
      </w:r>
      <w:r w:rsidRPr="00A84723">
        <w:t xml:space="preserve">otentially triggering the tax, it is advisable that a specialist be involved in the planning. </w:t>
      </w:r>
    </w:p>
    <w:p w14:paraId="48C001CE" w14:textId="77777777" w:rsidR="00E82306" w:rsidRDefault="00703499">
      <w:pPr>
        <w:pStyle w:val="NormalWeb"/>
        <w:spacing w:before="0" w:after="0"/>
        <w:ind w:left="720" w:right="720"/>
        <w:jc w:val="center"/>
      </w:pPr>
      <w:r>
        <w:rPr>
          <w:noProof/>
          <w:lang w:eastAsia="zh-CN"/>
        </w:rPr>
        <w:drawing>
          <wp:inline distT="0" distB="0" distL="0" distR="0" wp14:anchorId="5765A3DE" wp14:editId="714C5DBA">
            <wp:extent cx="2865120" cy="2082800"/>
            <wp:effectExtent l="0" t="0" r="5080" b="0"/>
            <wp:docPr id="11" name="Picture 2" descr="1100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005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2082800"/>
                    </a:xfrm>
                    <a:prstGeom prst="rect">
                      <a:avLst/>
                    </a:prstGeom>
                    <a:noFill/>
                    <a:ln>
                      <a:noFill/>
                    </a:ln>
                  </pic:spPr>
                </pic:pic>
              </a:graphicData>
            </a:graphic>
          </wp:inline>
        </w:drawing>
      </w:r>
    </w:p>
    <w:p w14:paraId="09121EAC" w14:textId="77777777" w:rsidR="00E82306" w:rsidRPr="00A84723" w:rsidRDefault="00042E35" w:rsidP="00EB42D9">
      <w:pPr>
        <w:pStyle w:val="Heading2"/>
      </w:pPr>
      <w:r>
        <w:br w:type="page"/>
      </w:r>
      <w:r w:rsidR="00E82306" w:rsidRPr="00A84723">
        <w:lastRenderedPageBreak/>
        <w:t xml:space="preserve">Identifying Skip Persons </w:t>
      </w:r>
    </w:p>
    <w:p w14:paraId="172F5001" w14:textId="77777777" w:rsidR="00E82306" w:rsidRPr="00A84723" w:rsidRDefault="00E82306" w:rsidP="00EB42D9">
      <w:r w:rsidRPr="00A84723">
        <w:t xml:space="preserve">The GST tax applies to transfers of property to individuals who are two or more generations below the person making or triggering the transfer (known as the </w:t>
      </w:r>
      <w:r w:rsidRPr="00A84723">
        <w:rPr>
          <w:b/>
          <w:bCs/>
        </w:rPr>
        <w:t>"transferor"</w:t>
      </w:r>
      <w:r w:rsidRPr="00A84723">
        <w:t xml:space="preserve">). Generally, the transferor is someone who is making a lifetime gift or a deceased person who is transferring or triggering a transfer at their death. </w:t>
      </w:r>
    </w:p>
    <w:p w14:paraId="0D1CED97" w14:textId="77777777" w:rsidR="00E82306" w:rsidRPr="00A84723" w:rsidRDefault="00E82306" w:rsidP="00EB42D9">
      <w:r w:rsidRPr="00A84723">
        <w:t xml:space="preserve">Individuals two or more generations below the transferor are known as </w:t>
      </w:r>
      <w:r w:rsidRPr="00A84723">
        <w:rPr>
          <w:b/>
          <w:bCs/>
        </w:rPr>
        <w:t>"skip persons,"</w:t>
      </w:r>
      <w:r w:rsidRPr="00A84723">
        <w:t xml:space="preserve"> because a transfer to them would "skip" a generation to get to them. Everyone else would be a </w:t>
      </w:r>
      <w:r w:rsidRPr="00A84723">
        <w:rPr>
          <w:b/>
          <w:bCs/>
        </w:rPr>
        <w:t>"non-skip person."</w:t>
      </w:r>
      <w:r w:rsidRPr="00A84723">
        <w:t xml:space="preserve"> </w:t>
      </w:r>
    </w:p>
    <w:p w14:paraId="5B30651C" w14:textId="77777777" w:rsidR="00996761" w:rsidRPr="00A84723" w:rsidRDefault="00E82306" w:rsidP="00996761">
      <w:r w:rsidRPr="00A84723">
        <w:t xml:space="preserve">To identify an applicable situation, it is necessary to identify skip persons. Study the chart below carefully. Each arrow represents a possible transfer from the transferor. </w:t>
      </w:r>
      <w:r w:rsidR="00996761" w:rsidRPr="00A84723">
        <w:rPr>
          <w:b/>
          <w:bCs/>
          <w:color w:val="FF0000"/>
        </w:rPr>
        <w:t xml:space="preserve">Move the mouse pointer over each of the persons below to identify if the person is a non-skip person or a skip person. </w:t>
      </w:r>
    </w:p>
    <w:p w14:paraId="29D36850" w14:textId="77777777" w:rsidR="00E82306" w:rsidRPr="00A84723" w:rsidRDefault="00E82306" w:rsidP="00EB42D9"/>
    <w:p w14:paraId="2E559038" w14:textId="77777777" w:rsidR="00E82306" w:rsidRPr="00A84723" w:rsidRDefault="00E82306" w:rsidP="00306F33">
      <w:pPr>
        <w:numPr>
          <w:ilvl w:val="0"/>
          <w:numId w:val="8"/>
        </w:numPr>
      </w:pPr>
      <w:r w:rsidRPr="00A84723">
        <w:t>If related to the transferor, a skip person is someone two or more generations below the transferor. For example:</w:t>
      </w:r>
    </w:p>
    <w:p w14:paraId="238A6EF1" w14:textId="77777777" w:rsidR="00E82306" w:rsidRDefault="00703499">
      <w:pPr>
        <w:jc w:val="center"/>
        <w:rPr>
          <w:rFonts w:eastAsia="Arial Unicode MS" w:cs="Arial Unicode MS"/>
          <w:color w:val="000000"/>
        </w:rPr>
      </w:pPr>
      <w:r>
        <w:rPr>
          <w:noProof/>
          <w:lang w:eastAsia="zh-CN"/>
        </w:rPr>
        <w:drawing>
          <wp:inline distT="0" distB="0" distL="0" distR="0" wp14:anchorId="19B49FDC" wp14:editId="416574FE">
            <wp:extent cx="2854960" cy="14325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960" cy="1432560"/>
                    </a:xfrm>
                    <a:prstGeom prst="rect">
                      <a:avLst/>
                    </a:prstGeom>
                    <a:noFill/>
                    <a:ln>
                      <a:noFill/>
                    </a:ln>
                  </pic:spPr>
                </pic:pic>
              </a:graphicData>
            </a:graphic>
          </wp:inline>
        </w:drawing>
      </w:r>
    </w:p>
    <w:p w14:paraId="10CEC8AE" w14:textId="77777777" w:rsidR="00042E35" w:rsidRPr="00042E35" w:rsidRDefault="00703499" w:rsidP="00042E35">
      <w:pPr>
        <w:jc w:val="center"/>
        <w:rPr>
          <w:rFonts w:eastAsia="Arial Unicode MS"/>
          <w:color w:val="000000"/>
        </w:rPr>
      </w:pPr>
      <w:r>
        <w:rPr>
          <w:noProof/>
          <w:lang w:eastAsia="zh-CN"/>
        </w:rPr>
        <w:drawing>
          <wp:inline distT="0" distB="0" distL="0" distR="0" wp14:anchorId="6C460558" wp14:editId="5547EF56">
            <wp:extent cx="2854960" cy="528320"/>
            <wp:effectExtent l="0" t="0" r="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960" cy="528320"/>
                    </a:xfrm>
                    <a:prstGeom prst="rect">
                      <a:avLst/>
                    </a:prstGeom>
                    <a:noFill/>
                    <a:ln>
                      <a:noFill/>
                    </a:ln>
                  </pic:spPr>
                </pic:pic>
              </a:graphicData>
            </a:graphic>
          </wp:inline>
        </w:drawing>
      </w:r>
    </w:p>
    <w:p w14:paraId="67F5665E" w14:textId="77777777" w:rsidR="00042E35" w:rsidRPr="00042E35" w:rsidRDefault="00042E35" w:rsidP="00C23146">
      <w:pPr>
        <w:rPr>
          <w:rFonts w:eastAsia="Arial Unicode MS"/>
        </w:rPr>
      </w:pPr>
    </w:p>
    <w:p w14:paraId="4C6515F7" w14:textId="77777777" w:rsidR="00E82306" w:rsidRPr="00A84723" w:rsidRDefault="00E82306" w:rsidP="00306F33">
      <w:pPr>
        <w:numPr>
          <w:ilvl w:val="0"/>
          <w:numId w:val="8"/>
        </w:numPr>
        <w:rPr>
          <w:rFonts w:eastAsia="Arial Unicode MS"/>
        </w:rPr>
      </w:pPr>
      <w:r w:rsidRPr="00A84723">
        <w:t xml:space="preserve">If not related, they are in the same generation if within 12 1/2 years of age. Each successive generation is defined in spans of 25 years. For the illustration below, "T" refers to the Transferor's age: </w:t>
      </w:r>
    </w:p>
    <w:p w14:paraId="5D087B32" w14:textId="77777777" w:rsidR="00E82306" w:rsidRDefault="00703499">
      <w:pPr>
        <w:jc w:val="center"/>
        <w:rPr>
          <w:color w:val="000000"/>
        </w:rPr>
      </w:pPr>
      <w:r>
        <w:rPr>
          <w:noProof/>
          <w:lang w:eastAsia="zh-CN"/>
        </w:rPr>
        <w:drawing>
          <wp:inline distT="0" distB="0" distL="0" distR="0" wp14:anchorId="43B5A583" wp14:editId="2A9B6251">
            <wp:extent cx="3810000" cy="12192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296B1E88" w14:textId="77777777" w:rsidR="00042E35" w:rsidRDefault="00703499" w:rsidP="00042E35">
      <w:pPr>
        <w:pStyle w:val="Heading1"/>
        <w:jc w:val="center"/>
        <w:rPr>
          <w:sz w:val="20"/>
          <w:szCs w:val="20"/>
        </w:rPr>
      </w:pPr>
      <w:r>
        <w:rPr>
          <w:noProof/>
          <w:lang w:eastAsia="zh-CN"/>
        </w:rPr>
        <w:drawing>
          <wp:inline distT="0" distB="0" distL="0" distR="0" wp14:anchorId="26177B18" wp14:editId="6DDA0E00">
            <wp:extent cx="3810000" cy="5384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538480"/>
                    </a:xfrm>
                    <a:prstGeom prst="rect">
                      <a:avLst/>
                    </a:prstGeom>
                    <a:noFill/>
                    <a:ln>
                      <a:noFill/>
                    </a:ln>
                  </pic:spPr>
                </pic:pic>
              </a:graphicData>
            </a:graphic>
          </wp:inline>
        </w:drawing>
      </w:r>
    </w:p>
    <w:p w14:paraId="0D7F1A6E" w14:textId="77777777" w:rsidR="00042E35" w:rsidRDefault="00042E35" w:rsidP="000576D1">
      <w:pPr>
        <w:spacing w:before="0" w:after="0"/>
      </w:pPr>
    </w:p>
    <w:p w14:paraId="6025AB53" w14:textId="77777777" w:rsidR="00E82306" w:rsidRDefault="00E82306" w:rsidP="00CC7052">
      <w:pPr>
        <w:pStyle w:val="Heading2"/>
      </w:pPr>
      <w:r>
        <w:rPr>
          <w:sz w:val="20"/>
          <w:szCs w:val="20"/>
        </w:rPr>
        <w:br w:type="page"/>
      </w:r>
      <w:r>
        <w:lastRenderedPageBreak/>
        <w:t>Predeceased Parents</w:t>
      </w:r>
    </w:p>
    <w:p w14:paraId="202A864A" w14:textId="77777777" w:rsidR="00E82306" w:rsidRPr="00A84723" w:rsidRDefault="00E82306" w:rsidP="000576D1">
      <w:r w:rsidRPr="00A84723">
        <w:t xml:space="preserve">When making transfers to lineal </w:t>
      </w:r>
      <w:r w:rsidR="005A636B" w:rsidRPr="00A84723">
        <w:t>descendants</w:t>
      </w:r>
      <w:r w:rsidRPr="00A84723">
        <w:t xml:space="preserve">, what happens if the parent of a skip-person dies before the transfer? Put simply, the successive generations move up one step to fill the void. </w:t>
      </w:r>
    </w:p>
    <w:p w14:paraId="1A6E9762" w14:textId="77777777" w:rsidR="00E82306" w:rsidRPr="000576D1" w:rsidRDefault="00E82306" w:rsidP="000576D1">
      <w:pPr>
        <w:pStyle w:val="Sub-Headings"/>
      </w:pPr>
      <w:r w:rsidRPr="000576D1">
        <w:t xml:space="preserve">Here is the situation before the death: </w:t>
      </w:r>
    </w:p>
    <w:p w14:paraId="1FB23D8E" w14:textId="77777777" w:rsidR="00E82306" w:rsidRDefault="00703499" w:rsidP="000576D1">
      <w:pPr>
        <w:pStyle w:val="NormalWeb"/>
        <w:ind w:right="720"/>
        <w:jc w:val="both"/>
      </w:pPr>
      <w:r>
        <w:rPr>
          <w:noProof/>
          <w:lang w:eastAsia="zh-CN"/>
        </w:rPr>
        <w:drawing>
          <wp:inline distT="0" distB="0" distL="0" distR="0" wp14:anchorId="6157FE60" wp14:editId="07C683C4">
            <wp:extent cx="4765040" cy="2540000"/>
            <wp:effectExtent l="0" t="0" r="10160" b="0"/>
            <wp:docPr id="2"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5040" cy="2540000"/>
                    </a:xfrm>
                    <a:prstGeom prst="rect">
                      <a:avLst/>
                    </a:prstGeom>
                    <a:noFill/>
                    <a:ln>
                      <a:noFill/>
                    </a:ln>
                  </pic:spPr>
                </pic:pic>
              </a:graphicData>
            </a:graphic>
          </wp:inline>
        </w:drawing>
      </w:r>
    </w:p>
    <w:p w14:paraId="13F037D9" w14:textId="77777777" w:rsidR="00E82306" w:rsidRDefault="00E82306" w:rsidP="000576D1">
      <w:pPr>
        <w:spacing w:before="0" w:after="0"/>
      </w:pPr>
      <w:r>
        <w:t> </w:t>
      </w:r>
    </w:p>
    <w:p w14:paraId="019B2959" w14:textId="77777777" w:rsidR="00E82306" w:rsidRDefault="00E82306" w:rsidP="009F1FD3">
      <w:pPr>
        <w:pStyle w:val="Sub-Headings"/>
      </w:pPr>
      <w:r>
        <w:t xml:space="preserve">Here is the situation after the child's death: </w:t>
      </w:r>
    </w:p>
    <w:p w14:paraId="388DE092" w14:textId="77777777" w:rsidR="00E82306" w:rsidRDefault="00703499" w:rsidP="000576D1">
      <w:pPr>
        <w:pStyle w:val="NormalWeb"/>
        <w:spacing w:before="0" w:after="0"/>
        <w:ind w:right="720"/>
      </w:pPr>
      <w:r>
        <w:rPr>
          <w:noProof/>
          <w:lang w:eastAsia="zh-CN"/>
        </w:rPr>
        <w:drawing>
          <wp:inline distT="0" distB="0" distL="0" distR="0" wp14:anchorId="65B9B657" wp14:editId="20951407">
            <wp:extent cx="4765040" cy="2895600"/>
            <wp:effectExtent l="0" t="0" r="10160" b="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5040" cy="2895600"/>
                    </a:xfrm>
                    <a:prstGeom prst="rect">
                      <a:avLst/>
                    </a:prstGeom>
                    <a:noFill/>
                    <a:ln>
                      <a:noFill/>
                    </a:ln>
                  </pic:spPr>
                </pic:pic>
              </a:graphicData>
            </a:graphic>
          </wp:inline>
        </w:drawing>
      </w:r>
    </w:p>
    <w:p w14:paraId="35ED2572" w14:textId="77777777" w:rsidR="00E82306" w:rsidRDefault="00E82306" w:rsidP="000576D1">
      <w:pPr>
        <w:spacing w:before="0" w:after="0"/>
      </w:pPr>
      <w:r>
        <w:t> </w:t>
      </w:r>
    </w:p>
    <w:p w14:paraId="65C254A3" w14:textId="77777777" w:rsidR="00E82306" w:rsidRPr="000576D1" w:rsidRDefault="00E82306" w:rsidP="000576D1">
      <w:pPr>
        <w:rPr>
          <w:b/>
        </w:rPr>
      </w:pPr>
      <w:r w:rsidRPr="000576D1">
        <w:rPr>
          <w:b/>
        </w:rPr>
        <w:t xml:space="preserve">What happens if there are no surviving lineal </w:t>
      </w:r>
      <w:r w:rsidR="005A636B" w:rsidRPr="000576D1">
        <w:rPr>
          <w:b/>
        </w:rPr>
        <w:t>descendants</w:t>
      </w:r>
      <w:r w:rsidRPr="000576D1">
        <w:rPr>
          <w:b/>
        </w:rPr>
        <w:t xml:space="preserve">? </w:t>
      </w:r>
    </w:p>
    <w:p w14:paraId="6B35E354" w14:textId="77777777" w:rsidR="00E82306" w:rsidRPr="00A84723" w:rsidRDefault="00E82306" w:rsidP="009F1FD3">
      <w:r w:rsidRPr="00A84723">
        <w:t xml:space="preserve">In that case, this same adjustment to skip persons can be made for any of the </w:t>
      </w:r>
      <w:r w:rsidR="005A636B" w:rsidRPr="00A84723">
        <w:t>descendants</w:t>
      </w:r>
      <w:r w:rsidRPr="00A84723">
        <w:t xml:space="preserve"> </w:t>
      </w:r>
      <w:r w:rsidRPr="00A84723">
        <w:lastRenderedPageBreak/>
        <w:t xml:space="preserve">of the transferor's parents or the transferor's spouse's parents. </w:t>
      </w:r>
      <w:r w:rsidRPr="00A84723">
        <w:rPr>
          <w:b/>
          <w:bCs/>
          <w:i/>
          <w:iCs/>
        </w:rPr>
        <w:t xml:space="preserve">But this only applies when the transferor has no lineal </w:t>
      </w:r>
      <w:r w:rsidR="005A636B" w:rsidRPr="00A84723">
        <w:rPr>
          <w:b/>
          <w:bCs/>
          <w:i/>
          <w:iCs/>
        </w:rPr>
        <w:t>descendants</w:t>
      </w:r>
      <w:r w:rsidRPr="00A84723">
        <w:rPr>
          <w:b/>
          <w:bCs/>
          <w:i/>
          <w:iCs/>
        </w:rPr>
        <w:t xml:space="preserve"> of his/her own.</w:t>
      </w:r>
    </w:p>
    <w:p w14:paraId="0D5EFFDC" w14:textId="77777777" w:rsidR="00E82306" w:rsidRPr="00A84723" w:rsidRDefault="00E82306" w:rsidP="009F1FD3">
      <w:r w:rsidRPr="00A84723">
        <w:rPr>
          <w:b/>
          <w:bCs/>
        </w:rPr>
        <w:t xml:space="preserve">Example: </w:t>
      </w:r>
    </w:p>
    <w:p w14:paraId="108A5598" w14:textId="77777777" w:rsidR="00E82306" w:rsidRPr="00A84723" w:rsidRDefault="00E82306" w:rsidP="009F1FD3">
      <w:r w:rsidRPr="00A84723">
        <w:t xml:space="preserve">John has no lineal </w:t>
      </w:r>
      <w:r w:rsidR="005A636B" w:rsidRPr="00A84723">
        <w:t>descendants</w:t>
      </w:r>
      <w:r w:rsidRPr="00A84723">
        <w:t xml:space="preserve">. His brother, who died last year, was survived by one child and two grandchildren. If John were to make transfers to his deceased brother's grandchildren, they would no longer be considered skip persons. </w:t>
      </w:r>
    </w:p>
    <w:p w14:paraId="26026450" w14:textId="77777777" w:rsidR="00E82306" w:rsidRDefault="00E82306" w:rsidP="000576D1">
      <w:pPr>
        <w:spacing w:before="0" w:after="0"/>
        <w:rPr>
          <w:rFonts w:eastAsia="Arial Unicode MS" w:cs="Arial Unicode MS"/>
          <w:color w:val="000000"/>
        </w:rPr>
      </w:pPr>
    </w:p>
    <w:p w14:paraId="44CF1E77" w14:textId="77777777" w:rsidR="00E82306" w:rsidRDefault="00E82306" w:rsidP="007E2343">
      <w:pPr>
        <w:pStyle w:val="Heading2"/>
      </w:pPr>
      <w:r>
        <w:rPr>
          <w:rFonts w:eastAsia="Arial Unicode MS" w:cs="Arial Unicode MS"/>
          <w:sz w:val="20"/>
          <w:szCs w:val="20"/>
        </w:rPr>
        <w:br w:type="page"/>
      </w:r>
      <w:r>
        <w:lastRenderedPageBreak/>
        <w:t>Identifying Triggering Events</w:t>
      </w:r>
    </w:p>
    <w:p w14:paraId="58D0870F" w14:textId="49CB1001" w:rsidR="00E82306" w:rsidRPr="00996761" w:rsidRDefault="00E82306" w:rsidP="00996761">
      <w:pPr>
        <w:pStyle w:val="CommentText"/>
      </w:pPr>
      <w:r w:rsidRPr="00A84723">
        <w:t>There are three events that can trigger the GST tax.</w:t>
      </w:r>
      <w:r w:rsidRPr="00A84723">
        <w:rPr>
          <w:color w:val="003300"/>
        </w:rPr>
        <w:t xml:space="preserve"> </w:t>
      </w:r>
      <w:r w:rsidR="00996761" w:rsidRPr="00A84723">
        <w:rPr>
          <w:rFonts w:ascii="Arial" w:hAnsi="Arial"/>
          <w:b/>
          <w:bCs/>
          <w:color w:val="FF0000"/>
          <w:sz w:val="24"/>
          <w:szCs w:val="24"/>
        </w:rPr>
        <w:t>For an explanation, move the mouse cursor over the events below</w:t>
      </w:r>
    </w:p>
    <w:p w14:paraId="52DA1D65" w14:textId="77777777" w:rsidR="000576D1" w:rsidRDefault="000576D1" w:rsidP="000576D1">
      <w:pPr>
        <w:spacing w:before="0" w:after="0"/>
        <w:rPr>
          <w:color w:val="0033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76D1" w:rsidRPr="008D3CA3" w14:paraId="125AEE65" w14:textId="77777777" w:rsidTr="000576D1">
        <w:tc>
          <w:tcPr>
            <w:tcW w:w="9576" w:type="dxa"/>
            <w:shd w:val="clear" w:color="auto" w:fill="D9D9D9"/>
          </w:tcPr>
          <w:p w14:paraId="14A68875" w14:textId="77777777" w:rsidR="000576D1" w:rsidRPr="00EF13F7" w:rsidRDefault="0076622B" w:rsidP="000576D1">
            <w:pPr>
              <w:rPr>
                <w:rStyle w:val="Strong"/>
              </w:rPr>
            </w:pPr>
            <w:r>
              <w:rPr>
                <w:rStyle w:val="Strong"/>
              </w:rPr>
              <w:t>Direct Skip</w:t>
            </w:r>
          </w:p>
          <w:p w14:paraId="53CD9F09" w14:textId="77777777" w:rsidR="000576D1" w:rsidRPr="008D3CA3" w:rsidRDefault="0076622B" w:rsidP="000576D1">
            <w:r w:rsidRPr="00265EEF">
              <w:t>This is a transfer from the transferor directly to a skip person. It can be a lifetime gift or a transfer from the transferor's estate upon death.</w:t>
            </w:r>
          </w:p>
        </w:tc>
      </w:tr>
    </w:tbl>
    <w:p w14:paraId="45784F2A" w14:textId="77777777" w:rsidR="000576D1" w:rsidRDefault="000576D1" w:rsidP="000576D1">
      <w:pPr>
        <w:spacing w:before="0" w:after="0"/>
        <w:rPr>
          <w:color w:val="0033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76D1" w:rsidRPr="008D3CA3" w14:paraId="6A317190" w14:textId="77777777" w:rsidTr="000576D1">
        <w:tc>
          <w:tcPr>
            <w:tcW w:w="9576" w:type="dxa"/>
            <w:shd w:val="clear" w:color="auto" w:fill="D9D9D9"/>
          </w:tcPr>
          <w:p w14:paraId="3381DA1F" w14:textId="77777777" w:rsidR="000576D1" w:rsidRPr="00EF13F7" w:rsidRDefault="0076622B" w:rsidP="000576D1">
            <w:pPr>
              <w:rPr>
                <w:rStyle w:val="Strong"/>
              </w:rPr>
            </w:pPr>
            <w:r>
              <w:rPr>
                <w:rStyle w:val="Strong"/>
              </w:rPr>
              <w:t>Taxable Termination</w:t>
            </w:r>
          </w:p>
          <w:p w14:paraId="1799A544" w14:textId="77777777" w:rsidR="0076622B" w:rsidRPr="00265EEF" w:rsidRDefault="0076622B" w:rsidP="0076622B">
            <w:r w:rsidRPr="00265EEF">
              <w:t xml:space="preserve">This is not a transfer directly from the transferor. Rather, it is a trust or other arrangement in which the present interest of non-skip beneficiaries terminates and only skip beneficiaries remain. </w:t>
            </w:r>
          </w:p>
          <w:p w14:paraId="7C65D88C" w14:textId="77777777" w:rsidR="000576D1" w:rsidRPr="008D3CA3" w:rsidRDefault="0076622B" w:rsidP="0076622B">
            <w:r w:rsidRPr="00265EEF">
              <w:t>Example. The trust states that when Mr. Smith dies, the current beneficiary of the trust will be his grandchild (skipping over his child who is still alive).</w:t>
            </w:r>
          </w:p>
        </w:tc>
      </w:tr>
    </w:tbl>
    <w:p w14:paraId="05DE8126" w14:textId="77777777" w:rsidR="000576D1" w:rsidRDefault="000576D1" w:rsidP="000576D1">
      <w:pPr>
        <w:spacing w:before="0" w:after="0"/>
        <w:rPr>
          <w:color w:val="0033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576D1" w:rsidRPr="008D3CA3" w14:paraId="2126D80F" w14:textId="77777777" w:rsidTr="000576D1">
        <w:tc>
          <w:tcPr>
            <w:tcW w:w="9576" w:type="dxa"/>
            <w:shd w:val="clear" w:color="auto" w:fill="D9D9D9"/>
          </w:tcPr>
          <w:p w14:paraId="440D4E7E" w14:textId="77777777" w:rsidR="000576D1" w:rsidRPr="00EF13F7" w:rsidRDefault="0076622B" w:rsidP="000576D1">
            <w:pPr>
              <w:rPr>
                <w:rStyle w:val="Strong"/>
              </w:rPr>
            </w:pPr>
            <w:r>
              <w:rPr>
                <w:rStyle w:val="Strong"/>
              </w:rPr>
              <w:t>Taxable Distribution</w:t>
            </w:r>
          </w:p>
          <w:p w14:paraId="4D8920BF" w14:textId="77777777" w:rsidR="0076622B" w:rsidRPr="00265EEF" w:rsidRDefault="0076622B" w:rsidP="0076622B">
            <w:r w:rsidRPr="00265EEF">
              <w:t>When a distribution is made out of a trust to a skip person, this is considered a taxable distribution for GST purposes.</w:t>
            </w:r>
          </w:p>
          <w:p w14:paraId="20BA2B96" w14:textId="77777777" w:rsidR="000576D1" w:rsidRPr="008D3CA3" w:rsidRDefault="0076622B" w:rsidP="0076622B">
            <w:r w:rsidRPr="00265EEF">
              <w:t>Example. Mrs. Worth creates a trust where the trustee can choose to use funds (income or principal) for Mrs. Worth's daughter or granddaughter. As long as no transfers are made from the trust to the granddaughter, GST is not an issue. But it is deemed a taxable distribution if the trustee ever makes distributions for the granddaughter.</w:t>
            </w:r>
          </w:p>
        </w:tc>
      </w:tr>
    </w:tbl>
    <w:p w14:paraId="6A3B84A0" w14:textId="77777777" w:rsidR="000576D1" w:rsidRDefault="000576D1" w:rsidP="000576D1">
      <w:pPr>
        <w:spacing w:before="0" w:after="0"/>
        <w:rPr>
          <w:color w:val="003300"/>
        </w:rPr>
      </w:pPr>
    </w:p>
    <w:p w14:paraId="085BCB6A" w14:textId="77777777" w:rsidR="00CD1D0F" w:rsidRPr="00741476" w:rsidRDefault="00E82306" w:rsidP="00475149">
      <w:pPr>
        <w:pStyle w:val="Heading2"/>
      </w:pPr>
      <w:r>
        <w:br w:type="page"/>
      </w:r>
      <w:r w:rsidR="00CD1D0F" w:rsidRPr="00741476">
        <w:lastRenderedPageBreak/>
        <w:t xml:space="preserve">The GST Tax Rate and Exemption </w:t>
      </w:r>
    </w:p>
    <w:p w14:paraId="44975A74" w14:textId="77777777" w:rsidR="00042D33" w:rsidRDefault="00042D33" w:rsidP="00042D33">
      <w:r>
        <w:t>The</w:t>
      </w:r>
      <w:r w:rsidRPr="00741476">
        <w:t xml:space="preserve"> GST tax rate is a </w:t>
      </w:r>
      <w:r w:rsidRPr="0098534F">
        <w:rPr>
          <w:b/>
          <w:i/>
        </w:rPr>
        <w:t>flat tax</w:t>
      </w:r>
      <w:r w:rsidRPr="00741476">
        <w:t xml:space="preserve"> that is equal to the highest rate on the</w:t>
      </w:r>
      <w:r w:rsidRPr="00A93E3E">
        <w:t xml:space="preserve"> Unified Transfer Tax Rate Schedule</w:t>
      </w:r>
      <w:r>
        <w:t xml:space="preserve">, which is </w:t>
      </w:r>
      <w:r w:rsidRPr="00310E50">
        <w:rPr>
          <w:b/>
        </w:rPr>
        <w:t>40%</w:t>
      </w:r>
      <w:r>
        <w:t xml:space="preserve"> under current law.</w:t>
      </w:r>
    </w:p>
    <w:p w14:paraId="7D75EFC6" w14:textId="77777777" w:rsidR="00042D33" w:rsidRDefault="00042D33" w:rsidP="00042D33">
      <w:r w:rsidRPr="00A93E3E">
        <w:t xml:space="preserve">As with </w:t>
      </w:r>
      <w:r>
        <w:t>gift and estate</w:t>
      </w:r>
      <w:r w:rsidRPr="00A93E3E">
        <w:t xml:space="preserve"> taxes, not all transfers to skip persons are taxed. The following t</w:t>
      </w:r>
      <w:r>
        <w:t>w</w:t>
      </w:r>
      <w:r w:rsidRPr="00A93E3E">
        <w:t>o rules constitute transfers that can be made without having to pay a GST tax:</w:t>
      </w:r>
    </w:p>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042D33" w14:paraId="24753E1D" w14:textId="77777777" w:rsidTr="00042D33">
        <w:tc>
          <w:tcPr>
            <w:tcW w:w="9576" w:type="dxa"/>
            <w:shd w:val="pct20" w:color="auto" w:fill="auto"/>
          </w:tcPr>
          <w:p w14:paraId="307C84C1" w14:textId="77777777" w:rsidR="00042D33" w:rsidRDefault="00042D33" w:rsidP="00042D33">
            <w:pPr>
              <w:numPr>
                <w:ilvl w:val="0"/>
                <w:numId w:val="21"/>
              </w:numPr>
            </w:pPr>
            <w:r w:rsidRPr="00A93E3E">
              <w:t>All transfers that are excluded from gift taxation are also excluded from GST taxation. This includes annual exclusion gifts, direct payment of tuition, and direct payment of health care.</w:t>
            </w:r>
          </w:p>
          <w:p w14:paraId="33FDA37A" w14:textId="59F88724" w:rsidR="00042D33" w:rsidRDefault="00042D33" w:rsidP="00042D33">
            <w:pPr>
              <w:numPr>
                <w:ilvl w:val="0"/>
                <w:numId w:val="21"/>
              </w:numPr>
            </w:pPr>
            <w:r>
              <w:t>There</w:t>
            </w:r>
            <w:r w:rsidRPr="00A93E3E">
              <w:t xml:space="preserve"> is a cumulative exemption amount for GST tax purposes. That cumulative exemption amount is always equal to the Applicable Exclusion </w:t>
            </w:r>
            <w:r>
              <w:t>A</w:t>
            </w:r>
            <w:r w:rsidRPr="00A93E3E">
              <w:t xml:space="preserve">mount for estates. Only cumulative taxable transfers to skip persons that exceed that exemption amount are subject to payment of the GST tax. </w:t>
            </w:r>
            <w:r>
              <w:t xml:space="preserve">For 2016, the GST </w:t>
            </w:r>
            <w:r w:rsidR="009B37AE">
              <w:t xml:space="preserve">exemption </w:t>
            </w:r>
            <w:r>
              <w:t>is $5,450,000 (adjusted each year for inflation).</w:t>
            </w:r>
          </w:p>
        </w:tc>
      </w:tr>
    </w:tbl>
    <w:p w14:paraId="40DC9A41" w14:textId="77777777" w:rsidR="00042D33" w:rsidRDefault="00042D33" w:rsidP="00042D33">
      <w:pPr>
        <w:pStyle w:val="BodyText"/>
        <w:spacing w:before="0" w:after="0"/>
      </w:pPr>
    </w:p>
    <w:p w14:paraId="6A168089" w14:textId="7A2D6857" w:rsidR="00042D33" w:rsidRDefault="00042D33" w:rsidP="00042D33">
      <w:r>
        <w:t xml:space="preserve">Note, however, that while a deceased spouse’s estate can pass on the </w:t>
      </w:r>
      <w:r w:rsidR="00996761">
        <w:t>Deceased Spousal Unused Exclusion Amount</w:t>
      </w:r>
      <w:r>
        <w:t xml:space="preserve"> (DSUE amount) to the surviving spouse, this </w:t>
      </w:r>
      <w:r w:rsidRPr="00310E50">
        <w:rPr>
          <w:b/>
          <w:i/>
        </w:rPr>
        <w:t xml:space="preserve">portability is NOT AVAILABLE for the GST </w:t>
      </w:r>
      <w:r w:rsidR="009B37AE" w:rsidRPr="00310E50">
        <w:rPr>
          <w:b/>
          <w:i/>
        </w:rPr>
        <w:t>tax exemption</w:t>
      </w:r>
      <w:r>
        <w:t>.</w:t>
      </w:r>
    </w:p>
    <w:p w14:paraId="7C4DE833" w14:textId="6CB035DF" w:rsidR="00042D33" w:rsidRPr="00B666FF" w:rsidRDefault="00042D33" w:rsidP="00042D33">
      <w:r w:rsidRPr="00B666FF">
        <w:t xml:space="preserve">Given that the GST tax is </w:t>
      </w:r>
      <w:r w:rsidRPr="00310E50">
        <w:rPr>
          <w:b/>
          <w:i/>
        </w:rPr>
        <w:t>in addition to any gift or estate tax that may be due</w:t>
      </w:r>
      <w:r w:rsidRPr="00B666FF">
        <w:t xml:space="preserve">, the GST tax essentially results in a doubling of the transfer tax liability. This is </w:t>
      </w:r>
      <w:r>
        <w:t xml:space="preserve">generally </w:t>
      </w:r>
      <w:r w:rsidRPr="00B666FF">
        <w:t xml:space="preserve">prohibitive! </w:t>
      </w:r>
      <w:r w:rsidRPr="00BD449B">
        <w:t>The end result is that the GST tax is generally to be avoided and all transfers subject to the tax should be limited to those that can be protected from having to pay the tax</w:t>
      </w:r>
      <w:r w:rsidRPr="005F7400">
        <w:t xml:space="preserve"> by use of the GST </w:t>
      </w:r>
      <w:r w:rsidR="009B37AE" w:rsidRPr="005F7400">
        <w:t>tax exemption</w:t>
      </w:r>
      <w:r w:rsidRPr="009805A2">
        <w:t>.</w:t>
      </w:r>
    </w:p>
    <w:p w14:paraId="10E20C2C" w14:textId="1BA34E12" w:rsidR="00996761" w:rsidRPr="005946F3" w:rsidRDefault="00D827BB" w:rsidP="00996761">
      <w:pPr>
        <w:pStyle w:val="Heading2"/>
      </w:pPr>
      <w:r w:rsidRPr="005946F3">
        <w:br w:type="page"/>
      </w:r>
    </w:p>
    <w:p w14:paraId="3FD3A493" w14:textId="29381090" w:rsidR="00B46409" w:rsidRPr="005946F3" w:rsidRDefault="00B46409" w:rsidP="005946F3">
      <w:pPr>
        <w:pStyle w:val="Heading2"/>
        <w:rPr>
          <w:rStyle w:val="FollowedHyperlink"/>
          <w:color w:val="17365D"/>
          <w:u w:val="none"/>
        </w:rPr>
      </w:pPr>
      <w:r w:rsidRPr="005946F3">
        <w:lastRenderedPageBreak/>
        <w:t>R</w:t>
      </w:r>
      <w:r w:rsidR="00996761">
        <w:t>eview Exercise</w:t>
      </w:r>
    </w:p>
    <w:p w14:paraId="355D6655" w14:textId="0ADE5597" w:rsidR="00B46409" w:rsidRPr="00996761" w:rsidRDefault="00B46409" w:rsidP="00866340">
      <w:pPr>
        <w:pStyle w:val="ListParagraph"/>
        <w:ind w:left="360"/>
        <w:rPr>
          <w:b/>
        </w:rPr>
      </w:pPr>
      <w:r w:rsidRPr="00996761">
        <w:rPr>
          <w:b/>
        </w:rPr>
        <w:t xml:space="preserve">The following chart shows the family tree of Sam and Sarah Parker. Their son, Jack, plans to make a number of transfers. </w:t>
      </w:r>
    </w:p>
    <w:p w14:paraId="5B2B96EE" w14:textId="77777777" w:rsidR="00B46409" w:rsidRDefault="00703499" w:rsidP="00B46409">
      <w:pPr>
        <w:pStyle w:val="NormalWeb"/>
        <w:rPr>
          <w:sz w:val="20"/>
          <w:szCs w:val="20"/>
        </w:rPr>
      </w:pPr>
      <w:r>
        <w:rPr>
          <w:noProof/>
          <w:sz w:val="20"/>
          <w:szCs w:val="20"/>
          <w:lang w:eastAsia="zh-CN"/>
        </w:rPr>
        <w:drawing>
          <wp:inline distT="0" distB="0" distL="0" distR="0" wp14:anchorId="1D1B051D" wp14:editId="309FFE48">
            <wp:extent cx="3332480" cy="2245360"/>
            <wp:effectExtent l="0" t="0" r="0" b="0"/>
            <wp:docPr id="10" name="Picture 10" descr="1-1-1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13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480" cy="2245360"/>
                    </a:xfrm>
                    <a:prstGeom prst="rect">
                      <a:avLst/>
                    </a:prstGeom>
                    <a:noFill/>
                    <a:ln>
                      <a:noFill/>
                    </a:ln>
                  </pic:spPr>
                </pic:pic>
              </a:graphicData>
            </a:graphic>
          </wp:inline>
        </w:drawing>
      </w:r>
    </w:p>
    <w:p w14:paraId="5C2B4C76" w14:textId="77777777" w:rsidR="005C140F" w:rsidRPr="00054F04" w:rsidRDefault="005C140F" w:rsidP="005C140F">
      <w:pPr>
        <w:pStyle w:val="ListParagraph"/>
        <w:numPr>
          <w:ilvl w:val="0"/>
          <w:numId w:val="24"/>
        </w:numPr>
        <w:spacing w:before="0" w:after="0"/>
      </w:pPr>
      <w:r w:rsidRPr="00054F04">
        <w:t>From the list below, select the skip person(s) to Jack:</w:t>
      </w:r>
    </w:p>
    <w:p w14:paraId="0421447B"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James</w:t>
      </w:r>
    </w:p>
    <w:p w14:paraId="0B4CCE98" w14:textId="77777777" w:rsidR="005C140F" w:rsidRPr="00054F04" w:rsidRDefault="005C140F" w:rsidP="005C140F">
      <w:pPr>
        <w:ind w:left="720"/>
      </w:pPr>
      <w:r>
        <w:rPr>
          <w:rFonts w:eastAsia="ＭＳ ゴシック"/>
          <w:color w:val="000000"/>
        </w:rPr>
        <w:sym w:font="Wingdings" w:char="F0A1"/>
      </w:r>
      <w:r w:rsidRPr="00054F04">
        <w:t>Anne</w:t>
      </w:r>
    </w:p>
    <w:p w14:paraId="1C9E61A1"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Sue</w:t>
      </w:r>
    </w:p>
    <w:p w14:paraId="0314311D" w14:textId="77777777" w:rsidR="005C140F" w:rsidRPr="00054F04" w:rsidRDefault="005C140F" w:rsidP="005C140F">
      <w:pPr>
        <w:ind w:left="720"/>
      </w:pPr>
      <w:r>
        <w:rPr>
          <w:rFonts w:eastAsia="ＭＳ ゴシック"/>
          <w:color w:val="000000"/>
        </w:rPr>
        <w:sym w:font="Wingdings" w:char="F0A1"/>
      </w:r>
      <w:r w:rsidRPr="00054F04">
        <w:rPr>
          <w:color w:val="000000"/>
        </w:rPr>
        <w:t xml:space="preserve"> </w:t>
      </w:r>
      <w:r w:rsidRPr="00054F04">
        <w:t>Hillary</w:t>
      </w:r>
    </w:p>
    <w:p w14:paraId="38ACCDEC"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Harold</w:t>
      </w:r>
    </w:p>
    <w:p w14:paraId="5864ACE7" w14:textId="77777777" w:rsidR="005C140F" w:rsidRPr="00054F04" w:rsidRDefault="005C140F" w:rsidP="005C140F">
      <w:pPr>
        <w:rPr>
          <w:b/>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8"/>
        <w:gridCol w:w="8306"/>
      </w:tblGrid>
      <w:tr w:rsidR="005C140F" w:rsidRPr="00054F04" w14:paraId="17E4EAF3" w14:textId="77777777" w:rsidTr="009F6F4C">
        <w:trPr>
          <w:trHeight w:val="432"/>
        </w:trPr>
        <w:tc>
          <w:tcPr>
            <w:tcW w:w="8856" w:type="dxa"/>
            <w:gridSpan w:val="2"/>
            <w:shd w:val="clear" w:color="auto" w:fill="41B167"/>
          </w:tcPr>
          <w:p w14:paraId="294A066A" w14:textId="77777777" w:rsidR="005C140F" w:rsidRPr="00054F04" w:rsidRDefault="005C140F" w:rsidP="009F6F4C">
            <w:pPr>
              <w:spacing w:before="60" w:after="60"/>
              <w:rPr>
                <w:color w:val="FFFFFF" w:themeColor="background1"/>
              </w:rPr>
            </w:pPr>
            <w:r w:rsidRPr="00054F04">
              <w:rPr>
                <w:color w:val="FFFFFF" w:themeColor="background1"/>
              </w:rPr>
              <w:t>Answer Key</w:t>
            </w:r>
          </w:p>
        </w:tc>
      </w:tr>
      <w:tr w:rsidR="005C140F" w:rsidRPr="00054F04" w14:paraId="1278D8F7" w14:textId="77777777" w:rsidTr="009F6F4C">
        <w:tc>
          <w:tcPr>
            <w:tcW w:w="550" w:type="dxa"/>
            <w:shd w:val="clear" w:color="auto" w:fill="41B167"/>
          </w:tcPr>
          <w:p w14:paraId="441628F8" w14:textId="77777777" w:rsidR="005C140F" w:rsidRPr="00054F04" w:rsidRDefault="005C140F" w:rsidP="009F6F4C">
            <w:pPr>
              <w:rPr>
                <w:color w:val="FFFFFF" w:themeColor="background1"/>
              </w:rPr>
            </w:pPr>
            <w:r w:rsidRPr="00054F04">
              <w:rPr>
                <w:color w:val="FFFFFF" w:themeColor="background1"/>
              </w:rPr>
              <w:t xml:space="preserve">5 </w:t>
            </w:r>
          </w:p>
        </w:tc>
        <w:tc>
          <w:tcPr>
            <w:tcW w:w="8306" w:type="dxa"/>
            <w:shd w:val="clear" w:color="auto" w:fill="41B167"/>
          </w:tcPr>
          <w:p w14:paraId="212E90E1" w14:textId="77777777" w:rsidR="005C140F" w:rsidRPr="00054F04" w:rsidRDefault="005C140F" w:rsidP="009F6F4C">
            <w:pPr>
              <w:spacing w:before="60" w:after="60"/>
              <w:rPr>
                <w:color w:val="FFFFFF" w:themeColor="background1"/>
              </w:rPr>
            </w:pPr>
            <w:r w:rsidRPr="00054F04">
              <w:rPr>
                <w:b/>
                <w:color w:val="FFFFFF" w:themeColor="background1"/>
              </w:rPr>
              <w:t xml:space="preserve">Correct. James is in the same generation as Jack, Hillary is only one generation below Jack, and Anne and Sue are no longer skip persons due to the predeceased parent rule. </w:t>
            </w:r>
          </w:p>
        </w:tc>
      </w:tr>
      <w:tr w:rsidR="005C140F" w:rsidRPr="00054F04" w14:paraId="04793C2D" w14:textId="77777777" w:rsidTr="009F6F4C">
        <w:tc>
          <w:tcPr>
            <w:tcW w:w="550" w:type="dxa"/>
            <w:shd w:val="clear" w:color="auto" w:fill="41B167"/>
          </w:tcPr>
          <w:p w14:paraId="41282B4F" w14:textId="77777777" w:rsidR="005C140F" w:rsidRPr="00054F04" w:rsidRDefault="005C140F" w:rsidP="009F6F4C">
            <w:pPr>
              <w:rPr>
                <w:color w:val="FFFFFF" w:themeColor="background1"/>
              </w:rPr>
            </w:pPr>
            <w:r w:rsidRPr="00054F04">
              <w:rPr>
                <w:color w:val="FFFFFF" w:themeColor="background1"/>
              </w:rPr>
              <w:t>Others</w:t>
            </w:r>
          </w:p>
        </w:tc>
        <w:tc>
          <w:tcPr>
            <w:tcW w:w="8306" w:type="dxa"/>
            <w:shd w:val="clear" w:color="auto" w:fill="41B167"/>
          </w:tcPr>
          <w:p w14:paraId="3D125CA7" w14:textId="77777777" w:rsidR="005C140F" w:rsidRPr="00054F04" w:rsidRDefault="005C140F" w:rsidP="009F6F4C">
            <w:pPr>
              <w:spacing w:before="60" w:after="60"/>
              <w:rPr>
                <w:color w:val="FFFFFF" w:themeColor="background1"/>
              </w:rPr>
            </w:pPr>
            <w:r w:rsidRPr="00054F04">
              <w:rPr>
                <w:color w:val="FFFFFF" w:themeColor="background1"/>
              </w:rPr>
              <w:t xml:space="preserve">Incorrect. Try again. [Hint: there is only one skip person listed.] </w:t>
            </w:r>
          </w:p>
        </w:tc>
      </w:tr>
    </w:tbl>
    <w:p w14:paraId="3A064518" w14:textId="77777777" w:rsidR="005C140F" w:rsidRPr="00054F04" w:rsidRDefault="005C140F" w:rsidP="005C140F"/>
    <w:p w14:paraId="1D956CC8" w14:textId="77777777" w:rsidR="005C140F" w:rsidRPr="00054F04" w:rsidRDefault="005C140F" w:rsidP="005C140F">
      <w:pPr>
        <w:pStyle w:val="ListParagraph"/>
        <w:numPr>
          <w:ilvl w:val="0"/>
          <w:numId w:val="24"/>
        </w:numPr>
        <w:spacing w:before="0" w:after="0"/>
      </w:pPr>
      <w:r w:rsidRPr="00054F04">
        <w:t>From the list below, select the skip person(s) to Jack:</w:t>
      </w:r>
    </w:p>
    <w:p w14:paraId="087AFDF1"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Joyce</w:t>
      </w:r>
      <w:r w:rsidRPr="00054F04">
        <w:tab/>
      </w:r>
    </w:p>
    <w:p w14:paraId="716CAC63" w14:textId="77777777" w:rsidR="005C140F" w:rsidRPr="00054F04" w:rsidRDefault="005C140F" w:rsidP="005C140F">
      <w:pPr>
        <w:ind w:left="720"/>
      </w:pPr>
      <w:r>
        <w:rPr>
          <w:rFonts w:eastAsia="ＭＳ ゴシック"/>
          <w:color w:val="000000"/>
        </w:rPr>
        <w:sym w:font="Wingdings" w:char="F0A1"/>
      </w:r>
      <w:r w:rsidRPr="00054F04">
        <w:t>Teresa</w:t>
      </w:r>
    </w:p>
    <w:p w14:paraId="711E47C0"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Ellen</w:t>
      </w:r>
    </w:p>
    <w:p w14:paraId="31B37F45" w14:textId="77777777" w:rsidR="005C140F" w:rsidRPr="00054F04" w:rsidRDefault="005C140F" w:rsidP="005C140F">
      <w:pPr>
        <w:ind w:left="720"/>
      </w:pPr>
      <w:r>
        <w:rPr>
          <w:rFonts w:eastAsia="ＭＳ ゴシック"/>
          <w:color w:val="000000"/>
        </w:rPr>
        <w:sym w:font="Wingdings" w:char="F0A1"/>
      </w:r>
      <w:r w:rsidRPr="00054F04">
        <w:rPr>
          <w:color w:val="000000"/>
        </w:rPr>
        <w:t xml:space="preserve"> </w:t>
      </w:r>
      <w:r w:rsidRPr="00054F04">
        <w:t>Hillary</w:t>
      </w:r>
    </w:p>
    <w:p w14:paraId="4E2650E8"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Harold</w:t>
      </w:r>
    </w:p>
    <w:p w14:paraId="2EFAC221" w14:textId="77777777" w:rsidR="005C140F" w:rsidRPr="00054F04" w:rsidRDefault="005C140F" w:rsidP="005C140F">
      <w:pPr>
        <w:rPr>
          <w:b/>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8"/>
        <w:gridCol w:w="8306"/>
      </w:tblGrid>
      <w:tr w:rsidR="005C140F" w:rsidRPr="00054F04" w14:paraId="52C59705" w14:textId="77777777" w:rsidTr="009F6F4C">
        <w:trPr>
          <w:trHeight w:val="432"/>
        </w:trPr>
        <w:tc>
          <w:tcPr>
            <w:tcW w:w="8856" w:type="dxa"/>
            <w:gridSpan w:val="2"/>
            <w:shd w:val="clear" w:color="auto" w:fill="41B167"/>
          </w:tcPr>
          <w:p w14:paraId="64F62A67" w14:textId="77777777" w:rsidR="005C140F" w:rsidRPr="00054F04" w:rsidRDefault="005C140F" w:rsidP="009F6F4C">
            <w:pPr>
              <w:spacing w:before="60" w:after="60"/>
              <w:rPr>
                <w:color w:val="FFFFFF" w:themeColor="background1"/>
              </w:rPr>
            </w:pPr>
            <w:r w:rsidRPr="00054F04">
              <w:rPr>
                <w:color w:val="FFFFFF" w:themeColor="background1"/>
              </w:rPr>
              <w:t>Answer Key</w:t>
            </w:r>
          </w:p>
        </w:tc>
      </w:tr>
      <w:tr w:rsidR="005C140F" w:rsidRPr="00054F04" w14:paraId="2E07B3BA" w14:textId="77777777" w:rsidTr="009F6F4C">
        <w:tc>
          <w:tcPr>
            <w:tcW w:w="550" w:type="dxa"/>
            <w:shd w:val="clear" w:color="auto" w:fill="41B167"/>
          </w:tcPr>
          <w:p w14:paraId="013F8059" w14:textId="77777777" w:rsidR="005C140F" w:rsidRPr="00054F04" w:rsidRDefault="005C140F" w:rsidP="009F6F4C">
            <w:pPr>
              <w:rPr>
                <w:color w:val="FFFFFF" w:themeColor="background1"/>
              </w:rPr>
            </w:pPr>
            <w:r w:rsidRPr="00054F04">
              <w:rPr>
                <w:color w:val="FFFFFF" w:themeColor="background1"/>
              </w:rPr>
              <w:lastRenderedPageBreak/>
              <w:t xml:space="preserve">2,3,5 </w:t>
            </w:r>
          </w:p>
        </w:tc>
        <w:tc>
          <w:tcPr>
            <w:tcW w:w="8306" w:type="dxa"/>
            <w:shd w:val="clear" w:color="auto" w:fill="41B167"/>
          </w:tcPr>
          <w:p w14:paraId="7C2B8E86" w14:textId="77777777" w:rsidR="005C140F" w:rsidRPr="00054F04" w:rsidRDefault="005C140F" w:rsidP="009F6F4C">
            <w:pPr>
              <w:spacing w:before="60" w:after="60"/>
              <w:rPr>
                <w:color w:val="FFFFFF" w:themeColor="background1"/>
              </w:rPr>
            </w:pPr>
            <w:r w:rsidRPr="00054F04">
              <w:rPr>
                <w:b/>
                <w:color w:val="FFFFFF" w:themeColor="background1"/>
              </w:rPr>
              <w:t xml:space="preserve">Correct. The predeceased parent rule does not apply to collateral heirs so long as Jack has lineal descendants, therefore Teresa and Ellen are skip persons to Jack, as is Harold. </w:t>
            </w:r>
          </w:p>
        </w:tc>
      </w:tr>
      <w:tr w:rsidR="005C140F" w:rsidRPr="00054F04" w14:paraId="73E93724" w14:textId="77777777" w:rsidTr="009F6F4C">
        <w:tc>
          <w:tcPr>
            <w:tcW w:w="550" w:type="dxa"/>
            <w:shd w:val="clear" w:color="auto" w:fill="41B167"/>
          </w:tcPr>
          <w:p w14:paraId="7886AE20" w14:textId="77777777" w:rsidR="005C140F" w:rsidRPr="00054F04" w:rsidRDefault="005C140F" w:rsidP="009F6F4C">
            <w:pPr>
              <w:rPr>
                <w:color w:val="FFFFFF" w:themeColor="background1"/>
              </w:rPr>
            </w:pPr>
            <w:r w:rsidRPr="00054F04">
              <w:rPr>
                <w:color w:val="FFFFFF" w:themeColor="background1"/>
              </w:rPr>
              <w:t>Others</w:t>
            </w:r>
          </w:p>
        </w:tc>
        <w:tc>
          <w:tcPr>
            <w:tcW w:w="8306" w:type="dxa"/>
            <w:shd w:val="clear" w:color="auto" w:fill="41B167"/>
          </w:tcPr>
          <w:p w14:paraId="61D2ED5F" w14:textId="77777777" w:rsidR="005C140F" w:rsidRPr="00054F04" w:rsidRDefault="005C140F" w:rsidP="009F6F4C">
            <w:pPr>
              <w:spacing w:before="60" w:after="60"/>
              <w:rPr>
                <w:color w:val="FFFFFF" w:themeColor="background1"/>
              </w:rPr>
            </w:pPr>
            <w:r w:rsidRPr="00054F04">
              <w:rPr>
                <w:color w:val="FFFFFF" w:themeColor="background1"/>
              </w:rPr>
              <w:t>Incorrect. Try again. [Hint: remember that the predeceased parent rule does not apply unless there are no lineal descendants; therefore there are three skip persons listed.</w:t>
            </w:r>
          </w:p>
        </w:tc>
      </w:tr>
    </w:tbl>
    <w:p w14:paraId="54F553EB" w14:textId="77777777" w:rsidR="005C140F" w:rsidRPr="00054F04" w:rsidRDefault="005C140F" w:rsidP="005C140F"/>
    <w:p w14:paraId="62A13151" w14:textId="77777777" w:rsidR="005C140F" w:rsidRPr="00054F04" w:rsidRDefault="005C140F" w:rsidP="005C140F">
      <w:pPr>
        <w:pStyle w:val="ListParagraph"/>
        <w:numPr>
          <w:ilvl w:val="0"/>
          <w:numId w:val="24"/>
        </w:numPr>
        <w:spacing w:before="0" w:after="0"/>
      </w:pPr>
      <w:r w:rsidRPr="00054F04">
        <w:t>From the list below, select the skip person(s) to Jack:</w:t>
      </w:r>
    </w:p>
    <w:p w14:paraId="5CEDCD30" w14:textId="77777777" w:rsidR="005C140F" w:rsidRPr="00054F04" w:rsidRDefault="005C140F" w:rsidP="005C140F"/>
    <w:p w14:paraId="29E57F55"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Anne</w:t>
      </w:r>
    </w:p>
    <w:p w14:paraId="6452B200" w14:textId="77777777" w:rsidR="005C140F" w:rsidRPr="00054F04" w:rsidRDefault="005C140F" w:rsidP="005C140F">
      <w:pPr>
        <w:ind w:left="720"/>
      </w:pPr>
      <w:r>
        <w:rPr>
          <w:rFonts w:eastAsia="ＭＳ ゴシック"/>
          <w:color w:val="000000"/>
        </w:rPr>
        <w:sym w:font="Wingdings" w:char="F0A1"/>
      </w:r>
      <w:r w:rsidRPr="00054F04">
        <w:t>Sue</w:t>
      </w:r>
    </w:p>
    <w:p w14:paraId="538386D6"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Harold</w:t>
      </w:r>
    </w:p>
    <w:p w14:paraId="77D89B9A" w14:textId="77777777" w:rsidR="005C140F" w:rsidRPr="00054F04" w:rsidRDefault="005C140F" w:rsidP="005C140F">
      <w:pPr>
        <w:ind w:left="720"/>
      </w:pPr>
      <w:r>
        <w:rPr>
          <w:rFonts w:eastAsia="ＭＳ ゴシック"/>
          <w:color w:val="000000"/>
        </w:rPr>
        <w:sym w:font="Wingdings" w:char="F0A1"/>
      </w:r>
      <w:r w:rsidRPr="00054F04">
        <w:rPr>
          <w:color w:val="000000"/>
        </w:rPr>
        <w:t xml:space="preserve"> </w:t>
      </w:r>
      <w:r w:rsidRPr="00054F04">
        <w:t>Teresa</w:t>
      </w:r>
    </w:p>
    <w:p w14:paraId="4BD6574F"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Ellen</w:t>
      </w:r>
    </w:p>
    <w:p w14:paraId="78E04EFB" w14:textId="77777777" w:rsidR="005C140F" w:rsidRPr="00054F04" w:rsidRDefault="005C140F" w:rsidP="005C140F">
      <w:pPr>
        <w:rPr>
          <w:b/>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8"/>
        <w:gridCol w:w="8306"/>
      </w:tblGrid>
      <w:tr w:rsidR="005C140F" w:rsidRPr="00054F04" w14:paraId="3451C532" w14:textId="77777777" w:rsidTr="009F6F4C">
        <w:trPr>
          <w:trHeight w:val="432"/>
        </w:trPr>
        <w:tc>
          <w:tcPr>
            <w:tcW w:w="8856" w:type="dxa"/>
            <w:gridSpan w:val="2"/>
            <w:shd w:val="clear" w:color="auto" w:fill="41B167"/>
          </w:tcPr>
          <w:p w14:paraId="5042F8DB" w14:textId="77777777" w:rsidR="005C140F" w:rsidRPr="00054F04" w:rsidRDefault="005C140F" w:rsidP="009F6F4C">
            <w:pPr>
              <w:spacing w:before="60" w:after="60"/>
              <w:rPr>
                <w:color w:val="FFFFFF" w:themeColor="background1"/>
              </w:rPr>
            </w:pPr>
            <w:r w:rsidRPr="00054F04">
              <w:rPr>
                <w:color w:val="FFFFFF" w:themeColor="background1"/>
              </w:rPr>
              <w:t>Answer Key</w:t>
            </w:r>
          </w:p>
        </w:tc>
      </w:tr>
      <w:tr w:rsidR="005C140F" w:rsidRPr="00054F04" w14:paraId="60A74175" w14:textId="77777777" w:rsidTr="009F6F4C">
        <w:tc>
          <w:tcPr>
            <w:tcW w:w="550" w:type="dxa"/>
            <w:shd w:val="clear" w:color="auto" w:fill="41B167"/>
          </w:tcPr>
          <w:p w14:paraId="4006EE9F" w14:textId="77777777" w:rsidR="005C140F" w:rsidRPr="00054F04" w:rsidRDefault="005C140F" w:rsidP="009F6F4C">
            <w:pPr>
              <w:rPr>
                <w:color w:val="FFFFFF" w:themeColor="background1"/>
              </w:rPr>
            </w:pPr>
            <w:r w:rsidRPr="00054F04">
              <w:rPr>
                <w:color w:val="FFFFFF" w:themeColor="background1"/>
              </w:rPr>
              <w:t xml:space="preserve">3,4,5 </w:t>
            </w:r>
          </w:p>
        </w:tc>
        <w:tc>
          <w:tcPr>
            <w:tcW w:w="8306" w:type="dxa"/>
            <w:shd w:val="clear" w:color="auto" w:fill="41B167"/>
          </w:tcPr>
          <w:p w14:paraId="64FD3355" w14:textId="77777777" w:rsidR="005C140F" w:rsidRPr="00054F04" w:rsidRDefault="005C140F" w:rsidP="009F6F4C">
            <w:pPr>
              <w:spacing w:before="60" w:after="60"/>
              <w:rPr>
                <w:color w:val="FFFFFF" w:themeColor="background1"/>
              </w:rPr>
            </w:pPr>
            <w:r w:rsidRPr="00054F04">
              <w:rPr>
                <w:b/>
                <w:color w:val="FFFFFF" w:themeColor="background1"/>
              </w:rPr>
              <w:t>Correct. Anne and Sue are not skip persons to Jack due to the predeceased parent rule; the rest are skip persons to Jack.</w:t>
            </w:r>
          </w:p>
        </w:tc>
      </w:tr>
      <w:tr w:rsidR="005C140F" w:rsidRPr="00054F04" w14:paraId="0C8200EB" w14:textId="77777777" w:rsidTr="009F6F4C">
        <w:tc>
          <w:tcPr>
            <w:tcW w:w="550" w:type="dxa"/>
            <w:shd w:val="clear" w:color="auto" w:fill="41B167"/>
          </w:tcPr>
          <w:p w14:paraId="0B870FD5" w14:textId="77777777" w:rsidR="005C140F" w:rsidRPr="00054F04" w:rsidRDefault="005C140F" w:rsidP="009F6F4C">
            <w:pPr>
              <w:rPr>
                <w:color w:val="FFFFFF" w:themeColor="background1"/>
              </w:rPr>
            </w:pPr>
            <w:r w:rsidRPr="00054F04">
              <w:rPr>
                <w:color w:val="FFFFFF" w:themeColor="background1"/>
              </w:rPr>
              <w:t>Others</w:t>
            </w:r>
          </w:p>
        </w:tc>
        <w:tc>
          <w:tcPr>
            <w:tcW w:w="8306" w:type="dxa"/>
            <w:shd w:val="clear" w:color="auto" w:fill="41B167"/>
          </w:tcPr>
          <w:p w14:paraId="57770830" w14:textId="77777777" w:rsidR="005C140F" w:rsidRPr="00054F04" w:rsidRDefault="005C140F" w:rsidP="009F6F4C">
            <w:pPr>
              <w:spacing w:before="60" w:after="60"/>
              <w:rPr>
                <w:color w:val="FFFFFF" w:themeColor="background1"/>
              </w:rPr>
            </w:pPr>
            <w:r w:rsidRPr="00054F04">
              <w:rPr>
                <w:color w:val="FFFFFF" w:themeColor="background1"/>
              </w:rPr>
              <w:t>Incorrect. Try Again. [Hint: remember that the deceased parent rule only applies to collateral heirs if there are no lineal descendants. In this case, there ARE lineal descendants.]</w:t>
            </w:r>
          </w:p>
        </w:tc>
      </w:tr>
    </w:tbl>
    <w:p w14:paraId="7269E4ED" w14:textId="77777777" w:rsidR="005C140F" w:rsidRPr="00054F04" w:rsidRDefault="005C140F" w:rsidP="005C140F"/>
    <w:p w14:paraId="638042B8" w14:textId="77777777" w:rsidR="005C140F" w:rsidRPr="00054F04" w:rsidRDefault="005C140F" w:rsidP="005C140F">
      <w:pPr>
        <w:pStyle w:val="ListParagraph"/>
        <w:numPr>
          <w:ilvl w:val="0"/>
          <w:numId w:val="24"/>
        </w:numPr>
        <w:spacing w:before="0" w:after="0"/>
      </w:pPr>
      <w:r w:rsidRPr="00054F04">
        <w:t>In addition, Jack plans to make distributions to the following non-related persons. If Jack is 50 years old, select all the persons who are skip persons to Jack.</w:t>
      </w:r>
    </w:p>
    <w:p w14:paraId="4A8C78F7" w14:textId="77777777" w:rsidR="005C140F" w:rsidRPr="00054F04" w:rsidRDefault="005C140F" w:rsidP="005C140F"/>
    <w:p w14:paraId="0A0979B2"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Steve (age 55)</w:t>
      </w:r>
    </w:p>
    <w:p w14:paraId="288E4C9A" w14:textId="77777777" w:rsidR="005C140F" w:rsidRPr="00054F04" w:rsidRDefault="005C140F" w:rsidP="005C140F">
      <w:pPr>
        <w:ind w:left="720"/>
      </w:pPr>
      <w:r>
        <w:rPr>
          <w:rFonts w:eastAsia="ＭＳ ゴシック"/>
          <w:color w:val="000000"/>
        </w:rPr>
        <w:sym w:font="Wingdings" w:char="F0A1"/>
      </w:r>
      <w:r w:rsidRPr="00054F04">
        <w:t>Irene (age 30)</w:t>
      </w:r>
    </w:p>
    <w:p w14:paraId="761D667D" w14:textId="77777777" w:rsidR="005C140F" w:rsidRPr="00054F04" w:rsidRDefault="005C140F" w:rsidP="005C140F">
      <w:pPr>
        <w:ind w:left="720"/>
      </w:pPr>
      <w:r>
        <w:rPr>
          <w:rFonts w:eastAsia="ＭＳ ゴシック"/>
          <w:color w:val="000000"/>
        </w:rPr>
        <w:sym w:font="Wingdings" w:char="F0A1"/>
      </w:r>
      <w:r w:rsidRPr="00054F04">
        <w:rPr>
          <w:rFonts w:eastAsia="ＭＳ ゴシック"/>
          <w:color w:val="000000"/>
        </w:rPr>
        <w:t xml:space="preserve"> </w:t>
      </w:r>
      <w:r w:rsidRPr="00054F04">
        <w:t>William (age 15)</w:t>
      </w:r>
    </w:p>
    <w:p w14:paraId="60F1D29A" w14:textId="77777777" w:rsidR="005C140F" w:rsidRPr="00054F04" w:rsidRDefault="005C140F" w:rsidP="005C140F">
      <w:pPr>
        <w:ind w:left="720"/>
      </w:pPr>
      <w:r>
        <w:rPr>
          <w:rFonts w:eastAsia="ＭＳ ゴシック"/>
          <w:color w:val="000000"/>
        </w:rPr>
        <w:sym w:font="Wingdings" w:char="F0A1"/>
      </w:r>
      <w:r w:rsidRPr="00054F04">
        <w:rPr>
          <w:color w:val="000000"/>
        </w:rPr>
        <w:t xml:space="preserve"> </w:t>
      </w:r>
      <w:r w:rsidRPr="00054F04">
        <w:t>Wendy (age 10)</w:t>
      </w:r>
    </w:p>
    <w:p w14:paraId="38294E43" w14:textId="77777777" w:rsidR="005C140F" w:rsidRPr="00054F04" w:rsidRDefault="005C140F" w:rsidP="005C140F">
      <w:pPr>
        <w:rPr>
          <w:b/>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8"/>
        <w:gridCol w:w="8306"/>
      </w:tblGrid>
      <w:tr w:rsidR="005C140F" w:rsidRPr="00054F04" w14:paraId="22DBD5E4" w14:textId="77777777" w:rsidTr="009F6F4C">
        <w:trPr>
          <w:trHeight w:val="432"/>
        </w:trPr>
        <w:tc>
          <w:tcPr>
            <w:tcW w:w="8856" w:type="dxa"/>
            <w:gridSpan w:val="2"/>
            <w:shd w:val="clear" w:color="auto" w:fill="41B167"/>
          </w:tcPr>
          <w:p w14:paraId="23AC44E5" w14:textId="77777777" w:rsidR="005C140F" w:rsidRPr="00054F04" w:rsidRDefault="005C140F" w:rsidP="009F6F4C">
            <w:pPr>
              <w:spacing w:before="60" w:after="60"/>
              <w:rPr>
                <w:color w:val="FFFFFF" w:themeColor="background1"/>
              </w:rPr>
            </w:pPr>
            <w:r w:rsidRPr="00054F04">
              <w:rPr>
                <w:color w:val="FFFFFF" w:themeColor="background1"/>
              </w:rPr>
              <w:t>Answer Key</w:t>
            </w:r>
          </w:p>
        </w:tc>
      </w:tr>
      <w:tr w:rsidR="005C140F" w:rsidRPr="00054F04" w14:paraId="6BF09E04" w14:textId="77777777" w:rsidTr="009F6F4C">
        <w:tc>
          <w:tcPr>
            <w:tcW w:w="550" w:type="dxa"/>
            <w:shd w:val="clear" w:color="auto" w:fill="41B167"/>
          </w:tcPr>
          <w:p w14:paraId="66A9575B" w14:textId="77777777" w:rsidR="005C140F" w:rsidRPr="00054F04" w:rsidRDefault="005C140F" w:rsidP="009F6F4C">
            <w:pPr>
              <w:rPr>
                <w:color w:val="FFFFFF" w:themeColor="background1"/>
              </w:rPr>
            </w:pPr>
            <w:r w:rsidRPr="00054F04">
              <w:rPr>
                <w:color w:val="FFFFFF" w:themeColor="background1"/>
              </w:rPr>
              <w:t xml:space="preserve">4 </w:t>
            </w:r>
          </w:p>
        </w:tc>
        <w:tc>
          <w:tcPr>
            <w:tcW w:w="8306" w:type="dxa"/>
            <w:shd w:val="clear" w:color="auto" w:fill="41B167"/>
          </w:tcPr>
          <w:p w14:paraId="09891B7F" w14:textId="77777777" w:rsidR="005C140F" w:rsidRPr="00054F04" w:rsidRDefault="005C140F" w:rsidP="009F6F4C">
            <w:pPr>
              <w:spacing w:before="60" w:after="60"/>
              <w:rPr>
                <w:color w:val="FFFFFF" w:themeColor="background1"/>
              </w:rPr>
            </w:pPr>
            <w:r w:rsidRPr="00054F04">
              <w:rPr>
                <w:b/>
                <w:color w:val="FFFFFF" w:themeColor="background1"/>
              </w:rPr>
              <w:t>Correct. Nonrelated persons are skip-persons ONLY if their age is at least 27½ years below the age of the transferor.</w:t>
            </w:r>
          </w:p>
        </w:tc>
      </w:tr>
      <w:tr w:rsidR="005C140F" w:rsidRPr="00054F04" w14:paraId="4FC99D0E" w14:textId="77777777" w:rsidTr="009F6F4C">
        <w:tc>
          <w:tcPr>
            <w:tcW w:w="550" w:type="dxa"/>
            <w:shd w:val="clear" w:color="auto" w:fill="41B167"/>
          </w:tcPr>
          <w:p w14:paraId="08EAF937" w14:textId="77777777" w:rsidR="005C140F" w:rsidRPr="00054F04" w:rsidRDefault="005C140F" w:rsidP="009F6F4C">
            <w:pPr>
              <w:rPr>
                <w:color w:val="FFFFFF" w:themeColor="background1"/>
              </w:rPr>
            </w:pPr>
            <w:r w:rsidRPr="00054F04">
              <w:rPr>
                <w:color w:val="FFFFFF" w:themeColor="background1"/>
              </w:rPr>
              <w:t>Others</w:t>
            </w:r>
          </w:p>
        </w:tc>
        <w:tc>
          <w:tcPr>
            <w:tcW w:w="8306" w:type="dxa"/>
            <w:shd w:val="clear" w:color="auto" w:fill="41B167"/>
          </w:tcPr>
          <w:p w14:paraId="39676CE7" w14:textId="77777777" w:rsidR="005C140F" w:rsidRPr="00054F04" w:rsidRDefault="005C140F" w:rsidP="009F6F4C">
            <w:pPr>
              <w:spacing w:before="60" w:after="60"/>
              <w:rPr>
                <w:color w:val="FFFFFF" w:themeColor="background1"/>
              </w:rPr>
            </w:pPr>
            <w:r w:rsidRPr="00054F04">
              <w:rPr>
                <w:color w:val="FFFFFF" w:themeColor="background1"/>
              </w:rPr>
              <w:t>Incorrect. [Remember that non-related skip persons are those persons at least 37½ years younger than the donor.]</w:t>
            </w:r>
          </w:p>
        </w:tc>
      </w:tr>
    </w:tbl>
    <w:p w14:paraId="3A4D0B27" w14:textId="77777777" w:rsidR="00B46409" w:rsidRDefault="00B46409" w:rsidP="00B46409">
      <w:pPr>
        <w:rPr>
          <w:color w:val="000000"/>
        </w:rPr>
      </w:pPr>
    </w:p>
    <w:p w14:paraId="38B1A88A" w14:textId="626DD69E" w:rsidR="00042D33" w:rsidRPr="009C6C65" w:rsidRDefault="00042D33" w:rsidP="00866340">
      <w:pPr>
        <w:numPr>
          <w:ilvl w:val="0"/>
          <w:numId w:val="24"/>
        </w:numPr>
        <w:rPr>
          <w:b/>
        </w:rPr>
      </w:pPr>
      <w:r w:rsidRPr="009C6C65">
        <w:rPr>
          <w:b/>
        </w:rPr>
        <w:t xml:space="preserve">For </w:t>
      </w:r>
      <w:r w:rsidR="005C140F">
        <w:rPr>
          <w:b/>
        </w:rPr>
        <w:t>2016</w:t>
      </w:r>
      <w:r w:rsidR="005C140F" w:rsidRPr="009C6C65">
        <w:rPr>
          <w:b/>
        </w:rPr>
        <w:t xml:space="preserve"> </w:t>
      </w:r>
      <w:r w:rsidRPr="009C6C65">
        <w:rPr>
          <w:b/>
        </w:rPr>
        <w:t xml:space="preserve">transfers, the GST tax rate and the maximum </w:t>
      </w:r>
      <w:r>
        <w:rPr>
          <w:b/>
        </w:rPr>
        <w:t>gift and estate</w:t>
      </w:r>
      <w:r w:rsidRPr="009C6C65">
        <w:rPr>
          <w:b/>
        </w:rPr>
        <w:t xml:space="preserve"> tax </w:t>
      </w:r>
      <w:r w:rsidRPr="009C6C65">
        <w:rPr>
          <w:b/>
        </w:rPr>
        <w:lastRenderedPageBreak/>
        <w:t>rate is:</w:t>
      </w:r>
    </w:p>
    <w:p w14:paraId="129B9A04" w14:textId="77777777" w:rsidR="00042D33" w:rsidRPr="00816704" w:rsidRDefault="00042D33" w:rsidP="00042D33">
      <w:pPr>
        <w:numPr>
          <w:ilvl w:val="0"/>
          <w:numId w:val="14"/>
        </w:numPr>
      </w:pPr>
      <w:r w:rsidRPr="00816704">
        <w:t>55%</w:t>
      </w:r>
    </w:p>
    <w:p w14:paraId="767043CC" w14:textId="77777777" w:rsidR="00042D33" w:rsidRPr="00816704" w:rsidRDefault="00042D33" w:rsidP="00042D33">
      <w:pPr>
        <w:pStyle w:val="ReviewAnswer"/>
        <w:ind w:left="1440"/>
      </w:pPr>
      <w:r w:rsidRPr="00816704">
        <w:rPr>
          <w:rStyle w:val="Strong"/>
        </w:rPr>
        <w:t>Incorrect</w:t>
      </w:r>
      <w:r w:rsidRPr="00816704">
        <w:t>. Try again.</w:t>
      </w:r>
    </w:p>
    <w:p w14:paraId="4BE5D9BA" w14:textId="77777777" w:rsidR="00042D33" w:rsidRPr="00816704" w:rsidRDefault="00042D33" w:rsidP="00042D33">
      <w:pPr>
        <w:numPr>
          <w:ilvl w:val="0"/>
          <w:numId w:val="14"/>
        </w:numPr>
      </w:pPr>
      <w:r w:rsidRPr="00816704">
        <w:t>50%</w:t>
      </w:r>
    </w:p>
    <w:p w14:paraId="4BDE8EB5" w14:textId="77777777" w:rsidR="00042D33" w:rsidRPr="00816704" w:rsidRDefault="00042D33" w:rsidP="00042D33">
      <w:pPr>
        <w:pStyle w:val="ReviewAnswer"/>
        <w:ind w:left="1440"/>
      </w:pPr>
      <w:r w:rsidRPr="00816704">
        <w:rPr>
          <w:rStyle w:val="Strong"/>
        </w:rPr>
        <w:t xml:space="preserve">Incorrect. </w:t>
      </w:r>
      <w:r w:rsidRPr="00816704">
        <w:t>Try again.</w:t>
      </w:r>
    </w:p>
    <w:p w14:paraId="3415A34D" w14:textId="77777777" w:rsidR="00042D33" w:rsidRPr="00B51BB9" w:rsidRDefault="00042D33" w:rsidP="00042D33">
      <w:pPr>
        <w:numPr>
          <w:ilvl w:val="0"/>
          <w:numId w:val="14"/>
        </w:numPr>
        <w:rPr>
          <w:b/>
        </w:rPr>
      </w:pPr>
      <w:r w:rsidRPr="00B51BB9">
        <w:rPr>
          <w:b/>
        </w:rPr>
        <w:t xml:space="preserve">40% </w:t>
      </w:r>
    </w:p>
    <w:p w14:paraId="3D2689E1" w14:textId="77777777" w:rsidR="00042D33" w:rsidRPr="00816704" w:rsidRDefault="00042D33" w:rsidP="00042D33">
      <w:pPr>
        <w:pStyle w:val="ReviewAnswer"/>
        <w:ind w:left="1440"/>
      </w:pPr>
      <w:r>
        <w:rPr>
          <w:rStyle w:val="Strong"/>
        </w:rPr>
        <w:t>Correct</w:t>
      </w:r>
      <w:r w:rsidRPr="00816704">
        <w:rPr>
          <w:rStyle w:val="Strong"/>
        </w:rPr>
        <w:t xml:space="preserve">. </w:t>
      </w:r>
    </w:p>
    <w:p w14:paraId="0A844C77" w14:textId="77777777" w:rsidR="00042D33" w:rsidRPr="00B51BB9" w:rsidRDefault="00042D33" w:rsidP="00042D33">
      <w:pPr>
        <w:numPr>
          <w:ilvl w:val="0"/>
          <w:numId w:val="14"/>
        </w:numPr>
        <w:rPr>
          <w:rStyle w:val="Strong"/>
          <w:b w:val="0"/>
        </w:rPr>
      </w:pPr>
      <w:r w:rsidRPr="00B51BB9">
        <w:rPr>
          <w:rStyle w:val="Strong"/>
          <w:b w:val="0"/>
        </w:rPr>
        <w:t>35%</w:t>
      </w:r>
    </w:p>
    <w:p w14:paraId="10762EE6" w14:textId="77777777" w:rsidR="00042D33" w:rsidRPr="00816704" w:rsidRDefault="00042D33" w:rsidP="00042D33">
      <w:pPr>
        <w:pStyle w:val="ReviewAnswer"/>
        <w:ind w:left="1440"/>
      </w:pPr>
      <w:r>
        <w:rPr>
          <w:rStyle w:val="Strong"/>
        </w:rPr>
        <w:t>Inc</w:t>
      </w:r>
      <w:r w:rsidRPr="00816704">
        <w:rPr>
          <w:rStyle w:val="Strong"/>
        </w:rPr>
        <w:t>orrect</w:t>
      </w:r>
      <w:r w:rsidRPr="00816704">
        <w:t>.</w:t>
      </w:r>
      <w:r>
        <w:t xml:space="preserve"> Try again.</w:t>
      </w:r>
    </w:p>
    <w:p w14:paraId="20F1F3D7" w14:textId="77777777" w:rsidR="00042D33" w:rsidRPr="00816704" w:rsidRDefault="00042D33" w:rsidP="00042D33">
      <w:pPr>
        <w:numPr>
          <w:ilvl w:val="0"/>
          <w:numId w:val="14"/>
        </w:numPr>
      </w:pPr>
      <w:r w:rsidRPr="00816704">
        <w:t>30%</w:t>
      </w:r>
    </w:p>
    <w:p w14:paraId="7D24411D" w14:textId="77777777" w:rsidR="00042D33" w:rsidRPr="00816704" w:rsidRDefault="00042D33" w:rsidP="00042D33">
      <w:pPr>
        <w:pStyle w:val="ReviewAnswer"/>
        <w:ind w:left="1440"/>
      </w:pPr>
      <w:r w:rsidRPr="00816704">
        <w:rPr>
          <w:rStyle w:val="Strong"/>
        </w:rPr>
        <w:t xml:space="preserve">Incorrect. </w:t>
      </w:r>
      <w:r w:rsidRPr="00816704">
        <w:t>Try again.</w:t>
      </w:r>
    </w:p>
    <w:p w14:paraId="72E2F6B5" w14:textId="77777777" w:rsidR="00042D33" w:rsidRDefault="00042D33" w:rsidP="00B46409">
      <w:pPr>
        <w:rPr>
          <w:color w:val="000000"/>
        </w:rPr>
      </w:pPr>
    </w:p>
    <w:p w14:paraId="081F83A8" w14:textId="77777777" w:rsidR="00E82306" w:rsidRPr="00CC201C" w:rsidRDefault="00B46409" w:rsidP="000C4B4F">
      <w:pPr>
        <w:pStyle w:val="Heading2"/>
      </w:pPr>
      <w:r>
        <w:br w:type="page"/>
      </w:r>
      <w:r w:rsidR="008E3EF9">
        <w:lastRenderedPageBreak/>
        <w:t>Summary Review</w:t>
      </w:r>
      <w:r w:rsidR="008E3EF9" w:rsidRPr="00CC201C">
        <w:t xml:space="preserve"> </w:t>
      </w:r>
      <w:r w:rsidR="00E82306" w:rsidRPr="00CC201C">
        <w:t>of Transfer Taxes</w:t>
      </w:r>
    </w:p>
    <w:p w14:paraId="3C0A67EC" w14:textId="77777777" w:rsidR="00E82306" w:rsidRPr="00A7730F" w:rsidRDefault="00E82306" w:rsidP="000C4B4F">
      <w:r w:rsidRPr="00A7730F">
        <w:t xml:space="preserve">This concludes the three-part overview of </w:t>
      </w:r>
      <w:r w:rsidR="006B2906">
        <w:t xml:space="preserve">transfer </w:t>
      </w:r>
      <w:r w:rsidRPr="00A7730F">
        <w:t xml:space="preserve">taxation relevant to estate planning. As a review, the chart below puts together the preceding changes regarding transfer taxation into a single chart. Here are the most important points to remember: </w:t>
      </w:r>
    </w:p>
    <w:p w14:paraId="7641A2CC" w14:textId="64A54320" w:rsidR="000A0B70" w:rsidRDefault="00FB5724" w:rsidP="00306F33">
      <w:pPr>
        <w:numPr>
          <w:ilvl w:val="0"/>
          <w:numId w:val="9"/>
        </w:numPr>
      </w:pPr>
      <w:r>
        <w:t>The</w:t>
      </w:r>
      <w:r w:rsidR="00E82306" w:rsidRPr="00811B59">
        <w:t xml:space="preserve"> </w:t>
      </w:r>
      <w:r>
        <w:t>Applicable Exclusion Amount</w:t>
      </w:r>
      <w:r w:rsidR="00654E70">
        <w:t>,</w:t>
      </w:r>
      <w:r>
        <w:t xml:space="preserve"> GST Ta</w:t>
      </w:r>
      <w:r w:rsidR="00B46409">
        <w:t>x Exemption Amount</w:t>
      </w:r>
      <w:r w:rsidR="00654E70">
        <w:t>, and Gift Tax Exclusion Amount</w:t>
      </w:r>
      <w:r w:rsidR="00B46409">
        <w:t xml:space="preserve"> are all $5,</w:t>
      </w:r>
      <w:r w:rsidR="00042D33">
        <w:t>450</w:t>
      </w:r>
      <w:r w:rsidR="00B46409">
        <w:t xml:space="preserve">,000 in </w:t>
      </w:r>
      <w:r w:rsidR="00042D33">
        <w:t>2016</w:t>
      </w:r>
      <w:r w:rsidR="00E82306" w:rsidRPr="00811B59">
        <w:t xml:space="preserve">. </w:t>
      </w:r>
    </w:p>
    <w:p w14:paraId="4F0F52B0" w14:textId="330D030F" w:rsidR="00FB5724" w:rsidRDefault="00FB5724" w:rsidP="00306F33">
      <w:pPr>
        <w:numPr>
          <w:ilvl w:val="0"/>
          <w:numId w:val="9"/>
        </w:numPr>
      </w:pPr>
      <w:r>
        <w:t xml:space="preserve">The maximum rate for gift and estate taxes is </w:t>
      </w:r>
      <w:r w:rsidR="00E50D4B">
        <w:t>40</w:t>
      </w:r>
      <w:r>
        <w:t xml:space="preserve">% in </w:t>
      </w:r>
      <w:r w:rsidR="00042D33">
        <w:t>2016</w:t>
      </w:r>
      <w:r>
        <w:t>.</w:t>
      </w:r>
    </w:p>
    <w:p w14:paraId="19E3F70B" w14:textId="153B2786" w:rsidR="00E82306" w:rsidRDefault="00FB5724" w:rsidP="00BA6EA2">
      <w:pPr>
        <w:numPr>
          <w:ilvl w:val="0"/>
          <w:numId w:val="9"/>
        </w:numPr>
      </w:pPr>
      <w:r>
        <w:t>The GST Tax rate, a flat tax at the maximum rate on the Unified Transfer T</w:t>
      </w:r>
      <w:r w:rsidR="00B46409">
        <w:t xml:space="preserve">ax Rate Schedule, is </w:t>
      </w:r>
      <w:r w:rsidR="00E50D4B">
        <w:t>40</w:t>
      </w:r>
      <w:r w:rsidR="00B46409">
        <w:t xml:space="preserve">% in </w:t>
      </w:r>
      <w:r w:rsidR="00042D33">
        <w:t>2016</w:t>
      </w:r>
      <w:r>
        <w:t>.</w:t>
      </w:r>
    </w:p>
    <w:p w14:paraId="598910F3" w14:textId="77777777" w:rsidR="00042D33" w:rsidRDefault="00042D33" w:rsidP="00996761">
      <w:r>
        <w:t>For your reference only, the following table depicts how these numbers have changed since the turn of the century.</w:t>
      </w:r>
    </w:p>
    <w:tbl>
      <w:tblPr>
        <w:tblpPr w:leftFromText="180" w:rightFromText="180" w:vertAnchor="text" w:horzAnchor="margin" w:tblpXSpec="center" w:tblpY="1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4" w:type="dxa"/>
          <w:left w:w="115" w:type="dxa"/>
          <w:right w:w="115" w:type="dxa"/>
        </w:tblCellMar>
        <w:tblLook w:val="04A0" w:firstRow="1" w:lastRow="0" w:firstColumn="1" w:lastColumn="0" w:noHBand="0" w:noVBand="1"/>
      </w:tblPr>
      <w:tblGrid>
        <w:gridCol w:w="1696"/>
        <w:gridCol w:w="1597"/>
        <w:gridCol w:w="1862"/>
        <w:gridCol w:w="1620"/>
        <w:gridCol w:w="2815"/>
      </w:tblGrid>
      <w:tr w:rsidR="00FB5724" w:rsidRPr="002A02EF" w14:paraId="477EB135" w14:textId="77777777" w:rsidTr="00306F33">
        <w:tc>
          <w:tcPr>
            <w:tcW w:w="1696" w:type="dxa"/>
            <w:shd w:val="clear" w:color="auto" w:fill="BFBA84"/>
            <w:vAlign w:val="center"/>
          </w:tcPr>
          <w:p w14:paraId="7A5C1DB4" w14:textId="77777777" w:rsidR="00FB5724" w:rsidRPr="00F87B94" w:rsidRDefault="00FB5724" w:rsidP="005946F3">
            <w:pPr>
              <w:spacing w:before="40" w:after="40"/>
              <w:jc w:val="center"/>
              <w:rPr>
                <w:rStyle w:val="Strong"/>
                <w:sz w:val="18"/>
                <w:szCs w:val="18"/>
              </w:rPr>
            </w:pPr>
            <w:r w:rsidRPr="00F87B94">
              <w:rPr>
                <w:rStyle w:val="Strong"/>
                <w:sz w:val="18"/>
                <w:szCs w:val="18"/>
              </w:rPr>
              <w:t>Calendar Year</w:t>
            </w:r>
          </w:p>
        </w:tc>
        <w:tc>
          <w:tcPr>
            <w:tcW w:w="1597" w:type="dxa"/>
            <w:shd w:val="clear" w:color="auto" w:fill="BFBA84"/>
            <w:vAlign w:val="center"/>
          </w:tcPr>
          <w:p w14:paraId="3AEC8404" w14:textId="77777777" w:rsidR="00FB5724" w:rsidRPr="00F87B94" w:rsidRDefault="00FB5724" w:rsidP="005946F3">
            <w:pPr>
              <w:spacing w:before="40" w:after="40"/>
              <w:jc w:val="center"/>
              <w:rPr>
                <w:rStyle w:val="Strong"/>
                <w:sz w:val="18"/>
                <w:szCs w:val="18"/>
              </w:rPr>
            </w:pPr>
            <w:r w:rsidRPr="00F87B94">
              <w:rPr>
                <w:rStyle w:val="Strong"/>
                <w:sz w:val="18"/>
                <w:szCs w:val="18"/>
              </w:rPr>
              <w:t>Estate Tax Applicable Exclusion Amount</w:t>
            </w:r>
          </w:p>
        </w:tc>
        <w:tc>
          <w:tcPr>
            <w:tcW w:w="1862" w:type="dxa"/>
            <w:shd w:val="clear" w:color="auto" w:fill="BFBA84"/>
            <w:vAlign w:val="center"/>
          </w:tcPr>
          <w:p w14:paraId="1E917096" w14:textId="77777777" w:rsidR="00FB5724" w:rsidRPr="00F87B94" w:rsidRDefault="00FB5724" w:rsidP="005946F3">
            <w:pPr>
              <w:spacing w:before="40" w:after="40"/>
              <w:jc w:val="center"/>
              <w:rPr>
                <w:rStyle w:val="Strong"/>
                <w:sz w:val="18"/>
                <w:szCs w:val="18"/>
              </w:rPr>
            </w:pPr>
            <w:r w:rsidRPr="00F87B94">
              <w:rPr>
                <w:rStyle w:val="Strong"/>
                <w:sz w:val="18"/>
                <w:szCs w:val="18"/>
              </w:rPr>
              <w:t>GST Lifetime Exemption</w:t>
            </w:r>
          </w:p>
        </w:tc>
        <w:tc>
          <w:tcPr>
            <w:tcW w:w="1620" w:type="dxa"/>
            <w:shd w:val="clear" w:color="auto" w:fill="BFBA84"/>
            <w:vAlign w:val="center"/>
          </w:tcPr>
          <w:p w14:paraId="4C98E9E2" w14:textId="77777777" w:rsidR="00FB5724" w:rsidRPr="00F87B94" w:rsidRDefault="00FB5724" w:rsidP="005946F3">
            <w:pPr>
              <w:spacing w:before="40" w:after="40"/>
              <w:jc w:val="center"/>
              <w:rPr>
                <w:rStyle w:val="Strong"/>
                <w:sz w:val="18"/>
                <w:szCs w:val="18"/>
              </w:rPr>
            </w:pPr>
            <w:r w:rsidRPr="00F87B94">
              <w:rPr>
                <w:rStyle w:val="Strong"/>
                <w:sz w:val="18"/>
                <w:szCs w:val="18"/>
              </w:rPr>
              <w:t>Gift Tax Exclusion Amount</w:t>
            </w:r>
          </w:p>
        </w:tc>
        <w:tc>
          <w:tcPr>
            <w:tcW w:w="2815" w:type="dxa"/>
            <w:shd w:val="clear" w:color="auto" w:fill="BFBA84"/>
            <w:vAlign w:val="center"/>
          </w:tcPr>
          <w:p w14:paraId="21515034" w14:textId="77777777" w:rsidR="00FB5724" w:rsidRPr="00F87B94" w:rsidRDefault="00FB5724" w:rsidP="005946F3">
            <w:pPr>
              <w:spacing w:before="40" w:after="40"/>
              <w:rPr>
                <w:rStyle w:val="Strong"/>
                <w:sz w:val="18"/>
                <w:szCs w:val="18"/>
              </w:rPr>
            </w:pPr>
            <w:r w:rsidRPr="00F87B94">
              <w:rPr>
                <w:rStyle w:val="Strong"/>
                <w:sz w:val="18"/>
                <w:szCs w:val="18"/>
              </w:rPr>
              <w:t>-Max Estate Tax Rate</w:t>
            </w:r>
            <w:r w:rsidRPr="00F87B94">
              <w:rPr>
                <w:rStyle w:val="Strong"/>
                <w:sz w:val="18"/>
                <w:szCs w:val="18"/>
              </w:rPr>
              <w:br/>
              <w:t>-Max Gift Tax Rate</w:t>
            </w:r>
            <w:r w:rsidRPr="00F87B94">
              <w:rPr>
                <w:rStyle w:val="Strong"/>
                <w:sz w:val="18"/>
                <w:szCs w:val="18"/>
              </w:rPr>
              <w:br/>
              <w:t>-GST Tax Rate</w:t>
            </w:r>
          </w:p>
        </w:tc>
      </w:tr>
      <w:tr w:rsidR="00FB5724" w:rsidRPr="00620B74" w14:paraId="6A62573F" w14:textId="77777777" w:rsidTr="00306F33">
        <w:tc>
          <w:tcPr>
            <w:tcW w:w="1696" w:type="dxa"/>
            <w:shd w:val="clear" w:color="auto" w:fill="E7E6CF"/>
            <w:vAlign w:val="center"/>
          </w:tcPr>
          <w:p w14:paraId="626121AF" w14:textId="77777777" w:rsidR="00FB5724" w:rsidRPr="00620B74" w:rsidRDefault="00FB5724" w:rsidP="005946F3">
            <w:pPr>
              <w:spacing w:before="40" w:after="40"/>
            </w:pPr>
            <w:r w:rsidRPr="00620B74">
              <w:t>2001</w:t>
            </w:r>
          </w:p>
        </w:tc>
        <w:tc>
          <w:tcPr>
            <w:tcW w:w="1597" w:type="dxa"/>
            <w:shd w:val="clear" w:color="auto" w:fill="E7E6CF"/>
            <w:vAlign w:val="center"/>
          </w:tcPr>
          <w:p w14:paraId="435611D6" w14:textId="77777777" w:rsidR="00FB5724" w:rsidRPr="00620B74" w:rsidRDefault="00FB5724" w:rsidP="005946F3">
            <w:pPr>
              <w:spacing w:before="40" w:after="40"/>
              <w:jc w:val="right"/>
            </w:pPr>
            <w:r w:rsidRPr="00620B74">
              <w:t>$675,000</w:t>
            </w:r>
          </w:p>
        </w:tc>
        <w:tc>
          <w:tcPr>
            <w:tcW w:w="1862" w:type="dxa"/>
            <w:shd w:val="clear" w:color="auto" w:fill="E7E6CF"/>
            <w:vAlign w:val="center"/>
          </w:tcPr>
          <w:p w14:paraId="57F721B9" w14:textId="77777777" w:rsidR="00FB5724" w:rsidRPr="00620B74" w:rsidRDefault="00FB5724" w:rsidP="005946F3">
            <w:pPr>
              <w:spacing w:before="40" w:after="40"/>
              <w:jc w:val="right"/>
            </w:pPr>
            <w:r w:rsidRPr="00620B74">
              <w:t>$675,000</w:t>
            </w:r>
          </w:p>
        </w:tc>
        <w:tc>
          <w:tcPr>
            <w:tcW w:w="1620" w:type="dxa"/>
            <w:shd w:val="clear" w:color="auto" w:fill="E7E6CF"/>
            <w:vAlign w:val="center"/>
          </w:tcPr>
          <w:p w14:paraId="3ED58E06" w14:textId="77777777" w:rsidR="00FB5724" w:rsidRPr="00620B74" w:rsidRDefault="00FB5724" w:rsidP="005946F3">
            <w:pPr>
              <w:spacing w:before="40" w:after="40"/>
              <w:jc w:val="right"/>
            </w:pPr>
            <w:r w:rsidRPr="00620B74">
              <w:t>$1,000,000</w:t>
            </w:r>
          </w:p>
        </w:tc>
        <w:tc>
          <w:tcPr>
            <w:tcW w:w="2815" w:type="dxa"/>
            <w:shd w:val="clear" w:color="auto" w:fill="E7E6CF"/>
            <w:vAlign w:val="center"/>
          </w:tcPr>
          <w:p w14:paraId="21B65186" w14:textId="77777777" w:rsidR="00FB5724" w:rsidRPr="00620B74" w:rsidRDefault="00FB5724" w:rsidP="005946F3">
            <w:pPr>
              <w:spacing w:before="40" w:after="40"/>
              <w:jc w:val="center"/>
            </w:pPr>
            <w:r w:rsidRPr="00620B74">
              <w:t>55%</w:t>
            </w:r>
          </w:p>
        </w:tc>
      </w:tr>
      <w:tr w:rsidR="00FB5724" w:rsidRPr="00620B74" w14:paraId="1A443F6F" w14:textId="77777777" w:rsidTr="00306F33">
        <w:tc>
          <w:tcPr>
            <w:tcW w:w="1696" w:type="dxa"/>
            <w:shd w:val="clear" w:color="auto" w:fill="E7E6CF"/>
            <w:vAlign w:val="center"/>
          </w:tcPr>
          <w:p w14:paraId="59B9F65C" w14:textId="77777777" w:rsidR="00FB5724" w:rsidRPr="00620B74" w:rsidRDefault="00FB5724" w:rsidP="005946F3">
            <w:pPr>
              <w:spacing w:before="40" w:after="40"/>
            </w:pPr>
            <w:r w:rsidRPr="00620B74">
              <w:t>2002</w:t>
            </w:r>
          </w:p>
        </w:tc>
        <w:tc>
          <w:tcPr>
            <w:tcW w:w="1597" w:type="dxa"/>
            <w:shd w:val="clear" w:color="auto" w:fill="E7E6CF"/>
            <w:vAlign w:val="center"/>
          </w:tcPr>
          <w:p w14:paraId="4E2D0588" w14:textId="77777777" w:rsidR="00FB5724" w:rsidRPr="00620B74" w:rsidRDefault="00FB5724" w:rsidP="005946F3">
            <w:pPr>
              <w:spacing w:before="40" w:after="40"/>
              <w:jc w:val="right"/>
            </w:pPr>
            <w:r w:rsidRPr="00620B74">
              <w:t>$1,000,000</w:t>
            </w:r>
          </w:p>
        </w:tc>
        <w:tc>
          <w:tcPr>
            <w:tcW w:w="1862" w:type="dxa"/>
            <w:shd w:val="clear" w:color="auto" w:fill="E7E6CF"/>
            <w:vAlign w:val="center"/>
          </w:tcPr>
          <w:p w14:paraId="303A11A4" w14:textId="77777777" w:rsidR="00FB5724" w:rsidRPr="00620B74" w:rsidRDefault="00FB5724" w:rsidP="005946F3">
            <w:pPr>
              <w:spacing w:before="40" w:after="40"/>
              <w:jc w:val="right"/>
            </w:pPr>
            <w:r w:rsidRPr="00620B74">
              <w:t>$1,000,000</w:t>
            </w:r>
          </w:p>
        </w:tc>
        <w:tc>
          <w:tcPr>
            <w:tcW w:w="1620" w:type="dxa"/>
            <w:shd w:val="clear" w:color="auto" w:fill="E7E6CF"/>
            <w:vAlign w:val="center"/>
          </w:tcPr>
          <w:p w14:paraId="3EC3953F" w14:textId="77777777" w:rsidR="00FB5724" w:rsidRPr="00620B74" w:rsidRDefault="00FB5724" w:rsidP="005946F3">
            <w:pPr>
              <w:spacing w:before="40" w:after="40"/>
              <w:jc w:val="right"/>
            </w:pPr>
            <w:r w:rsidRPr="00620B74">
              <w:t>$1,000,000</w:t>
            </w:r>
          </w:p>
        </w:tc>
        <w:tc>
          <w:tcPr>
            <w:tcW w:w="2815" w:type="dxa"/>
            <w:shd w:val="clear" w:color="auto" w:fill="E7E6CF"/>
            <w:vAlign w:val="center"/>
          </w:tcPr>
          <w:p w14:paraId="70417577" w14:textId="77777777" w:rsidR="00FB5724" w:rsidRPr="00620B74" w:rsidRDefault="00FB5724" w:rsidP="005946F3">
            <w:pPr>
              <w:spacing w:before="40" w:after="40"/>
              <w:jc w:val="center"/>
            </w:pPr>
            <w:r w:rsidRPr="00620B74">
              <w:t>50%</w:t>
            </w:r>
          </w:p>
        </w:tc>
      </w:tr>
      <w:tr w:rsidR="00FB5724" w:rsidRPr="00620B74" w14:paraId="048239AC" w14:textId="77777777" w:rsidTr="00306F33">
        <w:tc>
          <w:tcPr>
            <w:tcW w:w="1696" w:type="dxa"/>
            <w:shd w:val="clear" w:color="auto" w:fill="E7E6CF"/>
            <w:vAlign w:val="center"/>
          </w:tcPr>
          <w:p w14:paraId="474239B3" w14:textId="77777777" w:rsidR="00FB5724" w:rsidRPr="00620B74" w:rsidRDefault="00FB5724" w:rsidP="005946F3">
            <w:pPr>
              <w:spacing w:before="40" w:after="40"/>
            </w:pPr>
            <w:r w:rsidRPr="00620B74">
              <w:t>2003</w:t>
            </w:r>
          </w:p>
        </w:tc>
        <w:tc>
          <w:tcPr>
            <w:tcW w:w="1597" w:type="dxa"/>
            <w:shd w:val="clear" w:color="auto" w:fill="E7E6CF"/>
            <w:vAlign w:val="center"/>
          </w:tcPr>
          <w:p w14:paraId="52AC6097" w14:textId="77777777" w:rsidR="00FB5724" w:rsidRPr="00620B74" w:rsidRDefault="00FB5724" w:rsidP="005946F3">
            <w:pPr>
              <w:spacing w:before="40" w:after="40"/>
              <w:jc w:val="right"/>
            </w:pPr>
            <w:r w:rsidRPr="00620B74">
              <w:t>$1,000,000</w:t>
            </w:r>
          </w:p>
        </w:tc>
        <w:tc>
          <w:tcPr>
            <w:tcW w:w="1862" w:type="dxa"/>
            <w:shd w:val="clear" w:color="auto" w:fill="E7E6CF"/>
            <w:vAlign w:val="center"/>
          </w:tcPr>
          <w:p w14:paraId="3A027585" w14:textId="77777777" w:rsidR="00FB5724" w:rsidRPr="00620B74" w:rsidRDefault="00FB5724" w:rsidP="005946F3">
            <w:pPr>
              <w:spacing w:before="40" w:after="40"/>
              <w:jc w:val="right"/>
            </w:pPr>
            <w:r w:rsidRPr="00620B74">
              <w:t>$1,000,000</w:t>
            </w:r>
          </w:p>
        </w:tc>
        <w:tc>
          <w:tcPr>
            <w:tcW w:w="1620" w:type="dxa"/>
            <w:shd w:val="clear" w:color="auto" w:fill="E7E6CF"/>
            <w:vAlign w:val="center"/>
          </w:tcPr>
          <w:p w14:paraId="0B63420A" w14:textId="77777777" w:rsidR="00FB5724" w:rsidRPr="00620B74" w:rsidRDefault="00FB5724" w:rsidP="005946F3">
            <w:pPr>
              <w:spacing w:before="40" w:after="40"/>
              <w:jc w:val="right"/>
            </w:pPr>
            <w:r w:rsidRPr="00620B74">
              <w:t>$1,000,000</w:t>
            </w:r>
          </w:p>
        </w:tc>
        <w:tc>
          <w:tcPr>
            <w:tcW w:w="2815" w:type="dxa"/>
            <w:shd w:val="clear" w:color="auto" w:fill="E7E6CF"/>
            <w:vAlign w:val="center"/>
          </w:tcPr>
          <w:p w14:paraId="79E9417C" w14:textId="77777777" w:rsidR="00FB5724" w:rsidRPr="00620B74" w:rsidRDefault="00FB5724" w:rsidP="005946F3">
            <w:pPr>
              <w:spacing w:before="40" w:after="40"/>
              <w:jc w:val="center"/>
            </w:pPr>
            <w:r w:rsidRPr="00620B74">
              <w:t>49%</w:t>
            </w:r>
          </w:p>
        </w:tc>
      </w:tr>
      <w:tr w:rsidR="00FB5724" w:rsidRPr="00620B74" w14:paraId="2A70C59A" w14:textId="77777777" w:rsidTr="005946F3">
        <w:trPr>
          <w:trHeight w:val="454"/>
        </w:trPr>
        <w:tc>
          <w:tcPr>
            <w:tcW w:w="1696" w:type="dxa"/>
            <w:shd w:val="clear" w:color="auto" w:fill="E7E6CF"/>
            <w:vAlign w:val="center"/>
          </w:tcPr>
          <w:p w14:paraId="12EB2646" w14:textId="77777777" w:rsidR="00FB5724" w:rsidRPr="00620B74" w:rsidRDefault="00FB5724" w:rsidP="005946F3">
            <w:pPr>
              <w:spacing w:before="40" w:after="40"/>
            </w:pPr>
            <w:r w:rsidRPr="00620B74">
              <w:t>2004</w:t>
            </w:r>
          </w:p>
        </w:tc>
        <w:tc>
          <w:tcPr>
            <w:tcW w:w="1597" w:type="dxa"/>
            <w:shd w:val="clear" w:color="auto" w:fill="E7E6CF"/>
            <w:vAlign w:val="center"/>
          </w:tcPr>
          <w:p w14:paraId="6227F40A" w14:textId="77777777" w:rsidR="00FB5724" w:rsidRPr="00620B74" w:rsidRDefault="00FB5724" w:rsidP="005946F3">
            <w:pPr>
              <w:spacing w:before="40" w:after="40"/>
              <w:jc w:val="right"/>
            </w:pPr>
            <w:r w:rsidRPr="00620B74">
              <w:t>$1,500,000</w:t>
            </w:r>
          </w:p>
        </w:tc>
        <w:tc>
          <w:tcPr>
            <w:tcW w:w="1862" w:type="dxa"/>
            <w:shd w:val="clear" w:color="auto" w:fill="E7E6CF"/>
            <w:vAlign w:val="center"/>
          </w:tcPr>
          <w:p w14:paraId="31CA0EB5" w14:textId="77777777" w:rsidR="00FB5724" w:rsidRPr="00620B74" w:rsidRDefault="00FB5724" w:rsidP="005946F3">
            <w:pPr>
              <w:spacing w:before="40" w:after="40"/>
              <w:jc w:val="right"/>
            </w:pPr>
            <w:r w:rsidRPr="00620B74">
              <w:t>$1,500,000</w:t>
            </w:r>
          </w:p>
        </w:tc>
        <w:tc>
          <w:tcPr>
            <w:tcW w:w="1620" w:type="dxa"/>
            <w:shd w:val="clear" w:color="auto" w:fill="E7E6CF"/>
            <w:vAlign w:val="center"/>
          </w:tcPr>
          <w:p w14:paraId="2FA2FEE3" w14:textId="77777777" w:rsidR="00FB5724" w:rsidRPr="00620B74" w:rsidRDefault="00FB5724" w:rsidP="005946F3">
            <w:pPr>
              <w:spacing w:before="40" w:after="40"/>
              <w:jc w:val="right"/>
            </w:pPr>
            <w:r w:rsidRPr="00620B74">
              <w:t>$1,000,000</w:t>
            </w:r>
          </w:p>
        </w:tc>
        <w:tc>
          <w:tcPr>
            <w:tcW w:w="2815" w:type="dxa"/>
            <w:shd w:val="clear" w:color="auto" w:fill="E7E6CF"/>
            <w:vAlign w:val="center"/>
          </w:tcPr>
          <w:p w14:paraId="1B1908BC" w14:textId="77777777" w:rsidR="00FB5724" w:rsidRPr="00620B74" w:rsidRDefault="00FB5724" w:rsidP="005946F3">
            <w:pPr>
              <w:spacing w:before="40" w:after="40"/>
              <w:jc w:val="center"/>
            </w:pPr>
            <w:r w:rsidRPr="00620B74">
              <w:t>48%</w:t>
            </w:r>
          </w:p>
        </w:tc>
      </w:tr>
      <w:tr w:rsidR="00FB5724" w:rsidRPr="00620B74" w14:paraId="13ABA61B" w14:textId="77777777" w:rsidTr="00306F33">
        <w:tc>
          <w:tcPr>
            <w:tcW w:w="1696" w:type="dxa"/>
            <w:shd w:val="clear" w:color="auto" w:fill="E7E6CF"/>
            <w:vAlign w:val="center"/>
          </w:tcPr>
          <w:p w14:paraId="43596C5A" w14:textId="77777777" w:rsidR="00FB5724" w:rsidRPr="00620B74" w:rsidRDefault="00FB5724" w:rsidP="005946F3">
            <w:pPr>
              <w:spacing w:before="40" w:after="40"/>
            </w:pPr>
            <w:r w:rsidRPr="00620B74">
              <w:t>2005</w:t>
            </w:r>
          </w:p>
        </w:tc>
        <w:tc>
          <w:tcPr>
            <w:tcW w:w="1597" w:type="dxa"/>
            <w:shd w:val="clear" w:color="auto" w:fill="E7E6CF"/>
            <w:vAlign w:val="center"/>
          </w:tcPr>
          <w:p w14:paraId="589E9681" w14:textId="77777777" w:rsidR="00FB5724" w:rsidRPr="00620B74" w:rsidRDefault="00FB5724" w:rsidP="005946F3">
            <w:pPr>
              <w:spacing w:before="40" w:after="40"/>
              <w:jc w:val="right"/>
            </w:pPr>
            <w:r w:rsidRPr="00620B74">
              <w:t>$1,500,000</w:t>
            </w:r>
          </w:p>
        </w:tc>
        <w:tc>
          <w:tcPr>
            <w:tcW w:w="1862" w:type="dxa"/>
            <w:shd w:val="clear" w:color="auto" w:fill="E7E6CF"/>
            <w:vAlign w:val="center"/>
          </w:tcPr>
          <w:p w14:paraId="5700BC96" w14:textId="77777777" w:rsidR="00FB5724" w:rsidRPr="00620B74" w:rsidRDefault="00FB5724" w:rsidP="005946F3">
            <w:pPr>
              <w:spacing w:before="40" w:after="40"/>
              <w:jc w:val="right"/>
            </w:pPr>
            <w:r w:rsidRPr="00620B74">
              <w:t>$1,500,000</w:t>
            </w:r>
          </w:p>
        </w:tc>
        <w:tc>
          <w:tcPr>
            <w:tcW w:w="1620" w:type="dxa"/>
            <w:shd w:val="clear" w:color="auto" w:fill="E7E6CF"/>
            <w:vAlign w:val="center"/>
          </w:tcPr>
          <w:p w14:paraId="524FABA5" w14:textId="77777777" w:rsidR="00FB5724" w:rsidRPr="00620B74" w:rsidRDefault="00FB5724" w:rsidP="005946F3">
            <w:pPr>
              <w:spacing w:before="40" w:after="40"/>
              <w:jc w:val="right"/>
            </w:pPr>
            <w:r w:rsidRPr="00620B74">
              <w:t>$1,000,000</w:t>
            </w:r>
          </w:p>
        </w:tc>
        <w:tc>
          <w:tcPr>
            <w:tcW w:w="2815" w:type="dxa"/>
            <w:shd w:val="clear" w:color="auto" w:fill="E7E6CF"/>
            <w:vAlign w:val="center"/>
          </w:tcPr>
          <w:p w14:paraId="5578BB06" w14:textId="77777777" w:rsidR="00FB5724" w:rsidRPr="00620B74" w:rsidRDefault="00FB5724" w:rsidP="005946F3">
            <w:pPr>
              <w:spacing w:before="40" w:after="40"/>
              <w:jc w:val="center"/>
            </w:pPr>
            <w:r w:rsidRPr="00620B74">
              <w:t>47%</w:t>
            </w:r>
          </w:p>
        </w:tc>
      </w:tr>
      <w:tr w:rsidR="00FB5724" w:rsidRPr="00620B74" w14:paraId="3705473F" w14:textId="77777777" w:rsidTr="00306F33">
        <w:tc>
          <w:tcPr>
            <w:tcW w:w="1696" w:type="dxa"/>
            <w:shd w:val="clear" w:color="auto" w:fill="E7E6CF"/>
            <w:vAlign w:val="center"/>
          </w:tcPr>
          <w:p w14:paraId="3B1013E1" w14:textId="77777777" w:rsidR="00FB5724" w:rsidRPr="00620B74" w:rsidRDefault="00FB5724" w:rsidP="005946F3">
            <w:pPr>
              <w:spacing w:before="40" w:after="40"/>
            </w:pPr>
            <w:r w:rsidRPr="00620B74">
              <w:t>2006</w:t>
            </w:r>
          </w:p>
        </w:tc>
        <w:tc>
          <w:tcPr>
            <w:tcW w:w="1597" w:type="dxa"/>
            <w:shd w:val="clear" w:color="auto" w:fill="E7E6CF"/>
            <w:vAlign w:val="center"/>
          </w:tcPr>
          <w:p w14:paraId="72D76FCF" w14:textId="77777777" w:rsidR="00FB5724" w:rsidRPr="00620B74" w:rsidRDefault="00FB5724" w:rsidP="005946F3">
            <w:pPr>
              <w:spacing w:before="40" w:after="40"/>
              <w:jc w:val="right"/>
            </w:pPr>
            <w:r w:rsidRPr="00620B74">
              <w:t>$2,000,000</w:t>
            </w:r>
          </w:p>
        </w:tc>
        <w:tc>
          <w:tcPr>
            <w:tcW w:w="1862" w:type="dxa"/>
            <w:shd w:val="clear" w:color="auto" w:fill="E7E6CF"/>
            <w:vAlign w:val="center"/>
          </w:tcPr>
          <w:p w14:paraId="4DE94691" w14:textId="77777777" w:rsidR="00FB5724" w:rsidRPr="00620B74" w:rsidRDefault="00FB5724" w:rsidP="005946F3">
            <w:pPr>
              <w:spacing w:before="40" w:after="40"/>
              <w:jc w:val="right"/>
            </w:pPr>
            <w:r w:rsidRPr="00620B74">
              <w:t>$2,000,000</w:t>
            </w:r>
          </w:p>
        </w:tc>
        <w:tc>
          <w:tcPr>
            <w:tcW w:w="1620" w:type="dxa"/>
            <w:shd w:val="clear" w:color="auto" w:fill="E7E6CF"/>
            <w:vAlign w:val="center"/>
          </w:tcPr>
          <w:p w14:paraId="094517F3" w14:textId="77777777" w:rsidR="00FB5724" w:rsidRPr="00620B74" w:rsidRDefault="00FB5724" w:rsidP="005946F3">
            <w:pPr>
              <w:spacing w:before="40" w:after="40"/>
              <w:jc w:val="right"/>
            </w:pPr>
            <w:r w:rsidRPr="00620B74">
              <w:t>$1,000,000</w:t>
            </w:r>
          </w:p>
        </w:tc>
        <w:tc>
          <w:tcPr>
            <w:tcW w:w="2815" w:type="dxa"/>
            <w:shd w:val="clear" w:color="auto" w:fill="E7E6CF"/>
            <w:vAlign w:val="center"/>
          </w:tcPr>
          <w:p w14:paraId="3AB46EA3" w14:textId="77777777" w:rsidR="00FB5724" w:rsidRPr="00620B74" w:rsidRDefault="00FB5724" w:rsidP="005946F3">
            <w:pPr>
              <w:spacing w:before="40" w:after="40"/>
              <w:jc w:val="center"/>
            </w:pPr>
            <w:r w:rsidRPr="00620B74">
              <w:t>46%</w:t>
            </w:r>
          </w:p>
        </w:tc>
      </w:tr>
      <w:tr w:rsidR="00FB5724" w:rsidRPr="00620B74" w14:paraId="103D739F" w14:textId="77777777" w:rsidTr="00306F33">
        <w:tc>
          <w:tcPr>
            <w:tcW w:w="1696" w:type="dxa"/>
            <w:shd w:val="clear" w:color="auto" w:fill="E7E6CF"/>
            <w:vAlign w:val="center"/>
          </w:tcPr>
          <w:p w14:paraId="608B022B" w14:textId="77777777" w:rsidR="00FB5724" w:rsidRPr="00620B74" w:rsidRDefault="00FB5724" w:rsidP="005946F3">
            <w:pPr>
              <w:spacing w:before="40" w:after="40"/>
            </w:pPr>
            <w:r w:rsidRPr="00620B74">
              <w:t>2007, 2008</w:t>
            </w:r>
          </w:p>
        </w:tc>
        <w:tc>
          <w:tcPr>
            <w:tcW w:w="1597" w:type="dxa"/>
            <w:shd w:val="clear" w:color="auto" w:fill="E7E6CF"/>
            <w:vAlign w:val="center"/>
          </w:tcPr>
          <w:p w14:paraId="4FDF13FF" w14:textId="77777777" w:rsidR="00FB5724" w:rsidRPr="00620B74" w:rsidRDefault="00FB5724" w:rsidP="005946F3">
            <w:pPr>
              <w:spacing w:before="40" w:after="40"/>
              <w:jc w:val="right"/>
            </w:pPr>
            <w:r w:rsidRPr="00620B74">
              <w:t>$2,000,000</w:t>
            </w:r>
          </w:p>
        </w:tc>
        <w:tc>
          <w:tcPr>
            <w:tcW w:w="1862" w:type="dxa"/>
            <w:shd w:val="clear" w:color="auto" w:fill="E7E6CF"/>
            <w:vAlign w:val="center"/>
          </w:tcPr>
          <w:p w14:paraId="3C0EF873" w14:textId="77777777" w:rsidR="00FB5724" w:rsidRPr="00620B74" w:rsidRDefault="00FB5724" w:rsidP="005946F3">
            <w:pPr>
              <w:spacing w:before="40" w:after="40"/>
              <w:jc w:val="right"/>
            </w:pPr>
            <w:r w:rsidRPr="00620B74">
              <w:t>$2,000,000</w:t>
            </w:r>
          </w:p>
        </w:tc>
        <w:tc>
          <w:tcPr>
            <w:tcW w:w="1620" w:type="dxa"/>
            <w:shd w:val="clear" w:color="auto" w:fill="E7E6CF"/>
            <w:vAlign w:val="center"/>
          </w:tcPr>
          <w:p w14:paraId="255E3350" w14:textId="77777777" w:rsidR="00FB5724" w:rsidRPr="00620B74" w:rsidRDefault="00FB5724" w:rsidP="005946F3">
            <w:pPr>
              <w:spacing w:before="40" w:after="40"/>
              <w:jc w:val="right"/>
            </w:pPr>
            <w:r w:rsidRPr="00620B74">
              <w:t>$1,000,000</w:t>
            </w:r>
          </w:p>
        </w:tc>
        <w:tc>
          <w:tcPr>
            <w:tcW w:w="2815" w:type="dxa"/>
            <w:shd w:val="clear" w:color="auto" w:fill="E7E6CF"/>
            <w:vAlign w:val="center"/>
          </w:tcPr>
          <w:p w14:paraId="29E34E3E" w14:textId="77777777" w:rsidR="00FB5724" w:rsidRPr="00620B74" w:rsidRDefault="00FB5724" w:rsidP="005946F3">
            <w:pPr>
              <w:spacing w:before="40" w:after="40"/>
              <w:jc w:val="center"/>
            </w:pPr>
            <w:r w:rsidRPr="00620B74">
              <w:t>45%</w:t>
            </w:r>
          </w:p>
        </w:tc>
      </w:tr>
      <w:tr w:rsidR="00FB5724" w:rsidRPr="00620B74" w14:paraId="1E44FD6E" w14:textId="77777777" w:rsidTr="00306F33">
        <w:tc>
          <w:tcPr>
            <w:tcW w:w="1696" w:type="dxa"/>
            <w:shd w:val="clear" w:color="auto" w:fill="E7E6CF"/>
            <w:vAlign w:val="center"/>
          </w:tcPr>
          <w:p w14:paraId="20895F19" w14:textId="77777777" w:rsidR="00FB5724" w:rsidRPr="00620B74" w:rsidRDefault="00FB5724" w:rsidP="005946F3">
            <w:pPr>
              <w:spacing w:before="40" w:after="40"/>
            </w:pPr>
            <w:r w:rsidRPr="00620B74">
              <w:t>2009</w:t>
            </w:r>
          </w:p>
        </w:tc>
        <w:tc>
          <w:tcPr>
            <w:tcW w:w="1597" w:type="dxa"/>
            <w:shd w:val="clear" w:color="auto" w:fill="E7E6CF"/>
            <w:vAlign w:val="center"/>
          </w:tcPr>
          <w:p w14:paraId="51120EBC" w14:textId="77777777" w:rsidR="00FB5724" w:rsidRPr="00620B74" w:rsidRDefault="00FB5724" w:rsidP="005946F3">
            <w:pPr>
              <w:spacing w:before="40" w:after="40"/>
              <w:jc w:val="right"/>
            </w:pPr>
            <w:r w:rsidRPr="00620B74">
              <w:t>$3,500,000</w:t>
            </w:r>
          </w:p>
        </w:tc>
        <w:tc>
          <w:tcPr>
            <w:tcW w:w="1862" w:type="dxa"/>
            <w:shd w:val="clear" w:color="auto" w:fill="E7E6CF"/>
            <w:vAlign w:val="center"/>
          </w:tcPr>
          <w:p w14:paraId="3CCC152B" w14:textId="77777777" w:rsidR="00FB5724" w:rsidRPr="00620B74" w:rsidRDefault="00FB5724" w:rsidP="005946F3">
            <w:pPr>
              <w:spacing w:before="40" w:after="40"/>
              <w:jc w:val="right"/>
            </w:pPr>
            <w:r w:rsidRPr="00620B74">
              <w:t>$3,500,000</w:t>
            </w:r>
          </w:p>
        </w:tc>
        <w:tc>
          <w:tcPr>
            <w:tcW w:w="1620" w:type="dxa"/>
            <w:shd w:val="clear" w:color="auto" w:fill="E7E6CF"/>
            <w:vAlign w:val="center"/>
          </w:tcPr>
          <w:p w14:paraId="7C54E869" w14:textId="77777777" w:rsidR="00FB5724" w:rsidRPr="00620B74" w:rsidRDefault="00FB5724" w:rsidP="005946F3">
            <w:pPr>
              <w:spacing w:before="40" w:after="40"/>
              <w:jc w:val="right"/>
            </w:pPr>
            <w:r w:rsidRPr="00620B74">
              <w:t>$1,000,000</w:t>
            </w:r>
          </w:p>
        </w:tc>
        <w:tc>
          <w:tcPr>
            <w:tcW w:w="2815" w:type="dxa"/>
            <w:shd w:val="clear" w:color="auto" w:fill="E7E6CF"/>
            <w:vAlign w:val="center"/>
          </w:tcPr>
          <w:p w14:paraId="60650385" w14:textId="77777777" w:rsidR="00FB5724" w:rsidRPr="00620B74" w:rsidRDefault="00FB5724" w:rsidP="005946F3">
            <w:pPr>
              <w:spacing w:before="40" w:after="40"/>
              <w:jc w:val="center"/>
              <w:rPr>
                <w:color w:val="000000"/>
              </w:rPr>
            </w:pPr>
            <w:r w:rsidRPr="00620B74">
              <w:rPr>
                <w:color w:val="000000"/>
              </w:rPr>
              <w:t>45%</w:t>
            </w:r>
          </w:p>
        </w:tc>
      </w:tr>
      <w:tr w:rsidR="00FB5724" w:rsidRPr="00620B74" w14:paraId="0730B8A0" w14:textId="77777777" w:rsidTr="00306F33">
        <w:tc>
          <w:tcPr>
            <w:tcW w:w="1696" w:type="dxa"/>
            <w:shd w:val="clear" w:color="auto" w:fill="E7E6CF"/>
            <w:vAlign w:val="center"/>
          </w:tcPr>
          <w:p w14:paraId="57BB1EF4" w14:textId="77777777" w:rsidR="00FB5724" w:rsidRPr="00620B74" w:rsidRDefault="00FB5724" w:rsidP="005946F3">
            <w:pPr>
              <w:spacing w:before="40" w:after="40"/>
            </w:pPr>
            <w:r w:rsidRPr="00620B74">
              <w:t>2010</w:t>
            </w:r>
          </w:p>
        </w:tc>
        <w:tc>
          <w:tcPr>
            <w:tcW w:w="1597" w:type="dxa"/>
            <w:shd w:val="clear" w:color="auto" w:fill="E7E6CF"/>
            <w:vAlign w:val="center"/>
          </w:tcPr>
          <w:p w14:paraId="409F671C" w14:textId="77777777" w:rsidR="00FB5724" w:rsidRPr="00620B74" w:rsidRDefault="00FB5724" w:rsidP="005946F3">
            <w:pPr>
              <w:spacing w:before="40" w:after="40"/>
              <w:jc w:val="right"/>
            </w:pPr>
            <w:r w:rsidRPr="00620B74">
              <w:t>$5,000,000</w:t>
            </w:r>
          </w:p>
        </w:tc>
        <w:tc>
          <w:tcPr>
            <w:tcW w:w="1862" w:type="dxa"/>
            <w:shd w:val="clear" w:color="auto" w:fill="E7E6CF"/>
            <w:vAlign w:val="center"/>
          </w:tcPr>
          <w:p w14:paraId="3E43694D" w14:textId="77777777" w:rsidR="00FB5724" w:rsidRPr="00620B74" w:rsidRDefault="00FB5724" w:rsidP="005946F3">
            <w:pPr>
              <w:spacing w:before="40" w:after="40"/>
              <w:jc w:val="right"/>
            </w:pPr>
            <w:r w:rsidRPr="00620B74">
              <w:t>$5,000,000</w:t>
            </w:r>
          </w:p>
        </w:tc>
        <w:tc>
          <w:tcPr>
            <w:tcW w:w="1620" w:type="dxa"/>
            <w:shd w:val="clear" w:color="auto" w:fill="E7E6CF"/>
            <w:vAlign w:val="center"/>
          </w:tcPr>
          <w:p w14:paraId="3B2B776E" w14:textId="77777777" w:rsidR="00FB5724" w:rsidRPr="00620B74" w:rsidRDefault="00FB5724" w:rsidP="005946F3">
            <w:pPr>
              <w:spacing w:before="40" w:after="40"/>
              <w:jc w:val="right"/>
            </w:pPr>
            <w:r w:rsidRPr="00620B74">
              <w:t>$1,000,000</w:t>
            </w:r>
          </w:p>
        </w:tc>
        <w:tc>
          <w:tcPr>
            <w:tcW w:w="2815" w:type="dxa"/>
            <w:shd w:val="clear" w:color="auto" w:fill="E7E6CF"/>
            <w:vAlign w:val="center"/>
          </w:tcPr>
          <w:p w14:paraId="0D91833E" w14:textId="77777777" w:rsidR="00FB5724" w:rsidRPr="00620B74" w:rsidRDefault="00FB5724" w:rsidP="005946F3">
            <w:pPr>
              <w:spacing w:before="40" w:after="40"/>
              <w:jc w:val="center"/>
              <w:rPr>
                <w:color w:val="000000"/>
              </w:rPr>
            </w:pPr>
            <w:r w:rsidRPr="00620B74">
              <w:rPr>
                <w:color w:val="000000"/>
              </w:rPr>
              <w:t>35% for gifts &amp; estates (unless elect no estate tax)</w:t>
            </w:r>
          </w:p>
          <w:p w14:paraId="2264918E" w14:textId="77777777" w:rsidR="00FB5724" w:rsidRPr="00620B74" w:rsidRDefault="00FB5724" w:rsidP="005946F3">
            <w:pPr>
              <w:spacing w:before="40" w:after="40"/>
              <w:jc w:val="center"/>
            </w:pPr>
            <w:r w:rsidRPr="00620B74">
              <w:rPr>
                <w:rFonts w:eastAsia="Arial Unicode MS"/>
              </w:rPr>
              <w:t>0% for GST tax</w:t>
            </w:r>
          </w:p>
        </w:tc>
      </w:tr>
      <w:tr w:rsidR="00FB5724" w:rsidRPr="00620B74" w14:paraId="3FF2F459" w14:textId="77777777" w:rsidTr="00306F33">
        <w:tc>
          <w:tcPr>
            <w:tcW w:w="1696" w:type="dxa"/>
            <w:shd w:val="clear" w:color="auto" w:fill="E7E6CF"/>
            <w:vAlign w:val="center"/>
          </w:tcPr>
          <w:p w14:paraId="732782E7" w14:textId="77777777" w:rsidR="00FB5724" w:rsidRPr="00620B74" w:rsidRDefault="00FB5724" w:rsidP="005946F3">
            <w:pPr>
              <w:spacing w:before="40" w:after="40"/>
            </w:pPr>
            <w:r w:rsidRPr="00620B74">
              <w:t>2011</w:t>
            </w:r>
          </w:p>
        </w:tc>
        <w:tc>
          <w:tcPr>
            <w:tcW w:w="1597" w:type="dxa"/>
            <w:shd w:val="clear" w:color="auto" w:fill="E7E6CF"/>
            <w:vAlign w:val="center"/>
          </w:tcPr>
          <w:p w14:paraId="4DD5BB46" w14:textId="77777777" w:rsidR="00FB5724" w:rsidRPr="00620B74" w:rsidRDefault="00FB5724" w:rsidP="005946F3">
            <w:pPr>
              <w:spacing w:before="40" w:after="40"/>
              <w:jc w:val="right"/>
            </w:pPr>
            <w:r w:rsidRPr="00620B74">
              <w:t>$5,000,000</w:t>
            </w:r>
          </w:p>
        </w:tc>
        <w:tc>
          <w:tcPr>
            <w:tcW w:w="1862" w:type="dxa"/>
            <w:shd w:val="clear" w:color="auto" w:fill="E7E6CF"/>
            <w:vAlign w:val="center"/>
          </w:tcPr>
          <w:p w14:paraId="1B7E40E0" w14:textId="77777777" w:rsidR="00FB5724" w:rsidRPr="00620B74" w:rsidRDefault="00FB5724" w:rsidP="005946F3">
            <w:pPr>
              <w:spacing w:before="40" w:after="40"/>
              <w:jc w:val="right"/>
            </w:pPr>
            <w:r w:rsidRPr="00620B74">
              <w:t>$5,000,000</w:t>
            </w:r>
          </w:p>
        </w:tc>
        <w:tc>
          <w:tcPr>
            <w:tcW w:w="1620" w:type="dxa"/>
            <w:shd w:val="clear" w:color="auto" w:fill="E7E6CF"/>
            <w:vAlign w:val="center"/>
          </w:tcPr>
          <w:p w14:paraId="558BA00C" w14:textId="77777777" w:rsidR="00FB5724" w:rsidRPr="00620B74" w:rsidRDefault="00FB5724" w:rsidP="005946F3">
            <w:pPr>
              <w:spacing w:before="40" w:after="40"/>
              <w:jc w:val="right"/>
            </w:pPr>
            <w:r w:rsidRPr="00620B74">
              <w:t>$5,000,000</w:t>
            </w:r>
          </w:p>
        </w:tc>
        <w:tc>
          <w:tcPr>
            <w:tcW w:w="2815" w:type="dxa"/>
            <w:shd w:val="clear" w:color="auto" w:fill="E7E6CF"/>
            <w:vAlign w:val="center"/>
          </w:tcPr>
          <w:p w14:paraId="6887E1EB" w14:textId="77777777" w:rsidR="00FB5724" w:rsidRPr="00620B74" w:rsidRDefault="00FB5724" w:rsidP="005946F3">
            <w:pPr>
              <w:spacing w:before="40" w:after="40"/>
              <w:jc w:val="center"/>
            </w:pPr>
            <w:r w:rsidRPr="00620B74">
              <w:t>35%</w:t>
            </w:r>
          </w:p>
        </w:tc>
      </w:tr>
      <w:tr w:rsidR="00FB5724" w:rsidRPr="00620B74" w14:paraId="02AB8408" w14:textId="77777777" w:rsidTr="00306F33">
        <w:tc>
          <w:tcPr>
            <w:tcW w:w="1696" w:type="dxa"/>
            <w:shd w:val="clear" w:color="auto" w:fill="E7E6CF"/>
            <w:vAlign w:val="center"/>
          </w:tcPr>
          <w:p w14:paraId="6694DD76" w14:textId="77777777" w:rsidR="00FB5724" w:rsidRPr="00620B74" w:rsidRDefault="00FB5724" w:rsidP="005946F3">
            <w:pPr>
              <w:spacing w:before="40" w:after="40"/>
            </w:pPr>
            <w:r w:rsidRPr="00620B74">
              <w:t>2012</w:t>
            </w:r>
          </w:p>
        </w:tc>
        <w:tc>
          <w:tcPr>
            <w:tcW w:w="1597" w:type="dxa"/>
            <w:shd w:val="clear" w:color="auto" w:fill="E7E6CF"/>
            <w:vAlign w:val="center"/>
          </w:tcPr>
          <w:p w14:paraId="7800DD9E" w14:textId="77777777" w:rsidR="00FB5724" w:rsidRPr="00620B74" w:rsidRDefault="00B00BC0" w:rsidP="005946F3">
            <w:pPr>
              <w:spacing w:before="40" w:after="40"/>
              <w:jc w:val="right"/>
            </w:pPr>
            <w:r>
              <w:t>$5,12</w:t>
            </w:r>
            <w:r w:rsidR="00FB5724" w:rsidRPr="00620B74">
              <w:t>0,000*</w:t>
            </w:r>
          </w:p>
        </w:tc>
        <w:tc>
          <w:tcPr>
            <w:tcW w:w="1862" w:type="dxa"/>
            <w:shd w:val="clear" w:color="auto" w:fill="E7E6CF"/>
            <w:vAlign w:val="center"/>
          </w:tcPr>
          <w:p w14:paraId="5442E9DD" w14:textId="77777777" w:rsidR="00FB5724" w:rsidRPr="00620B74" w:rsidRDefault="00B00BC0" w:rsidP="005946F3">
            <w:pPr>
              <w:spacing w:before="40" w:after="40"/>
              <w:jc w:val="right"/>
            </w:pPr>
            <w:r>
              <w:t>$5,12</w:t>
            </w:r>
            <w:r w:rsidR="00FB5724" w:rsidRPr="00620B74">
              <w:t>0,000*</w:t>
            </w:r>
          </w:p>
        </w:tc>
        <w:tc>
          <w:tcPr>
            <w:tcW w:w="1620" w:type="dxa"/>
            <w:shd w:val="clear" w:color="auto" w:fill="E7E6CF"/>
            <w:vAlign w:val="center"/>
          </w:tcPr>
          <w:p w14:paraId="261299AE" w14:textId="77777777" w:rsidR="00FB5724" w:rsidRPr="00620B74" w:rsidRDefault="00B00BC0" w:rsidP="005946F3">
            <w:pPr>
              <w:spacing w:before="40" w:after="40"/>
              <w:jc w:val="right"/>
            </w:pPr>
            <w:r>
              <w:t>$5,12</w:t>
            </w:r>
            <w:r w:rsidR="00FB5724" w:rsidRPr="00620B74">
              <w:t>0,000*</w:t>
            </w:r>
          </w:p>
        </w:tc>
        <w:tc>
          <w:tcPr>
            <w:tcW w:w="2815" w:type="dxa"/>
            <w:shd w:val="clear" w:color="auto" w:fill="E7E6CF"/>
            <w:vAlign w:val="center"/>
          </w:tcPr>
          <w:p w14:paraId="329E6C3F" w14:textId="77777777" w:rsidR="00FB5724" w:rsidRPr="00620B74" w:rsidRDefault="00FB5724" w:rsidP="005946F3">
            <w:pPr>
              <w:spacing w:before="40" w:after="40"/>
              <w:jc w:val="center"/>
            </w:pPr>
            <w:r w:rsidRPr="00620B74">
              <w:t>35%</w:t>
            </w:r>
          </w:p>
        </w:tc>
      </w:tr>
      <w:tr w:rsidR="00FB5724" w:rsidRPr="00620B74" w14:paraId="2E81875E" w14:textId="77777777" w:rsidTr="00306F33">
        <w:tc>
          <w:tcPr>
            <w:tcW w:w="1696" w:type="dxa"/>
            <w:shd w:val="clear" w:color="auto" w:fill="E7E6CF"/>
            <w:vAlign w:val="center"/>
          </w:tcPr>
          <w:p w14:paraId="08F4E3E7" w14:textId="77777777" w:rsidR="00FB5724" w:rsidRPr="00620B74" w:rsidRDefault="00FB5724" w:rsidP="005946F3">
            <w:pPr>
              <w:spacing w:before="40" w:after="40"/>
            </w:pPr>
            <w:r w:rsidRPr="00620B74">
              <w:t xml:space="preserve">2013 </w:t>
            </w:r>
          </w:p>
        </w:tc>
        <w:tc>
          <w:tcPr>
            <w:tcW w:w="1597" w:type="dxa"/>
            <w:shd w:val="clear" w:color="auto" w:fill="E7E6CF"/>
            <w:vAlign w:val="center"/>
          </w:tcPr>
          <w:p w14:paraId="35D7C2DA" w14:textId="77777777" w:rsidR="00FB5724" w:rsidRPr="00620B74" w:rsidRDefault="00FB5724" w:rsidP="0000111C">
            <w:pPr>
              <w:spacing w:before="40" w:after="40"/>
              <w:jc w:val="right"/>
            </w:pPr>
            <w:r w:rsidRPr="00620B74">
              <w:t>$</w:t>
            </w:r>
            <w:r w:rsidR="0000111C">
              <w:t>5,250</w:t>
            </w:r>
            <w:r w:rsidRPr="00620B74">
              <w:t>,000</w:t>
            </w:r>
            <w:r w:rsidR="0000111C">
              <w:t>*</w:t>
            </w:r>
          </w:p>
        </w:tc>
        <w:tc>
          <w:tcPr>
            <w:tcW w:w="1862" w:type="dxa"/>
            <w:shd w:val="clear" w:color="auto" w:fill="E7E6CF"/>
            <w:vAlign w:val="center"/>
          </w:tcPr>
          <w:p w14:paraId="315AFCEE" w14:textId="77777777" w:rsidR="00FB5724" w:rsidRPr="00620B74" w:rsidRDefault="00FB5724" w:rsidP="0000111C">
            <w:pPr>
              <w:spacing w:before="40" w:after="40"/>
              <w:jc w:val="right"/>
            </w:pPr>
            <w:r w:rsidRPr="00620B74">
              <w:t>$</w:t>
            </w:r>
            <w:r w:rsidR="0000111C">
              <w:t>5,250</w:t>
            </w:r>
            <w:r w:rsidRPr="00620B74">
              <w:t>,000 *</w:t>
            </w:r>
          </w:p>
        </w:tc>
        <w:tc>
          <w:tcPr>
            <w:tcW w:w="1620" w:type="dxa"/>
            <w:shd w:val="clear" w:color="auto" w:fill="E7E6CF"/>
            <w:vAlign w:val="center"/>
          </w:tcPr>
          <w:p w14:paraId="0AA5F58E" w14:textId="77777777" w:rsidR="00FB5724" w:rsidRPr="00620B74" w:rsidRDefault="00FB5724" w:rsidP="005946F3">
            <w:pPr>
              <w:spacing w:before="40" w:after="40"/>
              <w:jc w:val="right"/>
            </w:pPr>
            <w:r w:rsidRPr="00620B74">
              <w:t>$</w:t>
            </w:r>
            <w:r w:rsidR="0000111C">
              <w:t>5,250</w:t>
            </w:r>
            <w:r w:rsidRPr="00620B74">
              <w:t>,000</w:t>
            </w:r>
            <w:r w:rsidR="009B70D2">
              <w:t>*</w:t>
            </w:r>
          </w:p>
        </w:tc>
        <w:tc>
          <w:tcPr>
            <w:tcW w:w="2815" w:type="dxa"/>
            <w:shd w:val="clear" w:color="auto" w:fill="E7E6CF"/>
            <w:vAlign w:val="center"/>
          </w:tcPr>
          <w:p w14:paraId="1BC9F9D1" w14:textId="77777777" w:rsidR="00FB5724" w:rsidRPr="00620B74" w:rsidRDefault="009B70D2" w:rsidP="005946F3">
            <w:pPr>
              <w:spacing w:before="40" w:after="40"/>
              <w:jc w:val="center"/>
            </w:pPr>
            <w:r>
              <w:t>40</w:t>
            </w:r>
            <w:r w:rsidR="00FB5724" w:rsidRPr="00620B74">
              <w:t>%</w:t>
            </w:r>
          </w:p>
        </w:tc>
      </w:tr>
      <w:tr w:rsidR="00E50D4B" w:rsidRPr="00620B74" w14:paraId="42748707" w14:textId="77777777" w:rsidTr="00306F33">
        <w:tc>
          <w:tcPr>
            <w:tcW w:w="1696" w:type="dxa"/>
            <w:shd w:val="clear" w:color="auto" w:fill="E7E6CF"/>
            <w:vAlign w:val="center"/>
          </w:tcPr>
          <w:p w14:paraId="3A32DCB8" w14:textId="77777777" w:rsidR="00E50D4B" w:rsidRPr="00620B74" w:rsidRDefault="00E50D4B" w:rsidP="005946F3">
            <w:pPr>
              <w:spacing w:before="40" w:after="40"/>
            </w:pPr>
            <w:r>
              <w:t>2014</w:t>
            </w:r>
          </w:p>
        </w:tc>
        <w:tc>
          <w:tcPr>
            <w:tcW w:w="1597" w:type="dxa"/>
            <w:shd w:val="clear" w:color="auto" w:fill="E7E6CF"/>
            <w:vAlign w:val="center"/>
          </w:tcPr>
          <w:p w14:paraId="4C4A41D4" w14:textId="77777777" w:rsidR="00E50D4B" w:rsidRPr="00620B74" w:rsidRDefault="00E50D4B" w:rsidP="0000111C">
            <w:pPr>
              <w:spacing w:before="40" w:after="40"/>
              <w:jc w:val="right"/>
            </w:pPr>
            <w:r>
              <w:t>$5,340,000*</w:t>
            </w:r>
          </w:p>
        </w:tc>
        <w:tc>
          <w:tcPr>
            <w:tcW w:w="1862" w:type="dxa"/>
            <w:shd w:val="clear" w:color="auto" w:fill="E7E6CF"/>
            <w:vAlign w:val="center"/>
          </w:tcPr>
          <w:p w14:paraId="57CC4AB0" w14:textId="77777777" w:rsidR="00E50D4B" w:rsidRPr="00620B74" w:rsidRDefault="00E50D4B" w:rsidP="0000111C">
            <w:pPr>
              <w:spacing w:before="40" w:after="40"/>
              <w:jc w:val="right"/>
            </w:pPr>
            <w:r>
              <w:t>$5,340,000*</w:t>
            </w:r>
          </w:p>
        </w:tc>
        <w:tc>
          <w:tcPr>
            <w:tcW w:w="1620" w:type="dxa"/>
            <w:shd w:val="clear" w:color="auto" w:fill="E7E6CF"/>
            <w:vAlign w:val="center"/>
          </w:tcPr>
          <w:p w14:paraId="535A38A0" w14:textId="77777777" w:rsidR="00E50D4B" w:rsidRPr="00620B74" w:rsidRDefault="00016EB0" w:rsidP="005946F3">
            <w:pPr>
              <w:spacing w:before="40" w:after="40"/>
              <w:jc w:val="right"/>
            </w:pPr>
            <w:r>
              <w:t>$5,340,000*</w:t>
            </w:r>
          </w:p>
        </w:tc>
        <w:tc>
          <w:tcPr>
            <w:tcW w:w="2815" w:type="dxa"/>
            <w:shd w:val="clear" w:color="auto" w:fill="E7E6CF"/>
            <w:vAlign w:val="center"/>
          </w:tcPr>
          <w:p w14:paraId="473B212D" w14:textId="77777777" w:rsidR="00E50D4B" w:rsidRDefault="00016EB0" w:rsidP="005946F3">
            <w:pPr>
              <w:spacing w:before="40" w:after="40"/>
              <w:jc w:val="center"/>
            </w:pPr>
            <w:r>
              <w:t>40%</w:t>
            </w:r>
          </w:p>
        </w:tc>
      </w:tr>
      <w:tr w:rsidR="00B26202" w:rsidRPr="00620B74" w14:paraId="46107C7B" w14:textId="77777777" w:rsidTr="00306F33">
        <w:tc>
          <w:tcPr>
            <w:tcW w:w="1696" w:type="dxa"/>
            <w:shd w:val="clear" w:color="auto" w:fill="E7E6CF"/>
            <w:vAlign w:val="center"/>
          </w:tcPr>
          <w:p w14:paraId="0B6CDC8E" w14:textId="77777777" w:rsidR="00B26202" w:rsidRDefault="00B26202" w:rsidP="005946F3">
            <w:pPr>
              <w:spacing w:before="40" w:after="40"/>
            </w:pPr>
            <w:r>
              <w:t>2015</w:t>
            </w:r>
          </w:p>
        </w:tc>
        <w:tc>
          <w:tcPr>
            <w:tcW w:w="1597" w:type="dxa"/>
            <w:shd w:val="clear" w:color="auto" w:fill="E7E6CF"/>
            <w:vAlign w:val="center"/>
          </w:tcPr>
          <w:p w14:paraId="6A55F239" w14:textId="77777777" w:rsidR="00B26202" w:rsidRDefault="00B26202" w:rsidP="0000111C">
            <w:pPr>
              <w:spacing w:before="40" w:after="40"/>
              <w:jc w:val="right"/>
            </w:pPr>
            <w:r>
              <w:t>$5,430,000*</w:t>
            </w:r>
          </w:p>
        </w:tc>
        <w:tc>
          <w:tcPr>
            <w:tcW w:w="1862" w:type="dxa"/>
            <w:shd w:val="clear" w:color="auto" w:fill="E7E6CF"/>
            <w:vAlign w:val="center"/>
          </w:tcPr>
          <w:p w14:paraId="7E3A6F36" w14:textId="77777777" w:rsidR="00B26202" w:rsidRDefault="00B26202" w:rsidP="0000111C">
            <w:pPr>
              <w:spacing w:before="40" w:after="40"/>
              <w:jc w:val="right"/>
            </w:pPr>
            <w:r>
              <w:t>$5,430,000*</w:t>
            </w:r>
          </w:p>
        </w:tc>
        <w:tc>
          <w:tcPr>
            <w:tcW w:w="1620" w:type="dxa"/>
            <w:shd w:val="clear" w:color="auto" w:fill="E7E6CF"/>
            <w:vAlign w:val="center"/>
          </w:tcPr>
          <w:p w14:paraId="22C96A26" w14:textId="77777777" w:rsidR="00B26202" w:rsidRDefault="00B26202" w:rsidP="005946F3">
            <w:pPr>
              <w:spacing w:before="40" w:after="40"/>
              <w:jc w:val="right"/>
            </w:pPr>
            <w:r>
              <w:t>$5,430,000*</w:t>
            </w:r>
          </w:p>
        </w:tc>
        <w:tc>
          <w:tcPr>
            <w:tcW w:w="2815" w:type="dxa"/>
            <w:shd w:val="clear" w:color="auto" w:fill="E7E6CF"/>
            <w:vAlign w:val="center"/>
          </w:tcPr>
          <w:p w14:paraId="23F9ED47" w14:textId="77777777" w:rsidR="00B26202" w:rsidRDefault="00B26202" w:rsidP="005946F3">
            <w:pPr>
              <w:spacing w:before="40" w:after="40"/>
              <w:jc w:val="center"/>
            </w:pPr>
            <w:r>
              <w:t>40%</w:t>
            </w:r>
          </w:p>
        </w:tc>
      </w:tr>
    </w:tbl>
    <w:p w14:paraId="018463AA" w14:textId="77777777" w:rsidR="00FB5724" w:rsidRPr="00B00BC0" w:rsidRDefault="00FB5724" w:rsidP="005946F3">
      <w:pPr>
        <w:spacing w:before="0" w:after="0"/>
        <w:rPr>
          <w:i/>
          <w:sz w:val="16"/>
          <w:szCs w:val="16"/>
        </w:rPr>
      </w:pPr>
      <w:r w:rsidRPr="00B00BC0">
        <w:rPr>
          <w:i/>
          <w:sz w:val="16"/>
          <w:szCs w:val="16"/>
        </w:rPr>
        <w:t>*  Adjusted for inflation using 2010 as the base year.</w:t>
      </w:r>
    </w:p>
    <w:p w14:paraId="4EF0103A" w14:textId="77777777" w:rsidR="00B70D7F" w:rsidRPr="00B70D7F" w:rsidRDefault="00B70D7F" w:rsidP="00B00BC0">
      <w:pPr>
        <w:spacing w:before="0" w:after="0"/>
      </w:pPr>
    </w:p>
    <w:p w14:paraId="4411ADA5" w14:textId="295F4767" w:rsidR="00E82306" w:rsidRDefault="00E82306" w:rsidP="00042D33">
      <w:pPr>
        <w:pStyle w:val="Heading2"/>
      </w:pPr>
      <w:r>
        <w:br w:type="page"/>
      </w:r>
      <w:r>
        <w:lastRenderedPageBreak/>
        <w:t xml:space="preserve">Income Taxes </w:t>
      </w:r>
      <w:r w:rsidR="008E3EF9">
        <w:t>Relevant to Estate Planning</w:t>
      </w:r>
    </w:p>
    <w:p w14:paraId="753F7339" w14:textId="77777777" w:rsidR="00E82306" w:rsidRDefault="00E82306" w:rsidP="009C6C65">
      <w:pPr>
        <w:rPr>
          <w:b/>
          <w:bCs/>
          <w:color w:val="0000FF"/>
          <w:u w:val="single"/>
        </w:rPr>
      </w:pPr>
      <w:r w:rsidRPr="00663F1D">
        <w:t xml:space="preserve">Having concluded our study of transfer taxes, we need to give attention to some key features of the income tax system that have bearing on estate planning. Obviously, income taxation can be an exhaustive subject unto itself. For purposes of this course, we will simply note three income tax issues that are of concern to estate planners. The first two </w:t>
      </w:r>
      <w:proofErr w:type="gramStart"/>
      <w:r w:rsidRPr="00663F1D">
        <w:t>are</w:t>
      </w:r>
      <w:proofErr w:type="gramEnd"/>
      <w:r w:rsidRPr="00663F1D">
        <w:t xml:space="preserve"> listed below.</w:t>
      </w:r>
      <w:r w:rsidRPr="00663F1D">
        <w:rPr>
          <w:b/>
          <w:bCs/>
          <w:color w:val="0000FF"/>
          <w:u w:val="single"/>
        </w:rPr>
        <w:t xml:space="preserve"> </w:t>
      </w:r>
    </w:p>
    <w:p w14:paraId="1E343B35" w14:textId="138D3032" w:rsidR="009C6C65" w:rsidRPr="00996761" w:rsidRDefault="00996761" w:rsidP="00996761">
      <w:pPr>
        <w:pStyle w:val="NormalWeb"/>
        <w:rPr>
          <w:rFonts w:cs="Arial"/>
          <w:sz w:val="20"/>
          <w:szCs w:val="20"/>
        </w:rPr>
      </w:pPr>
      <w:r w:rsidRPr="00996761">
        <w:rPr>
          <w:rFonts w:cs="Arial"/>
          <w:b/>
          <w:bCs/>
          <w:color w:val="FF0000"/>
          <w:sz w:val="20"/>
          <w:szCs w:val="20"/>
        </w:rPr>
        <w:t>For more information, move the mouse cursor over the issues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C6C65" w:rsidRPr="008D3CA3" w14:paraId="54E8EFB6" w14:textId="77777777" w:rsidTr="009C6C65">
        <w:tc>
          <w:tcPr>
            <w:tcW w:w="9576" w:type="dxa"/>
            <w:shd w:val="clear" w:color="auto" w:fill="D9D9D9"/>
          </w:tcPr>
          <w:p w14:paraId="54D03080" w14:textId="77777777" w:rsidR="009C6C65" w:rsidRPr="00EF13F7" w:rsidRDefault="009C6C65" w:rsidP="009C6C65">
            <w:pPr>
              <w:rPr>
                <w:rStyle w:val="Strong"/>
              </w:rPr>
            </w:pPr>
            <w:r>
              <w:rPr>
                <w:rStyle w:val="Strong"/>
              </w:rPr>
              <w:t>Charitable Deductions</w:t>
            </w:r>
          </w:p>
          <w:p w14:paraId="51E18CF2" w14:textId="77777777" w:rsidR="009C6C65" w:rsidRPr="008D3CA3" w:rsidRDefault="009C6C65" w:rsidP="009C6C65">
            <w:r>
              <w:t xml:space="preserve">With some limitations, gifts to qualified charities are deductible items for income tax purposes. Given that they are also deductible items for </w:t>
            </w:r>
            <w:r w:rsidR="00E50D4B">
              <w:t>gift and estate</w:t>
            </w:r>
            <w:r>
              <w:t xml:space="preserve"> taxes as well, gifts to charities are among the most tax-efficient transfers possible.</w:t>
            </w:r>
          </w:p>
        </w:tc>
      </w:tr>
    </w:tbl>
    <w:p w14:paraId="0741041E" w14:textId="77777777" w:rsidR="009C6C65" w:rsidRDefault="009C6C65" w:rsidP="009C6C65">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C6C65" w:rsidRPr="008D3CA3" w14:paraId="1547A761" w14:textId="77777777" w:rsidTr="009C6C65">
        <w:tc>
          <w:tcPr>
            <w:tcW w:w="9576" w:type="dxa"/>
            <w:shd w:val="clear" w:color="auto" w:fill="D9D9D9"/>
          </w:tcPr>
          <w:p w14:paraId="6447B50F" w14:textId="77777777" w:rsidR="009C6C65" w:rsidRPr="00EF13F7" w:rsidRDefault="009C6C65" w:rsidP="009C6C65">
            <w:pPr>
              <w:rPr>
                <w:rStyle w:val="Strong"/>
              </w:rPr>
            </w:pPr>
            <w:r>
              <w:rPr>
                <w:rStyle w:val="Strong"/>
              </w:rPr>
              <w:t>Taxation of Minors</w:t>
            </w:r>
          </w:p>
          <w:p w14:paraId="2DF9E933" w14:textId="474311EF" w:rsidR="009C6C65" w:rsidRDefault="009C6C65" w:rsidP="009C6C65">
            <w:r>
              <w:t xml:space="preserve">Because estate planning may involve transfer of assets to minors, particularly where there is a desire to transfer income-producing assets to persons with lower income tax brackets, it is important to know that there is a "kiddie tax" for children under the age of 19 (under age 24 if a full-time student). Here </w:t>
            </w:r>
            <w:r w:rsidR="009A03AA">
              <w:t xml:space="preserve">is how the tax works for </w:t>
            </w:r>
            <w:r w:rsidR="00042D33">
              <w:t>2016</w:t>
            </w:r>
            <w:r>
              <w:t xml:space="preserve">: </w:t>
            </w:r>
          </w:p>
          <w:p w14:paraId="677420D1" w14:textId="77777777" w:rsidR="009C6C65" w:rsidRDefault="009C6C65" w:rsidP="009C6C65">
            <w:r>
              <w:t xml:space="preserve">For minors under the age of 19 (under age 24 if full-time student): </w:t>
            </w:r>
          </w:p>
          <w:p w14:paraId="6D1BE337" w14:textId="77777777" w:rsidR="009C6C65" w:rsidRDefault="009C6C65" w:rsidP="00306F33">
            <w:pPr>
              <w:numPr>
                <w:ilvl w:val="0"/>
                <w:numId w:val="14"/>
              </w:numPr>
            </w:pPr>
            <w:r>
              <w:t>A child under the age of 19 (under age 24 if full-time student) can receive $</w:t>
            </w:r>
            <w:r w:rsidR="000E6C8A">
              <w:t>1,</w:t>
            </w:r>
            <w:r w:rsidR="00DE01C0">
              <w:t xml:space="preserve">050 </w:t>
            </w:r>
            <w:r>
              <w:t xml:space="preserve">in investment income (interest, dividends or capital gains) free from tax. </w:t>
            </w:r>
          </w:p>
          <w:p w14:paraId="61E8A765" w14:textId="77777777" w:rsidR="009C6C65" w:rsidRDefault="009C6C65" w:rsidP="00306F33">
            <w:pPr>
              <w:numPr>
                <w:ilvl w:val="0"/>
                <w:numId w:val="14"/>
              </w:numPr>
            </w:pPr>
            <w:r>
              <w:t>The next $</w:t>
            </w:r>
            <w:r w:rsidR="000E6C8A">
              <w:t>1,</w:t>
            </w:r>
            <w:r w:rsidR="00DE01C0">
              <w:t xml:space="preserve">1050 </w:t>
            </w:r>
            <w:r>
              <w:t xml:space="preserve">is taxed at the child's rate. </w:t>
            </w:r>
          </w:p>
          <w:p w14:paraId="356AB59E" w14:textId="77777777" w:rsidR="009C6C65" w:rsidRDefault="009C6C65" w:rsidP="00306F33">
            <w:pPr>
              <w:numPr>
                <w:ilvl w:val="0"/>
                <w:numId w:val="14"/>
              </w:numPr>
            </w:pPr>
            <w:r>
              <w:t>Everything beyond this initial $</w:t>
            </w:r>
            <w:r w:rsidR="004141AF">
              <w:t>2,</w:t>
            </w:r>
            <w:r w:rsidR="00DE01C0">
              <w:t xml:space="preserve">100 </w:t>
            </w:r>
            <w:r>
              <w:t xml:space="preserve">is taxed at the parents' rate (assuming the parents’ rate is higher than the child's). </w:t>
            </w:r>
          </w:p>
          <w:p w14:paraId="59C645C3" w14:textId="77777777" w:rsidR="009C6C65" w:rsidRDefault="009C6C65" w:rsidP="00306F33">
            <w:pPr>
              <w:numPr>
                <w:ilvl w:val="0"/>
                <w:numId w:val="14"/>
              </w:numPr>
            </w:pPr>
            <w:r>
              <w:t xml:space="preserve">This amount is indexed for inflation and should increase in future years. </w:t>
            </w:r>
          </w:p>
          <w:p w14:paraId="266F421A" w14:textId="77777777" w:rsidR="009C6C65" w:rsidRPr="008D3CA3" w:rsidRDefault="009C6C65" w:rsidP="009C6C65">
            <w:r>
              <w:t xml:space="preserve">Obviously, this tax makes it more difficult for a parent to lower their income tax burden on investment income by gifting assets to minor children. Where the primary goal is to shift wealth out of the parent's estate, it also </w:t>
            </w:r>
            <w:r w:rsidR="009A03AA">
              <w:t>makes it advisable to shift low-</w:t>
            </w:r>
            <w:r>
              <w:t>income assets so as to maximize the amount that can be shifted over the years. Many mutual fund companies have funds that are specifically designed to minimize taxable gains and income.</w:t>
            </w:r>
          </w:p>
        </w:tc>
      </w:tr>
    </w:tbl>
    <w:p w14:paraId="78ECF619" w14:textId="77777777" w:rsidR="009C6C65" w:rsidRDefault="009C6C65" w:rsidP="009C6C65">
      <w:pPr>
        <w:spacing w:before="0" w:after="0"/>
      </w:pPr>
    </w:p>
    <w:p w14:paraId="35AA1053" w14:textId="77777777" w:rsidR="00E82306" w:rsidRDefault="00B70D7F" w:rsidP="00943D93">
      <w:pPr>
        <w:pStyle w:val="Heading2"/>
      </w:pPr>
      <w:r>
        <w:br w:type="page"/>
      </w:r>
      <w:r w:rsidR="00E82306">
        <w:lastRenderedPageBreak/>
        <w:t>Step-</w:t>
      </w:r>
      <w:r w:rsidR="00C928F9">
        <w:t>U</w:t>
      </w:r>
      <w:r w:rsidR="00E82306">
        <w:t>p in Basis at Death</w:t>
      </w:r>
    </w:p>
    <w:p w14:paraId="584101B7" w14:textId="7313DDA8" w:rsidR="008E3EF9" w:rsidRPr="00A93E3E" w:rsidRDefault="008E3EF9" w:rsidP="009A03AA">
      <w:r w:rsidRPr="00741476">
        <w:t xml:space="preserve">The </w:t>
      </w:r>
      <w:r w:rsidR="000E0634" w:rsidRPr="006C425E">
        <w:t>third</w:t>
      </w:r>
      <w:r w:rsidRPr="00741476">
        <w:t xml:space="preserve"> aspect of income taxes to be examined is the step-up in basis that occurs at death. </w:t>
      </w:r>
      <w:r w:rsidR="00042D33">
        <w:t>Under current law</w:t>
      </w:r>
      <w:r w:rsidRPr="00741476">
        <w:t xml:space="preserve">, when a person dies, most assets owned in the estate (with some exceptions such as certain interests in foreign entities and income in respect of a decedent) receive a "step-up" in </w:t>
      </w:r>
      <w:r w:rsidR="00856412">
        <w:t xml:space="preserve">tax </w:t>
      </w:r>
      <w:r w:rsidRPr="00741476">
        <w:t xml:space="preserve">basis for federal income tax purposes. The result is that instead of using the decedent's purchase price for computing the tax basis of an asset, its tax basis is re-established </w:t>
      </w:r>
      <w:r w:rsidR="00BA6EA2">
        <w:t xml:space="preserve">to the </w:t>
      </w:r>
      <w:r w:rsidRPr="00741476">
        <w:t xml:space="preserve">the date of death </w:t>
      </w:r>
      <w:r w:rsidR="00BA6EA2">
        <w:t xml:space="preserve">market value </w:t>
      </w:r>
      <w:r w:rsidRPr="00741476">
        <w:t>(or the alternate valuation date 6 months later, if elected by the executor).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B70D7F" w:rsidRPr="008D3CA3" w14:paraId="0A1F2584" w14:textId="77777777" w:rsidTr="00B70D7F">
        <w:tc>
          <w:tcPr>
            <w:tcW w:w="9576" w:type="dxa"/>
            <w:shd w:val="clear" w:color="auto" w:fill="DBD9B9"/>
          </w:tcPr>
          <w:p w14:paraId="50EBA0D9" w14:textId="77777777" w:rsidR="00BF51B2" w:rsidRPr="00741476" w:rsidRDefault="00BF51B2" w:rsidP="00BF51B2">
            <w:pPr>
              <w:rPr>
                <w:b/>
              </w:rPr>
            </w:pPr>
            <w:r w:rsidRPr="00741476">
              <w:rPr>
                <w:b/>
              </w:rPr>
              <w:t>"Stepped-Up" Basis Example</w:t>
            </w:r>
          </w:p>
          <w:p w14:paraId="7A8676BA" w14:textId="77777777" w:rsidR="00BF51B2" w:rsidRPr="00741476" w:rsidRDefault="00BF51B2" w:rsidP="00BF51B2">
            <w:r w:rsidRPr="00741476">
              <w:t xml:space="preserve">An individual purchased a security for $50,000. Years later, when the individual dies, the fair market value of the security is $100,000. </w:t>
            </w:r>
          </w:p>
          <w:p w14:paraId="1385ABDE" w14:textId="77777777" w:rsidR="00B70D7F" w:rsidRPr="008D3CA3" w:rsidRDefault="00BF51B2" w:rsidP="00B70D7F">
            <w:r w:rsidRPr="00741476">
              <w:t>If the asset is liquidated by the executor or distributed to an heir, the basis used for calculating capital gains</w:t>
            </w:r>
            <w:r>
              <w:t xml:space="preserve"> will be $100,000, not $50,000.</w:t>
            </w:r>
          </w:p>
        </w:tc>
      </w:tr>
    </w:tbl>
    <w:p w14:paraId="67EEDF77" w14:textId="77777777" w:rsidR="008E3EF9" w:rsidRPr="00A93E3E" w:rsidRDefault="008E3EF9" w:rsidP="009A03AA">
      <w:r w:rsidRPr="00741476">
        <w:t>This has been an important feature of estate planning because it is often possible to avoid paying capital gains taxes simply by holding the asset until death, when the step-up takes place. Since there was no limit on the amount of step-up available for deaths</w:t>
      </w:r>
      <w:r w:rsidRPr="00A93E3E">
        <w:t xml:space="preserve">, </w:t>
      </w:r>
      <w:r w:rsidRPr="00741476">
        <w:t xml:space="preserve">substantial income taxes can be avoided in this manner. </w:t>
      </w:r>
    </w:p>
    <w:p w14:paraId="029D5778" w14:textId="0D0B8E0C" w:rsidR="007369AF" w:rsidRDefault="006C425E" w:rsidP="00996761">
      <w:pPr>
        <w:pStyle w:val="Heading2"/>
      </w:pPr>
      <w:r w:rsidRPr="007369AF">
        <w:br w:type="page"/>
      </w:r>
    </w:p>
    <w:p w14:paraId="69314AF7" w14:textId="09C64BCF" w:rsidR="001713A7" w:rsidRDefault="00996761" w:rsidP="00B935AB">
      <w:pPr>
        <w:pStyle w:val="Heading2"/>
      </w:pPr>
      <w:r>
        <w:lastRenderedPageBreak/>
        <w:t>Review Exercise</w:t>
      </w:r>
    </w:p>
    <w:p w14:paraId="2315E4AA" w14:textId="77777777" w:rsidR="001713A7" w:rsidRDefault="001713A7" w:rsidP="00B935AB">
      <w:r w:rsidRPr="00F26237">
        <w:t>Review the preceding content by answering the following questions</w:t>
      </w:r>
      <w:r>
        <w:t>.</w:t>
      </w:r>
    </w:p>
    <w:p w14:paraId="451F4405" w14:textId="77777777" w:rsidR="001713A7" w:rsidRPr="00B935AB" w:rsidRDefault="001713A7" w:rsidP="00306F33">
      <w:pPr>
        <w:numPr>
          <w:ilvl w:val="0"/>
          <w:numId w:val="18"/>
        </w:numPr>
        <w:ind w:left="360"/>
        <w:rPr>
          <w:b/>
        </w:rPr>
      </w:pPr>
      <w:r w:rsidRPr="00B935AB">
        <w:rPr>
          <w:b/>
        </w:rPr>
        <w:t xml:space="preserve">The earliest age at which the "kiddie tax" no longer applies is: </w:t>
      </w:r>
    </w:p>
    <w:p w14:paraId="5B814C3B" w14:textId="77777777" w:rsidR="001713A7" w:rsidRPr="00F26237" w:rsidRDefault="001713A7" w:rsidP="00306F33">
      <w:pPr>
        <w:numPr>
          <w:ilvl w:val="0"/>
          <w:numId w:val="19"/>
        </w:numPr>
      </w:pPr>
      <w:r w:rsidRPr="00F26237">
        <w:t>12 years of age</w:t>
      </w:r>
    </w:p>
    <w:p w14:paraId="0A565A2A" w14:textId="77777777" w:rsidR="001713A7" w:rsidRPr="00F26237" w:rsidRDefault="001713A7" w:rsidP="00B935AB">
      <w:pPr>
        <w:pStyle w:val="ReviewAnswer"/>
      </w:pPr>
      <w:r w:rsidRPr="00993B7F">
        <w:rPr>
          <w:rStyle w:val="Strong"/>
        </w:rPr>
        <w:t>Incorrect.</w:t>
      </w:r>
      <w:r w:rsidRPr="00F26237">
        <w:t xml:space="preserve"> Try again.</w:t>
      </w:r>
    </w:p>
    <w:p w14:paraId="2DCDB1DC" w14:textId="77777777" w:rsidR="001713A7" w:rsidRPr="00F26237" w:rsidRDefault="001713A7" w:rsidP="00306F33">
      <w:pPr>
        <w:numPr>
          <w:ilvl w:val="0"/>
          <w:numId w:val="19"/>
        </w:numPr>
      </w:pPr>
      <w:r w:rsidRPr="00F26237">
        <w:t>14 years of age</w:t>
      </w:r>
    </w:p>
    <w:p w14:paraId="472D0C07" w14:textId="77777777" w:rsidR="001713A7" w:rsidRPr="00F26237" w:rsidRDefault="001713A7" w:rsidP="00B935AB">
      <w:pPr>
        <w:pStyle w:val="ReviewAnswer"/>
      </w:pPr>
      <w:r w:rsidRPr="00993B7F">
        <w:rPr>
          <w:rStyle w:val="Strong"/>
        </w:rPr>
        <w:t>Incorrect.</w:t>
      </w:r>
      <w:r w:rsidRPr="00F26237">
        <w:t xml:space="preserve"> The age used to be 14, but this is no longer the case.  Try again.</w:t>
      </w:r>
    </w:p>
    <w:p w14:paraId="263350D8" w14:textId="77777777" w:rsidR="001713A7" w:rsidRPr="00F26237" w:rsidRDefault="001713A7" w:rsidP="00306F33">
      <w:pPr>
        <w:numPr>
          <w:ilvl w:val="0"/>
          <w:numId w:val="19"/>
        </w:numPr>
      </w:pPr>
      <w:r w:rsidRPr="00F26237">
        <w:t>16 years of age</w:t>
      </w:r>
    </w:p>
    <w:p w14:paraId="19B14251" w14:textId="77777777" w:rsidR="001713A7" w:rsidRPr="00F26237" w:rsidRDefault="001713A7" w:rsidP="00B935AB">
      <w:pPr>
        <w:pStyle w:val="ReviewAnswer"/>
      </w:pPr>
      <w:r w:rsidRPr="00993B7F">
        <w:rPr>
          <w:rStyle w:val="Strong"/>
        </w:rPr>
        <w:t>Incorrect.</w:t>
      </w:r>
      <w:r w:rsidRPr="00F26237">
        <w:t xml:space="preserve"> Try again.</w:t>
      </w:r>
    </w:p>
    <w:p w14:paraId="4049DAB8" w14:textId="77777777" w:rsidR="001713A7" w:rsidRPr="00993B7F" w:rsidRDefault="001713A7" w:rsidP="00306F33">
      <w:pPr>
        <w:numPr>
          <w:ilvl w:val="0"/>
          <w:numId w:val="19"/>
        </w:numPr>
        <w:rPr>
          <w:rStyle w:val="Strong"/>
        </w:rPr>
      </w:pPr>
      <w:r w:rsidRPr="00993B7F">
        <w:rPr>
          <w:rStyle w:val="Strong"/>
        </w:rPr>
        <w:t>19 years of age</w:t>
      </w:r>
    </w:p>
    <w:p w14:paraId="6C588EA5" w14:textId="77777777" w:rsidR="001713A7" w:rsidRPr="00993B7F" w:rsidRDefault="001713A7" w:rsidP="00B935AB">
      <w:pPr>
        <w:pStyle w:val="ReviewAnswer"/>
        <w:rPr>
          <w:rStyle w:val="Strong"/>
        </w:rPr>
      </w:pPr>
      <w:r w:rsidRPr="00993B7F">
        <w:rPr>
          <w:rStyle w:val="Strong"/>
        </w:rPr>
        <w:t>Correct.</w:t>
      </w:r>
    </w:p>
    <w:p w14:paraId="1C654CED" w14:textId="3E9341C8" w:rsidR="001713A7" w:rsidRPr="00B935AB" w:rsidRDefault="00B935AB" w:rsidP="00306F33">
      <w:pPr>
        <w:numPr>
          <w:ilvl w:val="0"/>
          <w:numId w:val="18"/>
        </w:numPr>
        <w:ind w:left="360"/>
        <w:rPr>
          <w:b/>
          <w:bCs/>
        </w:rPr>
      </w:pPr>
      <w:r>
        <w:rPr>
          <w:b/>
          <w:bCs/>
        </w:rPr>
        <w:t xml:space="preserve">In </w:t>
      </w:r>
      <w:r w:rsidR="00042D33">
        <w:rPr>
          <w:b/>
          <w:bCs/>
        </w:rPr>
        <w:t>2016</w:t>
      </w:r>
      <w:r w:rsidR="001713A7" w:rsidRPr="00B935AB">
        <w:rPr>
          <w:b/>
          <w:bCs/>
        </w:rPr>
        <w:t>, for children young enough for the "kiddie tax" to apply, what amount of investment income escapes any income tax?</w:t>
      </w:r>
    </w:p>
    <w:p w14:paraId="7544D2AC" w14:textId="77777777" w:rsidR="001713A7" w:rsidRPr="00F26237" w:rsidRDefault="001713A7" w:rsidP="00306F33">
      <w:pPr>
        <w:numPr>
          <w:ilvl w:val="0"/>
          <w:numId w:val="19"/>
        </w:numPr>
      </w:pPr>
      <w:r w:rsidRPr="00F26237">
        <w:t>The first $</w:t>
      </w:r>
      <w:r w:rsidR="006C5666">
        <w:t>550</w:t>
      </w:r>
    </w:p>
    <w:p w14:paraId="6C5301A0" w14:textId="77777777" w:rsidR="001713A7" w:rsidRPr="00F26237" w:rsidRDefault="001713A7" w:rsidP="00B935AB">
      <w:pPr>
        <w:pStyle w:val="ReviewAnswer"/>
      </w:pPr>
      <w:r w:rsidRPr="00993B7F">
        <w:rPr>
          <w:rStyle w:val="Strong"/>
        </w:rPr>
        <w:t>Incorrect.</w:t>
      </w:r>
      <w:r w:rsidRPr="00F26237">
        <w:t xml:space="preserve"> Try again.</w:t>
      </w:r>
    </w:p>
    <w:p w14:paraId="47723BC1" w14:textId="77777777" w:rsidR="001713A7" w:rsidRPr="00F26237" w:rsidRDefault="001713A7" w:rsidP="00306F33">
      <w:pPr>
        <w:numPr>
          <w:ilvl w:val="0"/>
          <w:numId w:val="19"/>
        </w:numPr>
      </w:pPr>
      <w:r w:rsidRPr="00F26237">
        <w:t>The first $</w:t>
      </w:r>
      <w:r w:rsidR="006C5666">
        <w:t>750</w:t>
      </w:r>
    </w:p>
    <w:p w14:paraId="046B32DC" w14:textId="77777777" w:rsidR="001713A7" w:rsidRPr="00F26237" w:rsidRDefault="001713A7" w:rsidP="00B935AB">
      <w:pPr>
        <w:pStyle w:val="ReviewAnswer"/>
      </w:pPr>
      <w:r w:rsidRPr="00993B7F">
        <w:rPr>
          <w:rStyle w:val="Strong"/>
        </w:rPr>
        <w:t>Incorrect.</w:t>
      </w:r>
      <w:r w:rsidRPr="00F26237">
        <w:t xml:space="preserve"> Try again.</w:t>
      </w:r>
    </w:p>
    <w:p w14:paraId="1F8AC9F0" w14:textId="77777777" w:rsidR="001713A7" w:rsidRPr="00993B7F" w:rsidRDefault="001713A7" w:rsidP="00306F33">
      <w:pPr>
        <w:numPr>
          <w:ilvl w:val="0"/>
          <w:numId w:val="19"/>
        </w:numPr>
        <w:rPr>
          <w:rStyle w:val="Strong"/>
        </w:rPr>
      </w:pPr>
      <w:r w:rsidRPr="00993B7F">
        <w:rPr>
          <w:rStyle w:val="Strong"/>
        </w:rPr>
        <w:t>The first $</w:t>
      </w:r>
      <w:r w:rsidR="0006790E">
        <w:rPr>
          <w:rStyle w:val="Strong"/>
        </w:rPr>
        <w:t>1,</w:t>
      </w:r>
      <w:r w:rsidR="006C5666">
        <w:rPr>
          <w:rStyle w:val="Strong"/>
        </w:rPr>
        <w:t>050</w:t>
      </w:r>
    </w:p>
    <w:p w14:paraId="2A71AF84" w14:textId="77777777" w:rsidR="001713A7" w:rsidRPr="00993B7F" w:rsidRDefault="001713A7" w:rsidP="00B935AB">
      <w:pPr>
        <w:pStyle w:val="ReviewAnswer"/>
        <w:rPr>
          <w:rStyle w:val="Strong"/>
        </w:rPr>
      </w:pPr>
      <w:r w:rsidRPr="00993B7F">
        <w:rPr>
          <w:rStyle w:val="Strong"/>
        </w:rPr>
        <w:t>Correct.</w:t>
      </w:r>
    </w:p>
    <w:p w14:paraId="66671EB0" w14:textId="77777777" w:rsidR="001713A7" w:rsidRPr="00F26237" w:rsidRDefault="001713A7" w:rsidP="00306F33">
      <w:pPr>
        <w:numPr>
          <w:ilvl w:val="0"/>
          <w:numId w:val="19"/>
        </w:numPr>
      </w:pPr>
      <w:r w:rsidRPr="00F26237">
        <w:t>The first $1,</w:t>
      </w:r>
      <w:r w:rsidR="006C5666">
        <w:t>550</w:t>
      </w:r>
    </w:p>
    <w:p w14:paraId="1D112792" w14:textId="77777777" w:rsidR="001713A7" w:rsidRPr="00F26237" w:rsidRDefault="001713A7" w:rsidP="00B935AB">
      <w:pPr>
        <w:pStyle w:val="ReviewAnswer"/>
      </w:pPr>
      <w:r w:rsidRPr="00993B7F">
        <w:rPr>
          <w:rStyle w:val="Strong"/>
        </w:rPr>
        <w:t>Incorrect.</w:t>
      </w:r>
      <w:r w:rsidRPr="00F26237">
        <w:t xml:space="preserve"> Try again.</w:t>
      </w:r>
    </w:p>
    <w:p w14:paraId="3627D984" w14:textId="77777777" w:rsidR="001713A7" w:rsidRPr="00F26237" w:rsidRDefault="001713A7" w:rsidP="00306F33">
      <w:pPr>
        <w:numPr>
          <w:ilvl w:val="0"/>
          <w:numId w:val="19"/>
        </w:numPr>
      </w:pPr>
      <w:r w:rsidRPr="00F26237">
        <w:t>The first $</w:t>
      </w:r>
      <w:r w:rsidR="00B555BC">
        <w:t>2,</w:t>
      </w:r>
      <w:r w:rsidR="006C5666">
        <w:t>100</w:t>
      </w:r>
    </w:p>
    <w:p w14:paraId="31D06FC0" w14:textId="77777777" w:rsidR="001713A7" w:rsidRPr="00F26237" w:rsidRDefault="001713A7" w:rsidP="00B935AB">
      <w:pPr>
        <w:pStyle w:val="ReviewAnswer"/>
      </w:pPr>
      <w:r w:rsidRPr="00993B7F">
        <w:rPr>
          <w:rStyle w:val="Strong"/>
        </w:rPr>
        <w:t>Incorrect.</w:t>
      </w:r>
      <w:r w:rsidRPr="00F26237">
        <w:t xml:space="preserve"> Try again.</w:t>
      </w:r>
    </w:p>
    <w:p w14:paraId="245BE794" w14:textId="324F7830" w:rsidR="001713A7" w:rsidRPr="00B935AB" w:rsidRDefault="00B935AB" w:rsidP="00306F33">
      <w:pPr>
        <w:numPr>
          <w:ilvl w:val="0"/>
          <w:numId w:val="18"/>
        </w:numPr>
        <w:ind w:left="360"/>
        <w:rPr>
          <w:b/>
        </w:rPr>
      </w:pPr>
      <w:r>
        <w:rPr>
          <w:b/>
        </w:rPr>
        <w:t xml:space="preserve">In </w:t>
      </w:r>
      <w:r w:rsidR="00042D33">
        <w:rPr>
          <w:b/>
        </w:rPr>
        <w:t>2016</w:t>
      </w:r>
      <w:r w:rsidR="001713A7" w:rsidRPr="00B935AB">
        <w:rPr>
          <w:b/>
        </w:rPr>
        <w:t>, the "kiddie tax" comes into play after the minor's investment income reaches:</w:t>
      </w:r>
    </w:p>
    <w:p w14:paraId="74CFCF89" w14:textId="77777777" w:rsidR="001713A7" w:rsidRPr="00F26237" w:rsidRDefault="001713A7" w:rsidP="00306F33">
      <w:pPr>
        <w:numPr>
          <w:ilvl w:val="0"/>
          <w:numId w:val="19"/>
        </w:numPr>
      </w:pPr>
      <w:r w:rsidRPr="00F26237">
        <w:t>The first $500</w:t>
      </w:r>
    </w:p>
    <w:p w14:paraId="6359B281" w14:textId="77777777" w:rsidR="001713A7" w:rsidRPr="00F26237" w:rsidRDefault="001713A7" w:rsidP="00B935AB">
      <w:pPr>
        <w:pStyle w:val="ReviewAnswer"/>
      </w:pPr>
      <w:r w:rsidRPr="00993B7F">
        <w:rPr>
          <w:rStyle w:val="Strong"/>
        </w:rPr>
        <w:t>Incorrect.</w:t>
      </w:r>
      <w:r w:rsidRPr="00F26237">
        <w:t xml:space="preserve"> Try again.</w:t>
      </w:r>
    </w:p>
    <w:p w14:paraId="0321E2E6" w14:textId="77777777" w:rsidR="001713A7" w:rsidRPr="00F26237" w:rsidRDefault="001713A7" w:rsidP="00306F33">
      <w:pPr>
        <w:numPr>
          <w:ilvl w:val="0"/>
          <w:numId w:val="19"/>
        </w:numPr>
      </w:pPr>
      <w:r w:rsidRPr="00F26237">
        <w:t>The first $700</w:t>
      </w:r>
    </w:p>
    <w:p w14:paraId="460A3179" w14:textId="77777777" w:rsidR="001713A7" w:rsidRPr="00F26237" w:rsidRDefault="001713A7" w:rsidP="00B935AB">
      <w:pPr>
        <w:pStyle w:val="ReviewAnswer"/>
      </w:pPr>
      <w:r w:rsidRPr="00993B7F">
        <w:rPr>
          <w:rStyle w:val="Strong"/>
        </w:rPr>
        <w:t>Incorrect</w:t>
      </w:r>
      <w:r w:rsidRPr="00F26237">
        <w:t>. Try again.</w:t>
      </w:r>
    </w:p>
    <w:p w14:paraId="1018D756" w14:textId="77777777" w:rsidR="001713A7" w:rsidRPr="00F26237" w:rsidRDefault="001713A7" w:rsidP="00306F33">
      <w:pPr>
        <w:numPr>
          <w:ilvl w:val="0"/>
          <w:numId w:val="19"/>
        </w:numPr>
      </w:pPr>
      <w:r w:rsidRPr="00F26237">
        <w:t>The first $900</w:t>
      </w:r>
    </w:p>
    <w:p w14:paraId="2409C9B2" w14:textId="77777777" w:rsidR="001713A7" w:rsidRPr="00F26237" w:rsidRDefault="001713A7" w:rsidP="00B935AB">
      <w:pPr>
        <w:pStyle w:val="ReviewAnswer"/>
      </w:pPr>
      <w:r w:rsidRPr="00993B7F">
        <w:rPr>
          <w:rStyle w:val="Strong"/>
        </w:rPr>
        <w:t>Incorrect.</w:t>
      </w:r>
      <w:r w:rsidRPr="00F26237">
        <w:t xml:space="preserve"> Try again.</w:t>
      </w:r>
    </w:p>
    <w:p w14:paraId="268B8822" w14:textId="77777777" w:rsidR="001713A7" w:rsidRPr="00F26237" w:rsidRDefault="001713A7" w:rsidP="00306F33">
      <w:pPr>
        <w:numPr>
          <w:ilvl w:val="0"/>
          <w:numId w:val="19"/>
        </w:numPr>
      </w:pPr>
      <w:r w:rsidRPr="00F26237">
        <w:t>The first $1,</w:t>
      </w:r>
      <w:r w:rsidR="006C5666">
        <w:t>100</w:t>
      </w:r>
    </w:p>
    <w:p w14:paraId="51F24B5B" w14:textId="77777777" w:rsidR="001713A7" w:rsidRPr="00F26237" w:rsidRDefault="001713A7" w:rsidP="00B935AB">
      <w:pPr>
        <w:pStyle w:val="ReviewAnswer"/>
      </w:pPr>
      <w:r w:rsidRPr="00993B7F">
        <w:rPr>
          <w:rStyle w:val="Strong"/>
        </w:rPr>
        <w:t>Incorrect.</w:t>
      </w:r>
      <w:r w:rsidRPr="00F26237">
        <w:t xml:space="preserve"> Try again.</w:t>
      </w:r>
    </w:p>
    <w:p w14:paraId="5741B514" w14:textId="77777777" w:rsidR="001713A7" w:rsidRPr="00993B7F" w:rsidRDefault="001713A7" w:rsidP="00306F33">
      <w:pPr>
        <w:numPr>
          <w:ilvl w:val="0"/>
          <w:numId w:val="19"/>
        </w:numPr>
        <w:rPr>
          <w:rStyle w:val="Strong"/>
        </w:rPr>
      </w:pPr>
      <w:r w:rsidRPr="00993B7F">
        <w:rPr>
          <w:rStyle w:val="Strong"/>
        </w:rPr>
        <w:t>The first $</w:t>
      </w:r>
      <w:r w:rsidR="0006790E">
        <w:rPr>
          <w:rStyle w:val="Strong"/>
        </w:rPr>
        <w:t>2,</w:t>
      </w:r>
      <w:r w:rsidR="006C5666">
        <w:rPr>
          <w:rStyle w:val="Strong"/>
        </w:rPr>
        <w:t>100</w:t>
      </w:r>
    </w:p>
    <w:p w14:paraId="0ECCA400" w14:textId="77777777" w:rsidR="001713A7" w:rsidRPr="00993B7F" w:rsidRDefault="001713A7" w:rsidP="00B935AB">
      <w:pPr>
        <w:pStyle w:val="ReviewAnswer"/>
        <w:rPr>
          <w:rStyle w:val="Strong"/>
        </w:rPr>
      </w:pPr>
      <w:r w:rsidRPr="00993B7F">
        <w:rPr>
          <w:rStyle w:val="Strong"/>
        </w:rPr>
        <w:t>Correct.</w:t>
      </w:r>
    </w:p>
    <w:p w14:paraId="5BBC3E68" w14:textId="2DC29DCF" w:rsidR="001713A7" w:rsidRPr="00B935AB" w:rsidRDefault="001713A7" w:rsidP="00306F33">
      <w:pPr>
        <w:numPr>
          <w:ilvl w:val="0"/>
          <w:numId w:val="18"/>
        </w:numPr>
        <w:ind w:left="360"/>
        <w:rPr>
          <w:b/>
          <w:bCs/>
        </w:rPr>
      </w:pPr>
      <w:r w:rsidRPr="00B935AB">
        <w:rPr>
          <w:b/>
          <w:bCs/>
        </w:rPr>
        <w:t xml:space="preserve">Jimmy is 14 years old and has a part time job mowing lawns. In </w:t>
      </w:r>
      <w:r w:rsidR="00042D33">
        <w:rPr>
          <w:b/>
          <w:bCs/>
        </w:rPr>
        <w:t>2016</w:t>
      </w:r>
      <w:r w:rsidRPr="00B935AB">
        <w:rPr>
          <w:b/>
          <w:bCs/>
        </w:rPr>
        <w:t>, he earn</w:t>
      </w:r>
      <w:r w:rsidR="0006790E">
        <w:rPr>
          <w:b/>
          <w:bCs/>
        </w:rPr>
        <w:t>s</w:t>
      </w:r>
      <w:r w:rsidRPr="00B935AB">
        <w:rPr>
          <w:b/>
          <w:bCs/>
        </w:rPr>
        <w:t xml:space="preserve"> </w:t>
      </w:r>
      <w:r w:rsidRPr="00B935AB">
        <w:rPr>
          <w:b/>
          <w:bCs/>
        </w:rPr>
        <w:lastRenderedPageBreak/>
        <w:t>$2,500 and had no other income from other sources. How much of his earnings will be subject to the kiddie tax?</w:t>
      </w:r>
    </w:p>
    <w:p w14:paraId="5FB314A4" w14:textId="77777777" w:rsidR="001713A7" w:rsidRPr="00993B7F" w:rsidRDefault="001713A7" w:rsidP="00306F33">
      <w:pPr>
        <w:numPr>
          <w:ilvl w:val="0"/>
          <w:numId w:val="19"/>
        </w:numPr>
        <w:rPr>
          <w:rStyle w:val="Strong"/>
        </w:rPr>
      </w:pPr>
      <w:r w:rsidRPr="00993B7F">
        <w:rPr>
          <w:rStyle w:val="Strong"/>
        </w:rPr>
        <w:t>None</w:t>
      </w:r>
    </w:p>
    <w:p w14:paraId="742BB0E4" w14:textId="77777777" w:rsidR="001713A7" w:rsidRPr="00F26237" w:rsidRDefault="001713A7" w:rsidP="00B935AB">
      <w:pPr>
        <w:pStyle w:val="ReviewAnswer"/>
      </w:pPr>
      <w:r w:rsidRPr="00993B7F">
        <w:rPr>
          <w:rStyle w:val="Strong"/>
        </w:rPr>
        <w:t>Correct</w:t>
      </w:r>
      <w:r w:rsidRPr="00F26237">
        <w:t xml:space="preserve">. The kiddie tax only applies to </w:t>
      </w:r>
      <w:r w:rsidRPr="00B51BB9">
        <w:rPr>
          <w:i/>
        </w:rPr>
        <w:t>unearned</w:t>
      </w:r>
      <w:r w:rsidRPr="00F26237">
        <w:t xml:space="preserve"> income and Jimmy only had </w:t>
      </w:r>
      <w:r w:rsidRPr="00B51BB9">
        <w:rPr>
          <w:i/>
        </w:rPr>
        <w:t>earned</w:t>
      </w:r>
      <w:r w:rsidRPr="00F26237">
        <w:t xml:space="preserve"> income.</w:t>
      </w:r>
    </w:p>
    <w:p w14:paraId="4B2E0873" w14:textId="77777777" w:rsidR="001713A7" w:rsidRPr="00F26237" w:rsidRDefault="001713A7" w:rsidP="00306F33">
      <w:pPr>
        <w:numPr>
          <w:ilvl w:val="0"/>
          <w:numId w:val="19"/>
        </w:numPr>
      </w:pPr>
      <w:r w:rsidRPr="00F26237">
        <w:t>$</w:t>
      </w:r>
      <w:r w:rsidR="006C5666">
        <w:t>400</w:t>
      </w:r>
    </w:p>
    <w:p w14:paraId="4006F3BA" w14:textId="77777777" w:rsidR="001713A7" w:rsidRPr="00F26237" w:rsidRDefault="001713A7" w:rsidP="00B935AB">
      <w:pPr>
        <w:pStyle w:val="ReviewAnswer"/>
      </w:pPr>
      <w:r w:rsidRPr="00993B7F">
        <w:rPr>
          <w:rStyle w:val="Strong"/>
        </w:rPr>
        <w:t>Incorrect</w:t>
      </w:r>
      <w:r w:rsidRPr="00F26237">
        <w:t>. Try again.</w:t>
      </w:r>
    </w:p>
    <w:p w14:paraId="65C0F924" w14:textId="77777777" w:rsidR="001713A7" w:rsidRPr="00F26237" w:rsidRDefault="001713A7" w:rsidP="00306F33">
      <w:pPr>
        <w:numPr>
          <w:ilvl w:val="0"/>
          <w:numId w:val="19"/>
        </w:numPr>
      </w:pPr>
      <w:r w:rsidRPr="00F26237">
        <w:t>$</w:t>
      </w:r>
      <w:r w:rsidR="0006790E">
        <w:t>1,000</w:t>
      </w:r>
    </w:p>
    <w:p w14:paraId="3722BA5D" w14:textId="77777777" w:rsidR="001713A7" w:rsidRPr="00F26237" w:rsidRDefault="001713A7" w:rsidP="00B935AB">
      <w:pPr>
        <w:pStyle w:val="ReviewAnswer"/>
      </w:pPr>
      <w:r w:rsidRPr="00993B7F">
        <w:rPr>
          <w:rStyle w:val="Strong"/>
        </w:rPr>
        <w:t>Incorrect</w:t>
      </w:r>
      <w:r w:rsidRPr="00F26237">
        <w:t>. Try again.</w:t>
      </w:r>
    </w:p>
    <w:p w14:paraId="4A5444EC" w14:textId="77777777" w:rsidR="001713A7" w:rsidRPr="00F26237" w:rsidRDefault="001713A7" w:rsidP="00306F33">
      <w:pPr>
        <w:numPr>
          <w:ilvl w:val="0"/>
          <w:numId w:val="19"/>
        </w:numPr>
      </w:pPr>
      <w:r w:rsidRPr="00F26237">
        <w:t>$1,5</w:t>
      </w:r>
      <w:r w:rsidR="0006790E">
        <w:t>0</w:t>
      </w:r>
      <w:r w:rsidRPr="00F26237">
        <w:t>0</w:t>
      </w:r>
    </w:p>
    <w:p w14:paraId="1DE4E1FC" w14:textId="77777777" w:rsidR="001713A7" w:rsidRPr="00F26237" w:rsidRDefault="001713A7" w:rsidP="00B935AB">
      <w:pPr>
        <w:pStyle w:val="ReviewAnswer"/>
      </w:pPr>
      <w:r w:rsidRPr="00993B7F">
        <w:rPr>
          <w:rStyle w:val="Strong"/>
        </w:rPr>
        <w:t>Incorrect.</w:t>
      </w:r>
      <w:r w:rsidRPr="00F26237">
        <w:t xml:space="preserve"> Try again.</w:t>
      </w:r>
    </w:p>
    <w:p w14:paraId="70BE48A0" w14:textId="77777777" w:rsidR="001713A7" w:rsidRPr="00F26237" w:rsidRDefault="001713A7" w:rsidP="00306F33">
      <w:pPr>
        <w:numPr>
          <w:ilvl w:val="0"/>
          <w:numId w:val="19"/>
        </w:numPr>
      </w:pPr>
      <w:r w:rsidRPr="00F26237">
        <w:t>$</w:t>
      </w:r>
      <w:r w:rsidR="0006790E">
        <w:t>2,0</w:t>
      </w:r>
      <w:r w:rsidRPr="00F26237">
        <w:t>00</w:t>
      </w:r>
    </w:p>
    <w:p w14:paraId="4EF51849" w14:textId="77777777" w:rsidR="001713A7" w:rsidRPr="00F26237" w:rsidRDefault="001713A7" w:rsidP="00B935AB">
      <w:pPr>
        <w:pStyle w:val="ReviewAnswer"/>
      </w:pPr>
      <w:r w:rsidRPr="00993B7F">
        <w:rPr>
          <w:rStyle w:val="Strong"/>
        </w:rPr>
        <w:t>Incorrect.</w:t>
      </w:r>
      <w:r w:rsidRPr="00F26237">
        <w:t xml:space="preserve"> Try again.</w:t>
      </w:r>
    </w:p>
    <w:p w14:paraId="2BB19398" w14:textId="77777777" w:rsidR="00E82306" w:rsidRDefault="00E82306" w:rsidP="00302663">
      <w:pPr>
        <w:pStyle w:val="Heading2"/>
      </w:pPr>
      <w:r>
        <w:br w:type="page"/>
      </w:r>
      <w:r>
        <w:lastRenderedPageBreak/>
        <w:t>Summary</w:t>
      </w:r>
    </w:p>
    <w:p w14:paraId="5677F759" w14:textId="77777777" w:rsidR="00E82306" w:rsidRPr="00711A6E" w:rsidRDefault="005C64EA" w:rsidP="00B935AB">
      <w:pPr>
        <w:rPr>
          <w:rFonts w:ascii="Arial" w:hAnsi="Arial"/>
          <w:sz w:val="24"/>
          <w:szCs w:val="24"/>
        </w:rPr>
      </w:pPr>
      <w:r w:rsidRPr="00302663">
        <w:t>The following is a quick review of the key concepts contained in each section of this course</w:t>
      </w:r>
      <w:r>
        <w:rPr>
          <w:rFonts w:ascii="Arial" w:hAnsi="Arial"/>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4"/>
        <w:gridCol w:w="6512"/>
      </w:tblGrid>
      <w:tr w:rsidR="00E82306" w14:paraId="45B43EAD" w14:textId="77777777" w:rsidTr="00306F33">
        <w:tc>
          <w:tcPr>
            <w:tcW w:w="1600" w:type="pct"/>
            <w:shd w:val="clear" w:color="auto" w:fill="FFFFD9"/>
          </w:tcPr>
          <w:p w14:paraId="5358F5F6" w14:textId="77777777" w:rsidR="00E82306" w:rsidRPr="00306F33" w:rsidRDefault="00E82306" w:rsidP="00B935AB">
            <w:pPr>
              <w:rPr>
                <w:rFonts w:eastAsia="Arial Unicode MS" w:cs="Arial Unicode MS"/>
                <w:b/>
                <w:color w:val="FF0000"/>
              </w:rPr>
            </w:pPr>
            <w:r w:rsidRPr="00306F33">
              <w:rPr>
                <w:b/>
                <w:color w:val="FF0000"/>
              </w:rPr>
              <w:t>Section:</w:t>
            </w:r>
          </w:p>
        </w:tc>
        <w:tc>
          <w:tcPr>
            <w:tcW w:w="3400" w:type="pct"/>
            <w:shd w:val="clear" w:color="auto" w:fill="FFFFD9"/>
          </w:tcPr>
          <w:p w14:paraId="16E0B609" w14:textId="77777777" w:rsidR="00E82306" w:rsidRPr="00306F33" w:rsidRDefault="00E82306" w:rsidP="00B935AB">
            <w:pPr>
              <w:rPr>
                <w:rFonts w:eastAsia="Arial Unicode MS" w:cs="Arial Unicode MS"/>
                <w:b/>
                <w:color w:val="FF0000"/>
              </w:rPr>
            </w:pPr>
            <w:r w:rsidRPr="00306F33">
              <w:rPr>
                <w:b/>
                <w:color w:val="FF0000"/>
              </w:rPr>
              <w:t>Key Points</w:t>
            </w:r>
          </w:p>
        </w:tc>
      </w:tr>
      <w:tr w:rsidR="00E82306" w:rsidRPr="00306F33" w14:paraId="29F10DFC" w14:textId="77777777" w:rsidTr="00306F33">
        <w:trPr>
          <w:trHeight w:val="1110"/>
        </w:trPr>
        <w:tc>
          <w:tcPr>
            <w:tcW w:w="1600" w:type="pct"/>
            <w:shd w:val="clear" w:color="auto" w:fill="FFFFCC"/>
          </w:tcPr>
          <w:p w14:paraId="2ED550A9" w14:textId="77777777" w:rsidR="00E82306" w:rsidRPr="00306F33" w:rsidRDefault="00E82306" w:rsidP="00302663">
            <w:pPr>
              <w:rPr>
                <w:rStyle w:val="Strong"/>
                <w:rFonts w:eastAsia="Arial Unicode MS"/>
              </w:rPr>
            </w:pPr>
            <w:r w:rsidRPr="00302663">
              <w:rPr>
                <w:rStyle w:val="Strong"/>
              </w:rPr>
              <w:t>Generation Skipping Taxes</w:t>
            </w:r>
          </w:p>
        </w:tc>
        <w:tc>
          <w:tcPr>
            <w:tcW w:w="3400" w:type="pct"/>
            <w:shd w:val="clear" w:color="auto" w:fill="FFFFCC"/>
          </w:tcPr>
          <w:p w14:paraId="488426C1" w14:textId="77777777" w:rsidR="00B935AB" w:rsidRDefault="00E82306" w:rsidP="00302663">
            <w:pPr>
              <w:rPr>
                <w:rStyle w:val="Strong"/>
              </w:rPr>
            </w:pPr>
            <w:r w:rsidRPr="00302663">
              <w:rPr>
                <w:rStyle w:val="Strong"/>
              </w:rPr>
              <w:t xml:space="preserve">How to identify skip </w:t>
            </w:r>
            <w:proofErr w:type="gramStart"/>
            <w:r w:rsidRPr="00302663">
              <w:rPr>
                <w:rStyle w:val="Strong"/>
              </w:rPr>
              <w:t>persons</w:t>
            </w:r>
            <w:proofErr w:type="gramEnd"/>
            <w:r w:rsidRPr="00302663">
              <w:rPr>
                <w:rStyle w:val="Strong"/>
              </w:rPr>
              <w:t xml:space="preserve"> </w:t>
            </w:r>
          </w:p>
          <w:p w14:paraId="10CF9F45" w14:textId="77777777" w:rsidR="00B935AB" w:rsidRDefault="00E82306" w:rsidP="00302663">
            <w:pPr>
              <w:rPr>
                <w:rStyle w:val="Strong"/>
              </w:rPr>
            </w:pPr>
            <w:r w:rsidRPr="00302663">
              <w:rPr>
                <w:rStyle w:val="Strong"/>
              </w:rPr>
              <w:t xml:space="preserve">When can a skip person become a non-skip person </w:t>
            </w:r>
          </w:p>
          <w:p w14:paraId="081DD5CA" w14:textId="77777777" w:rsidR="00B935AB" w:rsidRDefault="00E82306" w:rsidP="00302663">
            <w:pPr>
              <w:rPr>
                <w:rStyle w:val="Strong"/>
              </w:rPr>
            </w:pPr>
            <w:r w:rsidRPr="00302663">
              <w:rPr>
                <w:rStyle w:val="Strong"/>
              </w:rPr>
              <w:t xml:space="preserve">Events that trigger the GST tax </w:t>
            </w:r>
          </w:p>
          <w:p w14:paraId="7B9F50F0" w14:textId="77777777" w:rsidR="00E82306" w:rsidRPr="00302663" w:rsidRDefault="00E82306" w:rsidP="00302663">
            <w:pPr>
              <w:rPr>
                <w:rStyle w:val="Strong"/>
              </w:rPr>
            </w:pPr>
            <w:r w:rsidRPr="00302663">
              <w:rPr>
                <w:rStyle w:val="Strong"/>
              </w:rPr>
              <w:t>Characteristics and amount of the GST exemption</w:t>
            </w:r>
          </w:p>
        </w:tc>
      </w:tr>
      <w:tr w:rsidR="00E82306" w:rsidRPr="00306F33" w14:paraId="06AD13B9" w14:textId="77777777" w:rsidTr="00306F33">
        <w:trPr>
          <w:trHeight w:val="660"/>
        </w:trPr>
        <w:tc>
          <w:tcPr>
            <w:tcW w:w="1600" w:type="pct"/>
            <w:shd w:val="clear" w:color="auto" w:fill="FFFFCC"/>
          </w:tcPr>
          <w:p w14:paraId="1FB24DB2" w14:textId="77777777" w:rsidR="00E82306" w:rsidRPr="00306F33" w:rsidRDefault="00E82306" w:rsidP="00302663">
            <w:pPr>
              <w:rPr>
                <w:rStyle w:val="Strong"/>
                <w:rFonts w:eastAsia="Arial Unicode MS"/>
              </w:rPr>
            </w:pPr>
            <w:r w:rsidRPr="00302663">
              <w:rPr>
                <w:rStyle w:val="Strong"/>
              </w:rPr>
              <w:t>Income Taxes</w:t>
            </w:r>
            <w:r w:rsidR="005A636B" w:rsidRPr="00302663">
              <w:rPr>
                <w:rStyle w:val="Strong"/>
              </w:rPr>
              <w:t xml:space="preserve"> Relevant to Estate Planning</w:t>
            </w:r>
          </w:p>
        </w:tc>
        <w:tc>
          <w:tcPr>
            <w:tcW w:w="3400" w:type="pct"/>
            <w:shd w:val="clear" w:color="auto" w:fill="FFFFCC"/>
          </w:tcPr>
          <w:p w14:paraId="165B74A4" w14:textId="77777777" w:rsidR="00B935AB" w:rsidRDefault="00E82306" w:rsidP="00302663">
            <w:pPr>
              <w:rPr>
                <w:rStyle w:val="Strong"/>
              </w:rPr>
            </w:pPr>
            <w:r w:rsidRPr="00302663">
              <w:rPr>
                <w:rStyle w:val="Strong"/>
              </w:rPr>
              <w:t xml:space="preserve">Charitable deductions </w:t>
            </w:r>
          </w:p>
          <w:p w14:paraId="4D967C49" w14:textId="77777777" w:rsidR="00E82306" w:rsidRPr="00302663" w:rsidRDefault="00E82306" w:rsidP="00302663">
            <w:pPr>
              <w:rPr>
                <w:rStyle w:val="Strong"/>
              </w:rPr>
            </w:pPr>
            <w:r w:rsidRPr="00302663">
              <w:rPr>
                <w:rStyle w:val="Strong"/>
              </w:rPr>
              <w:t xml:space="preserve">Taxation of minors </w:t>
            </w:r>
          </w:p>
          <w:p w14:paraId="212AEC04" w14:textId="77777777" w:rsidR="005A636B" w:rsidRPr="00302663" w:rsidRDefault="005A636B" w:rsidP="00302663">
            <w:pPr>
              <w:rPr>
                <w:rStyle w:val="Strong"/>
              </w:rPr>
            </w:pPr>
            <w:r w:rsidRPr="00302663">
              <w:rPr>
                <w:rStyle w:val="Strong"/>
              </w:rPr>
              <w:t>Step-up in basis at death</w:t>
            </w:r>
          </w:p>
        </w:tc>
      </w:tr>
    </w:tbl>
    <w:p w14:paraId="38DA5183" w14:textId="77777777" w:rsidR="005C64EA" w:rsidRDefault="005C64EA" w:rsidP="00DA38F8">
      <w:pPr>
        <w:pStyle w:val="Heading2"/>
      </w:pPr>
      <w:r>
        <w:br w:type="page"/>
      </w:r>
      <w:r>
        <w:lastRenderedPageBreak/>
        <w:t>Conclusion</w:t>
      </w:r>
    </w:p>
    <w:p w14:paraId="2A75D600" w14:textId="77777777" w:rsidR="005C64EA" w:rsidRPr="00811B59" w:rsidRDefault="005C64EA" w:rsidP="00B935AB">
      <w:r w:rsidRPr="00811B59">
        <w:t xml:space="preserve">This concludes the material for this subject.  At this </w:t>
      </w:r>
      <w:proofErr w:type="gramStart"/>
      <w:r w:rsidRPr="00811B59">
        <w:t>time</w:t>
      </w:r>
      <w:proofErr w:type="gramEnd"/>
      <w:r w:rsidRPr="00811B59">
        <w:t xml:space="preserve"> you may return to any sections in which you feel the need for further study</w:t>
      </w:r>
    </w:p>
    <w:sectPr w:rsidR="005C64EA" w:rsidRPr="00811B59" w:rsidSect="0007523D">
      <w:headerReference w:type="default" r:id="rId16"/>
      <w:footerReference w:type="default" r:id="rId1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F45E1" w14:textId="77777777" w:rsidR="003B3E8E" w:rsidRDefault="003B3E8E">
      <w:r>
        <w:separator/>
      </w:r>
    </w:p>
  </w:endnote>
  <w:endnote w:type="continuationSeparator" w:id="0">
    <w:p w14:paraId="4AE5B211" w14:textId="77777777" w:rsidR="003B3E8E" w:rsidRDefault="003B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55F5D" w14:textId="3916F89A" w:rsidR="00042D33" w:rsidRPr="00B56B59" w:rsidRDefault="00042D33" w:rsidP="00042E35">
    <w:pPr>
      <w:pStyle w:val="Footer"/>
      <w:tabs>
        <w:tab w:val="clear" w:pos="8640"/>
        <w:tab w:val="right" w:pos="7920"/>
      </w:tabs>
    </w:pPr>
    <w:r>
      <w:rPr>
        <w:noProof/>
        <w:lang w:eastAsia="zh-CN"/>
      </w:rPr>
      <w:drawing>
        <wp:anchor distT="0" distB="0" distL="114300" distR="114300" simplePos="0" relativeHeight="251657216" behindDoc="1" locked="0" layoutInCell="1" allowOverlap="1" wp14:anchorId="221553D7" wp14:editId="273E20D2">
          <wp:simplePos x="0" y="0"/>
          <wp:positionH relativeFrom="column">
            <wp:posOffset>5248275</wp:posOffset>
          </wp:positionH>
          <wp:positionV relativeFrom="paragraph">
            <wp:posOffset>-29210</wp:posOffset>
          </wp:positionV>
          <wp:extent cx="933450" cy="485775"/>
          <wp:effectExtent l="0" t="0" r="6350" b="0"/>
          <wp:wrapTight wrapText="bothSides">
            <wp:wrapPolygon edited="0">
              <wp:start x="0" y="0"/>
              <wp:lineTo x="0" y="20329"/>
              <wp:lineTo x="21159" y="20329"/>
              <wp:lineTo x="21159" y="0"/>
              <wp:lineTo x="0" y="0"/>
            </wp:wrapPolygon>
          </wp:wrapTight>
          <wp:docPr id="7" name="Picture 7"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 2016</w:t>
    </w:r>
    <w:r w:rsidRPr="00B56B59">
      <w:t xml:space="preserve"> Greene Consulting Associates, LLC. All Rights Reserved.  </w:t>
    </w:r>
    <w:r w:rsidRPr="00B56B59">
      <w:tab/>
    </w:r>
    <w:r w:rsidRPr="00B56B59">
      <w:rPr>
        <w:rStyle w:val="PageNumber"/>
        <w:szCs w:val="16"/>
      </w:rPr>
      <w:fldChar w:fldCharType="begin"/>
    </w:r>
    <w:r w:rsidRPr="00B56B59">
      <w:rPr>
        <w:rStyle w:val="PageNumber"/>
        <w:szCs w:val="16"/>
      </w:rPr>
      <w:instrText xml:space="preserve"> PAGE </w:instrText>
    </w:r>
    <w:r w:rsidRPr="00B56B59">
      <w:rPr>
        <w:rStyle w:val="PageNumber"/>
        <w:szCs w:val="16"/>
      </w:rPr>
      <w:fldChar w:fldCharType="separate"/>
    </w:r>
    <w:r w:rsidR="00866340">
      <w:rPr>
        <w:rStyle w:val="PageNumber"/>
        <w:noProof/>
        <w:szCs w:val="16"/>
      </w:rPr>
      <w:t>1</w:t>
    </w:r>
    <w:r w:rsidRPr="00B56B59">
      <w:rPr>
        <w:rStyle w:val="PageNumber"/>
        <w:szCs w:val="16"/>
      </w:rPr>
      <w:fldChar w:fldCharType="end"/>
    </w:r>
  </w:p>
  <w:p w14:paraId="25582E5B" w14:textId="77777777" w:rsidR="00042D33" w:rsidRPr="00B56B59" w:rsidRDefault="00042D33" w:rsidP="00042E35">
    <w:pPr>
      <w:pStyle w:val="Footer"/>
      <w:tabs>
        <w:tab w:val="clear" w:pos="8640"/>
        <w:tab w:val="right" w:pos="7920"/>
      </w:tabs>
    </w:pPr>
    <w:r w:rsidRPr="00B56B59">
      <w:t xml:space="preserve">Intended solely for use by licensed users. </w:t>
    </w:r>
  </w:p>
  <w:p w14:paraId="42F71C0B" w14:textId="77777777" w:rsidR="00042D33" w:rsidRPr="00B56B59" w:rsidRDefault="00042D33" w:rsidP="00042E35">
    <w:pPr>
      <w:pStyle w:val="Footer"/>
      <w:tabs>
        <w:tab w:val="clear" w:pos="8640"/>
        <w:tab w:val="right" w:pos="7920"/>
      </w:tabs>
    </w:pPr>
    <w:r w:rsidRPr="00B56B59">
      <w:t>Not to be reproduced or circulated without prior approval.</w:t>
    </w:r>
    <w:r w:rsidRPr="00B56B59">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36F2F" w14:textId="77777777" w:rsidR="003B3E8E" w:rsidRDefault="003B3E8E">
      <w:r>
        <w:separator/>
      </w:r>
    </w:p>
  </w:footnote>
  <w:footnote w:type="continuationSeparator" w:id="0">
    <w:p w14:paraId="58998363" w14:textId="77777777" w:rsidR="003B3E8E" w:rsidRDefault="003B3E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33F31" w14:textId="77777777" w:rsidR="00042D33" w:rsidRPr="00EC48CF" w:rsidRDefault="00042D33" w:rsidP="00042E35">
    <w:pPr>
      <w:pStyle w:val="Header"/>
      <w:ind w:right="-270"/>
      <w:jc w:val="right"/>
      <w:rPr>
        <w:b/>
        <w:bCs/>
      </w:rPr>
    </w:pPr>
    <w:r>
      <w:rPr>
        <w:b/>
        <w:noProof/>
        <w:lang w:eastAsia="zh-CN"/>
      </w:rPr>
      <mc:AlternateContent>
        <mc:Choice Requires="wps">
          <w:drawing>
            <wp:anchor distT="0" distB="0" distL="114300" distR="114300" simplePos="0" relativeHeight="251658240" behindDoc="0" locked="0" layoutInCell="1" allowOverlap="1" wp14:anchorId="126B5C40" wp14:editId="3BBECEEE">
              <wp:simplePos x="0" y="0"/>
              <wp:positionH relativeFrom="column">
                <wp:posOffset>-34925</wp:posOffset>
              </wp:positionH>
              <wp:positionV relativeFrom="paragraph">
                <wp:posOffset>225425</wp:posOffset>
              </wp:positionV>
              <wp:extent cx="6181725" cy="100330"/>
              <wp:effectExtent l="3175" t="0" r="0" b="444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15A82" id="Rectangle 8" o:spid="_x0000_s1026" style="position:absolute;margin-left:-2.75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" fillcolor="black" stroked="f">
              <v:fill color2="#339" rotate="t" angle="90" focus="100%" type="gradient"/>
            </v:rect>
          </w:pict>
        </mc:Fallback>
      </mc:AlternateContent>
    </w:r>
    <w:r>
      <w:rPr>
        <w:b/>
        <w:noProof/>
      </w:rPr>
      <w:t>Transfer Taxation Part 3: GST and Income Taxes</w:t>
    </w:r>
  </w:p>
  <w:p w14:paraId="386C2114" w14:textId="77777777" w:rsidR="00042D33" w:rsidRDefault="00042D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6.1pt;height:16.1pt" o:bullet="t">
        <v:imagedata r:id="rId1" o:title=""/>
      </v:shape>
    </w:pict>
  </w:numPicBullet>
  <w:abstractNum w:abstractNumId="0">
    <w:nsid w:val="FFFFFF1D"/>
    <w:multiLevelType w:val="multilevel"/>
    <w:tmpl w:val="B4CC8F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57D0E"/>
    <w:multiLevelType w:val="hybridMultilevel"/>
    <w:tmpl w:val="C178C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37DE9"/>
    <w:multiLevelType w:val="hybridMultilevel"/>
    <w:tmpl w:val="2F1A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00273"/>
    <w:multiLevelType w:val="hybridMultilevel"/>
    <w:tmpl w:val="4218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73DB4"/>
    <w:multiLevelType w:val="hybridMultilevel"/>
    <w:tmpl w:val="1964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71FE2"/>
    <w:multiLevelType w:val="hybridMultilevel"/>
    <w:tmpl w:val="0900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E256C"/>
    <w:multiLevelType w:val="hybridMultilevel"/>
    <w:tmpl w:val="B372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F36A4"/>
    <w:multiLevelType w:val="hybridMultilevel"/>
    <w:tmpl w:val="371C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75CD1"/>
    <w:multiLevelType w:val="hybridMultilevel"/>
    <w:tmpl w:val="F630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E32BE6"/>
    <w:multiLevelType w:val="hybridMultilevel"/>
    <w:tmpl w:val="C178C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135A2"/>
    <w:multiLevelType w:val="hybridMultilevel"/>
    <w:tmpl w:val="97CC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178D2"/>
    <w:multiLevelType w:val="hybridMultilevel"/>
    <w:tmpl w:val="0900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63B95"/>
    <w:multiLevelType w:val="hybridMultilevel"/>
    <w:tmpl w:val="B89C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4869B3"/>
    <w:multiLevelType w:val="hybridMultilevel"/>
    <w:tmpl w:val="8E94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03166"/>
    <w:multiLevelType w:val="hybridMultilevel"/>
    <w:tmpl w:val="82E0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500CD"/>
    <w:multiLevelType w:val="hybridMultilevel"/>
    <w:tmpl w:val="587E5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615D60"/>
    <w:multiLevelType w:val="hybridMultilevel"/>
    <w:tmpl w:val="96BC18C2"/>
    <w:lvl w:ilvl="0" w:tplc="858E1DC8">
      <w:start w:val="1"/>
      <w:numFmt w:val="decimal"/>
      <w:lvlText w:val="%1."/>
      <w:lvlJc w:val="left"/>
      <w:pPr>
        <w:ind w:left="720" w:hanging="360"/>
      </w:pPr>
      <w:rPr>
        <w:rFonts w:ascii="Verdana" w:hAnsi="Verdana" w:hint="default"/>
        <w:b w:val="0"/>
        <w:bCs w:val="0"/>
        <w:i w:val="0"/>
        <w:iCs w:val="0"/>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4B2B7F04"/>
    <w:multiLevelType w:val="hybridMultilevel"/>
    <w:tmpl w:val="501A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F1FA9"/>
    <w:multiLevelType w:val="hybridMultilevel"/>
    <w:tmpl w:val="3B5223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num w:numId="1">
    <w:abstractNumId w:val="22"/>
  </w:num>
  <w:num w:numId="2">
    <w:abstractNumId w:val="23"/>
  </w:num>
  <w:num w:numId="3">
    <w:abstractNumId w:val="8"/>
  </w:num>
  <w:num w:numId="4">
    <w:abstractNumId w:val="21"/>
  </w:num>
  <w:num w:numId="5">
    <w:abstractNumId w:val="18"/>
  </w:num>
  <w:num w:numId="6">
    <w:abstractNumId w:val="6"/>
  </w:num>
  <w:num w:numId="7">
    <w:abstractNumId w:val="2"/>
  </w:num>
  <w:num w:numId="8">
    <w:abstractNumId w:val="4"/>
  </w:num>
  <w:num w:numId="9">
    <w:abstractNumId w:val="15"/>
  </w:num>
  <w:num w:numId="10">
    <w:abstractNumId w:val="19"/>
  </w:num>
  <w:num w:numId="11">
    <w:abstractNumId w:val="7"/>
  </w:num>
  <w:num w:numId="12">
    <w:abstractNumId w:val="11"/>
  </w:num>
  <w:num w:numId="13">
    <w:abstractNumId w:val="12"/>
  </w:num>
  <w:num w:numId="14">
    <w:abstractNumId w:val="14"/>
  </w:num>
  <w:num w:numId="15">
    <w:abstractNumId w:val="5"/>
  </w:num>
  <w:num w:numId="16">
    <w:abstractNumId w:val="10"/>
  </w:num>
  <w:num w:numId="17">
    <w:abstractNumId w:val="9"/>
  </w:num>
  <w:num w:numId="18">
    <w:abstractNumId w:val="1"/>
  </w:num>
  <w:num w:numId="19">
    <w:abstractNumId w:val="13"/>
  </w:num>
  <w:num w:numId="20">
    <w:abstractNumId w:val="0"/>
  </w:num>
  <w:num w:numId="21">
    <w:abstractNumId w:val="3"/>
  </w:num>
  <w:num w:numId="22">
    <w:abstractNumId w:val="16"/>
  </w:num>
  <w:num w:numId="23">
    <w:abstractNumId w:val="20"/>
  </w:num>
  <w:num w:numId="24">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4D8"/>
    <w:rsid w:val="0000111C"/>
    <w:rsid w:val="000037BC"/>
    <w:rsid w:val="00006326"/>
    <w:rsid w:val="00016EB0"/>
    <w:rsid w:val="00040462"/>
    <w:rsid w:val="00042D33"/>
    <w:rsid w:val="00042E35"/>
    <w:rsid w:val="00045279"/>
    <w:rsid w:val="000576D1"/>
    <w:rsid w:val="000612DE"/>
    <w:rsid w:val="0006790E"/>
    <w:rsid w:val="0007523D"/>
    <w:rsid w:val="000848EC"/>
    <w:rsid w:val="00084C64"/>
    <w:rsid w:val="000A0B70"/>
    <w:rsid w:val="000A49FA"/>
    <w:rsid w:val="000B1ED5"/>
    <w:rsid w:val="000B56A4"/>
    <w:rsid w:val="000C4B4F"/>
    <w:rsid w:val="000E0634"/>
    <w:rsid w:val="000E6693"/>
    <w:rsid w:val="000E6C8A"/>
    <w:rsid w:val="00104AC1"/>
    <w:rsid w:val="00104ADA"/>
    <w:rsid w:val="00112912"/>
    <w:rsid w:val="00123EF3"/>
    <w:rsid w:val="00126B19"/>
    <w:rsid w:val="001372C8"/>
    <w:rsid w:val="001702EB"/>
    <w:rsid w:val="001713A7"/>
    <w:rsid w:val="00177C79"/>
    <w:rsid w:val="0018218A"/>
    <w:rsid w:val="0019476C"/>
    <w:rsid w:val="001C6081"/>
    <w:rsid w:val="001D2215"/>
    <w:rsid w:val="001D5A6F"/>
    <w:rsid w:val="00210D78"/>
    <w:rsid w:val="00214D24"/>
    <w:rsid w:val="002170C2"/>
    <w:rsid w:val="002363BB"/>
    <w:rsid w:val="00241FF2"/>
    <w:rsid w:val="00253744"/>
    <w:rsid w:val="00265EEF"/>
    <w:rsid w:val="0028638D"/>
    <w:rsid w:val="002B6BC1"/>
    <w:rsid w:val="002C2C24"/>
    <w:rsid w:val="002C32EA"/>
    <w:rsid w:val="002C7951"/>
    <w:rsid w:val="002F08BE"/>
    <w:rsid w:val="002F1375"/>
    <w:rsid w:val="00302663"/>
    <w:rsid w:val="00306F33"/>
    <w:rsid w:val="00307685"/>
    <w:rsid w:val="003202DC"/>
    <w:rsid w:val="00323B9C"/>
    <w:rsid w:val="00342869"/>
    <w:rsid w:val="003518F3"/>
    <w:rsid w:val="00351DDC"/>
    <w:rsid w:val="00380436"/>
    <w:rsid w:val="00384AFB"/>
    <w:rsid w:val="003A0BE5"/>
    <w:rsid w:val="003B3E8E"/>
    <w:rsid w:val="003F0CAB"/>
    <w:rsid w:val="00402B34"/>
    <w:rsid w:val="004104F6"/>
    <w:rsid w:val="00413770"/>
    <w:rsid w:val="004137F0"/>
    <w:rsid w:val="004141AF"/>
    <w:rsid w:val="00427B9C"/>
    <w:rsid w:val="00447541"/>
    <w:rsid w:val="00454815"/>
    <w:rsid w:val="00461AFB"/>
    <w:rsid w:val="00475149"/>
    <w:rsid w:val="00483E42"/>
    <w:rsid w:val="004A6A96"/>
    <w:rsid w:val="004F5259"/>
    <w:rsid w:val="004F557D"/>
    <w:rsid w:val="005031F3"/>
    <w:rsid w:val="00507A01"/>
    <w:rsid w:val="005106DF"/>
    <w:rsid w:val="005113E1"/>
    <w:rsid w:val="00511A03"/>
    <w:rsid w:val="00513333"/>
    <w:rsid w:val="0051723F"/>
    <w:rsid w:val="00523369"/>
    <w:rsid w:val="00525F81"/>
    <w:rsid w:val="00531AE4"/>
    <w:rsid w:val="00537B9E"/>
    <w:rsid w:val="00555AFA"/>
    <w:rsid w:val="00574F2D"/>
    <w:rsid w:val="005946F3"/>
    <w:rsid w:val="005A3F8E"/>
    <w:rsid w:val="005A636B"/>
    <w:rsid w:val="005C140F"/>
    <w:rsid w:val="005C64EA"/>
    <w:rsid w:val="005D4116"/>
    <w:rsid w:val="005F7C3E"/>
    <w:rsid w:val="00611688"/>
    <w:rsid w:val="00612D6E"/>
    <w:rsid w:val="0061446E"/>
    <w:rsid w:val="00620B74"/>
    <w:rsid w:val="006345AF"/>
    <w:rsid w:val="00634DDE"/>
    <w:rsid w:val="006413A2"/>
    <w:rsid w:val="0064244F"/>
    <w:rsid w:val="006504D8"/>
    <w:rsid w:val="00654E70"/>
    <w:rsid w:val="00660697"/>
    <w:rsid w:val="006618E5"/>
    <w:rsid w:val="00663555"/>
    <w:rsid w:val="00663F1D"/>
    <w:rsid w:val="006716EA"/>
    <w:rsid w:val="0069177D"/>
    <w:rsid w:val="006A670D"/>
    <w:rsid w:val="006B2906"/>
    <w:rsid w:val="006B5AA5"/>
    <w:rsid w:val="006C425E"/>
    <w:rsid w:val="006C5666"/>
    <w:rsid w:val="006D6257"/>
    <w:rsid w:val="006D6282"/>
    <w:rsid w:val="006E14D2"/>
    <w:rsid w:val="006F36CC"/>
    <w:rsid w:val="006F40A1"/>
    <w:rsid w:val="00703499"/>
    <w:rsid w:val="00711A6E"/>
    <w:rsid w:val="00734540"/>
    <w:rsid w:val="0073612D"/>
    <w:rsid w:val="007369AF"/>
    <w:rsid w:val="007426E4"/>
    <w:rsid w:val="00744613"/>
    <w:rsid w:val="007504AA"/>
    <w:rsid w:val="00752889"/>
    <w:rsid w:val="00755F5D"/>
    <w:rsid w:val="0076622B"/>
    <w:rsid w:val="0077566A"/>
    <w:rsid w:val="00782A36"/>
    <w:rsid w:val="00791AA4"/>
    <w:rsid w:val="007A1378"/>
    <w:rsid w:val="007B3A3D"/>
    <w:rsid w:val="007C0F83"/>
    <w:rsid w:val="007D3190"/>
    <w:rsid w:val="007D3638"/>
    <w:rsid w:val="007D5624"/>
    <w:rsid w:val="007D5906"/>
    <w:rsid w:val="007E1F02"/>
    <w:rsid w:val="007E2343"/>
    <w:rsid w:val="007E61CF"/>
    <w:rsid w:val="008118FB"/>
    <w:rsid w:val="00811B59"/>
    <w:rsid w:val="008154BF"/>
    <w:rsid w:val="00816704"/>
    <w:rsid w:val="00817FBC"/>
    <w:rsid w:val="00843093"/>
    <w:rsid w:val="008468D8"/>
    <w:rsid w:val="00856412"/>
    <w:rsid w:val="00865286"/>
    <w:rsid w:val="00866340"/>
    <w:rsid w:val="00867CBD"/>
    <w:rsid w:val="008B56D7"/>
    <w:rsid w:val="008D2238"/>
    <w:rsid w:val="008D2FFF"/>
    <w:rsid w:val="008D364B"/>
    <w:rsid w:val="008E3EF9"/>
    <w:rsid w:val="008F211D"/>
    <w:rsid w:val="008F27DF"/>
    <w:rsid w:val="008F5AC6"/>
    <w:rsid w:val="00903392"/>
    <w:rsid w:val="00911CB8"/>
    <w:rsid w:val="00912D34"/>
    <w:rsid w:val="0091751C"/>
    <w:rsid w:val="009243C8"/>
    <w:rsid w:val="00943D93"/>
    <w:rsid w:val="00944FA8"/>
    <w:rsid w:val="00963879"/>
    <w:rsid w:val="00976E1F"/>
    <w:rsid w:val="00993B7F"/>
    <w:rsid w:val="00996761"/>
    <w:rsid w:val="009A03AA"/>
    <w:rsid w:val="009A07DB"/>
    <w:rsid w:val="009B37AE"/>
    <w:rsid w:val="009B70D2"/>
    <w:rsid w:val="009C2257"/>
    <w:rsid w:val="009C2AB7"/>
    <w:rsid w:val="009C6C65"/>
    <w:rsid w:val="009C7FDB"/>
    <w:rsid w:val="009D51AE"/>
    <w:rsid w:val="009D7F34"/>
    <w:rsid w:val="009E6A51"/>
    <w:rsid w:val="009E7776"/>
    <w:rsid w:val="009F1FD3"/>
    <w:rsid w:val="00A02054"/>
    <w:rsid w:val="00A0705B"/>
    <w:rsid w:val="00A13A42"/>
    <w:rsid w:val="00A469CA"/>
    <w:rsid w:val="00A46B95"/>
    <w:rsid w:val="00A542EE"/>
    <w:rsid w:val="00A73D7D"/>
    <w:rsid w:val="00A76805"/>
    <w:rsid w:val="00A7730F"/>
    <w:rsid w:val="00A84723"/>
    <w:rsid w:val="00A94E7B"/>
    <w:rsid w:val="00A9510A"/>
    <w:rsid w:val="00AA124E"/>
    <w:rsid w:val="00AA18EA"/>
    <w:rsid w:val="00AA601D"/>
    <w:rsid w:val="00AA6398"/>
    <w:rsid w:val="00AC6540"/>
    <w:rsid w:val="00AD2E74"/>
    <w:rsid w:val="00AE5FBF"/>
    <w:rsid w:val="00B00BC0"/>
    <w:rsid w:val="00B04EC5"/>
    <w:rsid w:val="00B14A5C"/>
    <w:rsid w:val="00B26202"/>
    <w:rsid w:val="00B3109E"/>
    <w:rsid w:val="00B46409"/>
    <w:rsid w:val="00B46A64"/>
    <w:rsid w:val="00B51BB9"/>
    <w:rsid w:val="00B555BC"/>
    <w:rsid w:val="00B56B59"/>
    <w:rsid w:val="00B70D7F"/>
    <w:rsid w:val="00B714F4"/>
    <w:rsid w:val="00B8296C"/>
    <w:rsid w:val="00B90B54"/>
    <w:rsid w:val="00B935AB"/>
    <w:rsid w:val="00B967F7"/>
    <w:rsid w:val="00BA4BF4"/>
    <w:rsid w:val="00BA6EA2"/>
    <w:rsid w:val="00BB506D"/>
    <w:rsid w:val="00BC7495"/>
    <w:rsid w:val="00BD1E10"/>
    <w:rsid w:val="00BD5DCA"/>
    <w:rsid w:val="00BD6C75"/>
    <w:rsid w:val="00BE4A60"/>
    <w:rsid w:val="00BF51B2"/>
    <w:rsid w:val="00BF6E10"/>
    <w:rsid w:val="00C01AFC"/>
    <w:rsid w:val="00C07896"/>
    <w:rsid w:val="00C11D7C"/>
    <w:rsid w:val="00C16E2E"/>
    <w:rsid w:val="00C23146"/>
    <w:rsid w:val="00C3320F"/>
    <w:rsid w:val="00C375E4"/>
    <w:rsid w:val="00C43FCB"/>
    <w:rsid w:val="00C459F7"/>
    <w:rsid w:val="00C52825"/>
    <w:rsid w:val="00C67729"/>
    <w:rsid w:val="00C74A1D"/>
    <w:rsid w:val="00C80FA1"/>
    <w:rsid w:val="00C820AA"/>
    <w:rsid w:val="00C82A1B"/>
    <w:rsid w:val="00C928F9"/>
    <w:rsid w:val="00C95FE7"/>
    <w:rsid w:val="00CA409E"/>
    <w:rsid w:val="00CB19AA"/>
    <w:rsid w:val="00CB310B"/>
    <w:rsid w:val="00CB7BDA"/>
    <w:rsid w:val="00CC201C"/>
    <w:rsid w:val="00CC7052"/>
    <w:rsid w:val="00CD1D0F"/>
    <w:rsid w:val="00CD53A1"/>
    <w:rsid w:val="00CF1996"/>
    <w:rsid w:val="00D0003D"/>
    <w:rsid w:val="00D00ED9"/>
    <w:rsid w:val="00D1026C"/>
    <w:rsid w:val="00D111E8"/>
    <w:rsid w:val="00D14373"/>
    <w:rsid w:val="00D20C50"/>
    <w:rsid w:val="00D23555"/>
    <w:rsid w:val="00D66E14"/>
    <w:rsid w:val="00D827BB"/>
    <w:rsid w:val="00D829C9"/>
    <w:rsid w:val="00D863BF"/>
    <w:rsid w:val="00DA38F8"/>
    <w:rsid w:val="00DB128A"/>
    <w:rsid w:val="00DB1A02"/>
    <w:rsid w:val="00DB426D"/>
    <w:rsid w:val="00DC025E"/>
    <w:rsid w:val="00DC24F7"/>
    <w:rsid w:val="00DC7F02"/>
    <w:rsid w:val="00DD4327"/>
    <w:rsid w:val="00DE01C0"/>
    <w:rsid w:val="00DE2332"/>
    <w:rsid w:val="00DF456D"/>
    <w:rsid w:val="00E1027F"/>
    <w:rsid w:val="00E12930"/>
    <w:rsid w:val="00E1383B"/>
    <w:rsid w:val="00E13D36"/>
    <w:rsid w:val="00E218FF"/>
    <w:rsid w:val="00E50D4B"/>
    <w:rsid w:val="00E54CF8"/>
    <w:rsid w:val="00E82306"/>
    <w:rsid w:val="00EB42D9"/>
    <w:rsid w:val="00EC0F97"/>
    <w:rsid w:val="00EC6D0E"/>
    <w:rsid w:val="00ED1B9E"/>
    <w:rsid w:val="00F13C67"/>
    <w:rsid w:val="00F20CDF"/>
    <w:rsid w:val="00F26237"/>
    <w:rsid w:val="00F26B61"/>
    <w:rsid w:val="00F4484F"/>
    <w:rsid w:val="00F47F44"/>
    <w:rsid w:val="00F64E8B"/>
    <w:rsid w:val="00F66A92"/>
    <w:rsid w:val="00F71313"/>
    <w:rsid w:val="00F72A22"/>
    <w:rsid w:val="00F73E6C"/>
    <w:rsid w:val="00F8194D"/>
    <w:rsid w:val="00F87B94"/>
    <w:rsid w:val="00FB5724"/>
    <w:rsid w:val="00FB693D"/>
    <w:rsid w:val="00FC41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B6BC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E5FBF"/>
    <w:pPr>
      <w:spacing w:before="120" w:after="120"/>
    </w:pPr>
    <w:rPr>
      <w:rFonts w:ascii="Verdana" w:hAnsi="Verdana" w:cs="Arial"/>
    </w:rPr>
  </w:style>
  <w:style w:type="paragraph" w:styleId="Heading1">
    <w:name w:val="heading 1"/>
    <w:basedOn w:val="Heading2"/>
    <w:next w:val="Normal"/>
    <w:qFormat/>
    <w:rsid w:val="00AE5FBF"/>
    <w:pPr>
      <w:outlineLvl w:val="0"/>
    </w:pPr>
    <w:rPr>
      <w:b w:val="0"/>
      <w:bCs/>
      <w:i/>
      <w:color w:val="000000"/>
      <w:kern w:val="32"/>
      <w:szCs w:val="32"/>
    </w:rPr>
  </w:style>
  <w:style w:type="paragraph" w:styleId="Heading2">
    <w:name w:val="heading 2"/>
    <w:basedOn w:val="Normal"/>
    <w:next w:val="Normal"/>
    <w:link w:val="Heading2Char"/>
    <w:qFormat/>
    <w:rsid w:val="00AE5FBF"/>
    <w:pPr>
      <w:keepNext/>
      <w:outlineLvl w:val="1"/>
    </w:pPr>
    <w:rPr>
      <w:b/>
      <w:iCs/>
      <w:color w:val="17365D"/>
      <w:sz w:val="28"/>
      <w:szCs w:val="12"/>
    </w:rPr>
  </w:style>
  <w:style w:type="paragraph" w:styleId="Heading3">
    <w:name w:val="heading 3"/>
    <w:next w:val="Normal"/>
    <w:autoRedefine/>
    <w:qFormat/>
    <w:rsid w:val="00AE5FBF"/>
    <w:pPr>
      <w:keepNext/>
      <w:spacing w:before="240" w:after="120"/>
      <w:outlineLvl w:val="2"/>
    </w:pPr>
    <w:rPr>
      <w:rFonts w:ascii="Arial" w:hAnsi="Arial" w:cs="Arial"/>
      <w:b/>
      <w:bCs/>
      <w:color w:val="800000"/>
      <w:sz w:val="24"/>
      <w:szCs w:val="26"/>
    </w:rPr>
  </w:style>
  <w:style w:type="paragraph" w:styleId="Heading4">
    <w:name w:val="heading 4"/>
    <w:basedOn w:val="Normal"/>
    <w:next w:val="Normal"/>
    <w:qFormat/>
    <w:rsid w:val="00AE5FBF"/>
    <w:pPr>
      <w:keepNext/>
      <w:spacing w:before="240" w:after="60"/>
      <w:outlineLvl w:val="3"/>
    </w:pPr>
    <w:rPr>
      <w:b/>
      <w:bCs/>
      <w:sz w:val="32"/>
      <w:szCs w:val="28"/>
    </w:rPr>
  </w:style>
  <w:style w:type="paragraph" w:styleId="Heading5">
    <w:name w:val="heading 5"/>
    <w:basedOn w:val="Normal"/>
    <w:next w:val="Normal"/>
    <w:qFormat/>
    <w:pPr>
      <w:keepNext/>
      <w:jc w:val="center"/>
      <w:outlineLvl w:val="4"/>
    </w:pPr>
    <w:rPr>
      <w:rFonts w:eastAsia="Arial Unicode MS" w:cs="Arial Unicode MS"/>
      <w:b/>
      <w:b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Arial" w:hAnsi="Arial"/>
      <w:color w:val="000000"/>
      <w:sz w:val="22"/>
    </w:rPr>
  </w:style>
  <w:style w:type="paragraph" w:styleId="Header">
    <w:name w:val="header"/>
    <w:basedOn w:val="Normal"/>
    <w:link w:val="HeaderChar"/>
    <w:rsid w:val="00AE5FBF"/>
    <w:pPr>
      <w:tabs>
        <w:tab w:val="center" w:pos="4320"/>
        <w:tab w:val="right" w:pos="8640"/>
      </w:tabs>
    </w:pPr>
  </w:style>
  <w:style w:type="paragraph" w:styleId="Footer">
    <w:name w:val="footer"/>
    <w:basedOn w:val="Normal"/>
    <w:rsid w:val="00AE5FBF"/>
    <w:pPr>
      <w:tabs>
        <w:tab w:val="center" w:pos="4320"/>
        <w:tab w:val="right" w:pos="8640"/>
      </w:tabs>
      <w:spacing w:before="0" w:after="0"/>
    </w:pPr>
    <w:rPr>
      <w:sz w:val="16"/>
    </w:rPr>
  </w:style>
  <w:style w:type="character" w:styleId="PageNumber">
    <w:name w:val="page number"/>
    <w:rsid w:val="00AE5FBF"/>
  </w:style>
  <w:style w:type="paragraph" w:styleId="BodyText">
    <w:name w:val="Body Text"/>
    <w:basedOn w:val="Normal"/>
    <w:link w:val="BodyTextChar"/>
    <w:qFormat/>
    <w:rsid w:val="00AE5FBF"/>
    <w:rPr>
      <w:color w:val="000000"/>
      <w:szCs w:val="12"/>
    </w:rPr>
  </w:style>
  <w:style w:type="character" w:styleId="Hyperlink">
    <w:name w:val="Hyperlink"/>
    <w:qFormat/>
    <w:rsid w:val="00AE5FBF"/>
    <w:rPr>
      <w:rFonts w:ascii="Verdana" w:hAnsi="Verdana"/>
      <w:b/>
      <w:color w:val="4F81BD"/>
      <w:sz w:val="20"/>
      <w:u w:val="single"/>
    </w:rPr>
  </w:style>
  <w:style w:type="paragraph" w:styleId="BodyTextIndent">
    <w:name w:val="Body Text Indent"/>
    <w:basedOn w:val="Normal"/>
    <w:pPr>
      <w:ind w:left="1080"/>
    </w:pPr>
    <w:rPr>
      <w:color w:val="0000FF"/>
      <w:sz w:val="18"/>
    </w:rPr>
  </w:style>
  <w:style w:type="paragraph" w:styleId="z-TopofForm">
    <w:name w:val="HTML Top of Form"/>
    <w:basedOn w:val="Normal"/>
    <w:next w:val="Normal"/>
    <w:hidden/>
    <w:pPr>
      <w:pBdr>
        <w:bottom w:val="single" w:sz="6" w:space="1" w:color="auto"/>
      </w:pBdr>
      <w:jc w:val="center"/>
    </w:pPr>
    <w:rPr>
      <w:rFonts w:ascii="Arial" w:eastAsia="Arial Unicode MS" w:hAnsi="Arial"/>
      <w:vanish/>
      <w:sz w:val="16"/>
      <w:szCs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vanish/>
      <w:sz w:val="16"/>
      <w:szCs w:val="16"/>
    </w:rPr>
  </w:style>
  <w:style w:type="paragraph" w:styleId="NormalWeb">
    <w:name w:val="Normal (Web)"/>
    <w:basedOn w:val="Normal"/>
    <w:link w:val="NormalWebChar"/>
    <w:rsid w:val="00AE5FBF"/>
    <w:pPr>
      <w:spacing w:before="100" w:beforeAutospacing="1" w:after="100" w:afterAutospacing="1"/>
    </w:pPr>
    <w:rPr>
      <w:rFonts w:eastAsia="Arial Unicode MS" w:cs="Arial Unicode MS"/>
      <w:color w:val="000000"/>
      <w:sz w:val="18"/>
      <w:szCs w:val="18"/>
    </w:rPr>
  </w:style>
  <w:style w:type="paragraph" w:styleId="BodyTextIndent2">
    <w:name w:val="Body Text Indent 2"/>
    <w:basedOn w:val="Normal"/>
    <w:pPr>
      <w:ind w:left="1440"/>
    </w:pPr>
    <w:rPr>
      <w:color w:val="0000FF"/>
      <w:sz w:val="18"/>
    </w:rPr>
  </w:style>
  <w:style w:type="paragraph" w:styleId="BodyTextIndent3">
    <w:name w:val="Body Text Indent 3"/>
    <w:basedOn w:val="Normal"/>
    <w:pPr>
      <w:ind w:left="1440"/>
    </w:pPr>
  </w:style>
  <w:style w:type="character" w:styleId="FollowedHyperlink">
    <w:name w:val="FollowedHyperlink"/>
    <w:rPr>
      <w:color w:val="800080"/>
      <w:u w:val="single"/>
    </w:rPr>
  </w:style>
  <w:style w:type="paragraph" w:styleId="BodyText2">
    <w:name w:val="Body Text 2"/>
    <w:basedOn w:val="Normal"/>
    <w:rPr>
      <w:color w:val="000000"/>
    </w:rPr>
  </w:style>
  <w:style w:type="paragraph" w:customStyle="1" w:styleId="default">
    <w:name w:val="default"/>
    <w:basedOn w:val="Normal"/>
    <w:pPr>
      <w:spacing w:before="100" w:beforeAutospacing="1" w:after="100" w:afterAutospacing="1"/>
    </w:pPr>
  </w:style>
  <w:style w:type="paragraph" w:styleId="BalloonText">
    <w:name w:val="Balloon Text"/>
    <w:basedOn w:val="Normal"/>
    <w:semiHidden/>
    <w:rsid w:val="006504D8"/>
    <w:rPr>
      <w:rFonts w:ascii="Tahoma" w:hAnsi="Tahoma" w:cs="Tahoma"/>
      <w:sz w:val="16"/>
      <w:szCs w:val="16"/>
    </w:rPr>
  </w:style>
  <w:style w:type="paragraph" w:styleId="BlockText">
    <w:name w:val="Block Text"/>
    <w:basedOn w:val="Normal"/>
    <w:rsid w:val="00AE5FBF"/>
    <w:pPr>
      <w:ind w:left="720" w:right="-1440"/>
    </w:pPr>
    <w:rPr>
      <w:color w:val="40458C"/>
      <w:sz w:val="28"/>
      <w:szCs w:val="12"/>
    </w:rPr>
  </w:style>
  <w:style w:type="paragraph" w:customStyle="1" w:styleId="TableofContentsText">
    <w:name w:val="Table of Contents Text"/>
    <w:rsid w:val="00AE5FBF"/>
    <w:pPr>
      <w:spacing w:after="120"/>
    </w:pPr>
    <w:rPr>
      <w:rFonts w:ascii="Arial" w:hAnsi="Arial" w:cs="Arial"/>
      <w:color w:val="000000"/>
      <w:szCs w:val="24"/>
    </w:rPr>
  </w:style>
  <w:style w:type="paragraph" w:customStyle="1" w:styleId="ProgrammerNotes">
    <w:name w:val="Programmer Notes"/>
    <w:rsid w:val="00AE5FBF"/>
    <w:rPr>
      <w:rFonts w:ascii="Arial" w:hAnsi="Arial" w:cs="Arial"/>
      <w:color w:val="800080"/>
      <w:kern w:val="32"/>
      <w:sz w:val="24"/>
    </w:rPr>
  </w:style>
  <w:style w:type="paragraph" w:customStyle="1" w:styleId="RolloverHeading">
    <w:name w:val="Rollover Heading"/>
    <w:link w:val="RolloverHeadingChar"/>
    <w:qFormat/>
    <w:rsid w:val="00AE5FBF"/>
    <w:pPr>
      <w:spacing w:before="120" w:after="120"/>
    </w:pPr>
    <w:rPr>
      <w:rFonts w:ascii="Verdana" w:hAnsi="Verdana" w:cs="Arial"/>
      <w:b/>
      <w:color w:val="0000FF"/>
    </w:rPr>
  </w:style>
  <w:style w:type="paragraph" w:customStyle="1" w:styleId="RolloverText">
    <w:name w:val="Rollover Text"/>
    <w:link w:val="RolloverTextChar"/>
    <w:qFormat/>
    <w:rsid w:val="00AE5FBF"/>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AE5FBF"/>
    <w:pPr>
      <w:numPr>
        <w:numId w:val="5"/>
      </w:numPr>
      <w:ind w:left="1080"/>
    </w:pPr>
    <w:rPr>
      <w:color w:val="0000FF"/>
    </w:rPr>
  </w:style>
  <w:style w:type="paragraph" w:customStyle="1" w:styleId="TextBullet1">
    <w:name w:val="Text Bullet 1"/>
    <w:basedOn w:val="Normal"/>
    <w:rsid w:val="00AE5FBF"/>
    <w:pPr>
      <w:numPr>
        <w:numId w:val="3"/>
      </w:numPr>
    </w:pPr>
  </w:style>
  <w:style w:type="paragraph" w:customStyle="1" w:styleId="TextBullet2">
    <w:name w:val="Text Bullet 2"/>
    <w:rsid w:val="00AE5FBF"/>
    <w:pPr>
      <w:numPr>
        <w:numId w:val="1"/>
      </w:numPr>
      <w:spacing w:after="240"/>
    </w:pPr>
    <w:rPr>
      <w:rFonts w:ascii="Arial" w:hAnsi="Arial" w:cs="Arial"/>
      <w:color w:val="000000"/>
    </w:rPr>
  </w:style>
  <w:style w:type="paragraph" w:customStyle="1" w:styleId="ReviewQuestions">
    <w:name w:val="Review Questions"/>
    <w:basedOn w:val="Normal"/>
    <w:link w:val="ReviewQuestionsChar"/>
    <w:qFormat/>
    <w:rsid w:val="00AE5FBF"/>
    <w:pPr>
      <w:numPr>
        <w:numId w:val="4"/>
      </w:numPr>
      <w:spacing w:before="0"/>
    </w:pPr>
    <w:rPr>
      <w:b/>
    </w:rPr>
  </w:style>
  <w:style w:type="paragraph" w:customStyle="1" w:styleId="TextNumbering">
    <w:name w:val="Text Numbering"/>
    <w:rsid w:val="00AE5FBF"/>
    <w:pPr>
      <w:numPr>
        <w:numId w:val="2"/>
      </w:numPr>
      <w:spacing w:after="240"/>
    </w:pPr>
    <w:rPr>
      <w:rFonts w:ascii="Arial" w:hAnsi="Arial" w:cs="Arial"/>
      <w:bCs/>
      <w:color w:val="000000"/>
      <w:szCs w:val="32"/>
    </w:rPr>
  </w:style>
  <w:style w:type="character" w:customStyle="1" w:styleId="ReviewQuestionsChar">
    <w:name w:val="Review Questions Char"/>
    <w:link w:val="ReviewQuestions"/>
    <w:rsid w:val="006413A2"/>
    <w:rPr>
      <w:rFonts w:ascii="Verdana" w:hAnsi="Verdana" w:cs="Arial"/>
      <w:b/>
    </w:rPr>
  </w:style>
  <w:style w:type="character" w:styleId="CommentReference">
    <w:name w:val="annotation reference"/>
    <w:semiHidden/>
    <w:rsid w:val="004A6A96"/>
    <w:rPr>
      <w:sz w:val="16"/>
      <w:szCs w:val="16"/>
    </w:rPr>
  </w:style>
  <w:style w:type="paragraph" w:styleId="CommentText">
    <w:name w:val="annotation text"/>
    <w:basedOn w:val="Normal"/>
    <w:link w:val="CommentTextChar"/>
    <w:semiHidden/>
    <w:rsid w:val="004A6A96"/>
  </w:style>
  <w:style w:type="paragraph" w:styleId="CommentSubject">
    <w:name w:val="annotation subject"/>
    <w:basedOn w:val="CommentText"/>
    <w:next w:val="CommentText"/>
    <w:semiHidden/>
    <w:rsid w:val="004A6A96"/>
    <w:rPr>
      <w:b/>
      <w:bCs/>
    </w:rPr>
  </w:style>
  <w:style w:type="paragraph" w:customStyle="1" w:styleId="LightGrid-Accent31">
    <w:name w:val="Light Grid - Accent 31"/>
    <w:basedOn w:val="Normal"/>
    <w:uiPriority w:val="34"/>
    <w:qFormat/>
    <w:rsid w:val="009D51AE"/>
    <w:pPr>
      <w:ind w:left="720"/>
      <w:contextualSpacing/>
    </w:pPr>
    <w:rPr>
      <w:rFonts w:ascii="Calibri" w:eastAsia="Calibri" w:hAnsi="Calibri"/>
      <w:sz w:val="22"/>
      <w:szCs w:val="22"/>
    </w:rPr>
  </w:style>
  <w:style w:type="paragraph" w:styleId="BodyText3">
    <w:name w:val="Body Text 3"/>
    <w:basedOn w:val="Normal"/>
    <w:link w:val="BodyText3Char"/>
    <w:rsid w:val="00A13A42"/>
    <w:rPr>
      <w:sz w:val="16"/>
      <w:szCs w:val="16"/>
    </w:rPr>
  </w:style>
  <w:style w:type="character" w:customStyle="1" w:styleId="BodyText3Char">
    <w:name w:val="Body Text 3 Char"/>
    <w:link w:val="BodyText3"/>
    <w:rsid w:val="00A13A42"/>
    <w:rPr>
      <w:rFonts w:ascii="Arial" w:hAnsi="Arial"/>
      <w:sz w:val="16"/>
      <w:szCs w:val="16"/>
    </w:rPr>
  </w:style>
  <w:style w:type="character" w:customStyle="1" w:styleId="NormalWebChar">
    <w:name w:val="Normal (Web) Char"/>
    <w:link w:val="NormalWeb"/>
    <w:locked/>
    <w:rsid w:val="00AE5FBF"/>
    <w:rPr>
      <w:rFonts w:ascii="Verdana" w:eastAsia="Arial Unicode MS" w:hAnsi="Verdana" w:cs="Arial Unicode MS"/>
      <w:color w:val="000000"/>
      <w:sz w:val="18"/>
      <w:szCs w:val="18"/>
    </w:rPr>
  </w:style>
  <w:style w:type="table" w:styleId="TableGrid">
    <w:name w:val="Table Grid"/>
    <w:basedOn w:val="TableNormal"/>
    <w:uiPriority w:val="59"/>
    <w:rsid w:val="00AE5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List-Accent31">
    <w:name w:val="Light List - Accent 31"/>
    <w:hidden/>
    <w:uiPriority w:val="99"/>
    <w:semiHidden/>
    <w:rsid w:val="000E0634"/>
    <w:rPr>
      <w:rFonts w:ascii="Arial" w:hAnsi="Arial"/>
      <w:sz w:val="24"/>
      <w:szCs w:val="24"/>
    </w:rPr>
  </w:style>
  <w:style w:type="character" w:customStyle="1" w:styleId="CommentTextChar">
    <w:name w:val="Comment Text Char"/>
    <w:link w:val="CommentText"/>
    <w:semiHidden/>
    <w:rsid w:val="008D2238"/>
    <w:rPr>
      <w:rFonts w:ascii="Arial" w:hAnsi="Arial"/>
    </w:rPr>
  </w:style>
  <w:style w:type="paragraph" w:customStyle="1" w:styleId="ReviewAnswer">
    <w:name w:val="Review Answer"/>
    <w:qFormat/>
    <w:rsid w:val="00AE5FBF"/>
    <w:pPr>
      <w:spacing w:before="120" w:after="120"/>
      <w:ind w:left="1080"/>
    </w:pPr>
    <w:rPr>
      <w:rFonts w:ascii="Verdana" w:hAnsi="Verdana" w:cs="Arial"/>
      <w:color w:val="244061"/>
    </w:rPr>
  </w:style>
  <w:style w:type="character" w:styleId="Strong">
    <w:name w:val="Strong"/>
    <w:qFormat/>
    <w:rsid w:val="00AE5FBF"/>
    <w:rPr>
      <w:rFonts w:ascii="Verdana" w:hAnsi="Verdana"/>
      <w:b/>
      <w:bCs/>
      <w:sz w:val="20"/>
    </w:rPr>
  </w:style>
  <w:style w:type="paragraph" w:customStyle="1" w:styleId="BodyTextBoldRed">
    <w:name w:val="Body Text Bold Red"/>
    <w:autoRedefine/>
    <w:rsid w:val="00AE5FBF"/>
    <w:rPr>
      <w:rFonts w:ascii="Arial" w:hAnsi="Arial"/>
      <w:b/>
      <w:color w:val="FF0000"/>
    </w:rPr>
  </w:style>
  <w:style w:type="paragraph" w:customStyle="1" w:styleId="Answer">
    <w:name w:val="Answer"/>
    <w:qFormat/>
    <w:rsid w:val="00AE5FBF"/>
    <w:rPr>
      <w:rFonts w:ascii="Verdana" w:hAnsi="Verdana" w:cs="Arial"/>
      <w:color w:val="244061"/>
    </w:rPr>
  </w:style>
  <w:style w:type="character" w:customStyle="1" w:styleId="BodyTextChar">
    <w:name w:val="Body Text Char"/>
    <w:link w:val="BodyText"/>
    <w:rsid w:val="00AE5FBF"/>
    <w:rPr>
      <w:rFonts w:ascii="Verdana" w:hAnsi="Verdana" w:cs="Arial"/>
      <w:color w:val="000000"/>
      <w:szCs w:val="12"/>
    </w:rPr>
  </w:style>
  <w:style w:type="paragraph" w:customStyle="1" w:styleId="SubtitlesonPage">
    <w:name w:val="Subtitles on Page"/>
    <w:link w:val="SubtitlesonPageChar"/>
    <w:qFormat/>
    <w:rsid w:val="00AE5FBF"/>
    <w:pPr>
      <w:spacing w:after="60"/>
    </w:pPr>
    <w:rPr>
      <w:rFonts w:ascii="Verdana" w:hAnsi="Verdana" w:cs="Arial"/>
      <w:b/>
      <w:bCs/>
      <w:color w:val="1F497D"/>
      <w:sz w:val="22"/>
      <w:szCs w:val="26"/>
    </w:rPr>
  </w:style>
  <w:style w:type="character" w:customStyle="1" w:styleId="SubtitlesonPageChar">
    <w:name w:val="Subtitles on Page Char"/>
    <w:link w:val="SubtitlesonPage"/>
    <w:rsid w:val="00AE5FBF"/>
    <w:rPr>
      <w:rFonts w:ascii="Verdana" w:hAnsi="Verdana" w:cs="Arial"/>
      <w:b/>
      <w:bCs/>
      <w:color w:val="1F497D"/>
      <w:sz w:val="22"/>
      <w:szCs w:val="26"/>
    </w:rPr>
  </w:style>
  <w:style w:type="paragraph" w:customStyle="1" w:styleId="Sub-Headings">
    <w:name w:val="Sub-Headings"/>
    <w:link w:val="Sub-HeadingsChar"/>
    <w:qFormat/>
    <w:rsid w:val="00AE5FBF"/>
    <w:pPr>
      <w:spacing w:after="60"/>
    </w:pPr>
    <w:rPr>
      <w:rFonts w:ascii="Verdana" w:hAnsi="Verdana" w:cs="Arial"/>
      <w:b/>
      <w:bCs/>
      <w:color w:val="1F497D"/>
      <w:sz w:val="22"/>
      <w:szCs w:val="26"/>
    </w:rPr>
  </w:style>
  <w:style w:type="character" w:customStyle="1" w:styleId="Sub-HeadingsChar">
    <w:name w:val="Sub-Headings Char"/>
    <w:link w:val="Sub-Headings"/>
    <w:rsid w:val="00AE5FBF"/>
    <w:rPr>
      <w:rFonts w:ascii="Verdana" w:hAnsi="Verdana" w:cs="Arial"/>
      <w:b/>
      <w:bCs/>
      <w:color w:val="1F497D"/>
      <w:sz w:val="22"/>
      <w:szCs w:val="26"/>
    </w:rPr>
  </w:style>
  <w:style w:type="paragraph" w:customStyle="1" w:styleId="Objectives">
    <w:name w:val="Objectives"/>
    <w:basedOn w:val="Heading3"/>
    <w:link w:val="ObjectivesChar"/>
    <w:qFormat/>
    <w:rsid w:val="00AE5FBF"/>
    <w:pPr>
      <w:spacing w:after="60"/>
    </w:pPr>
    <w:rPr>
      <w:rFonts w:ascii="Verdana" w:hAnsi="Verdana"/>
      <w:color w:val="1F497D"/>
      <w:sz w:val="22"/>
    </w:rPr>
  </w:style>
  <w:style w:type="character" w:customStyle="1" w:styleId="ObjectivesChar">
    <w:name w:val="Objectives Char"/>
    <w:link w:val="Objectives"/>
    <w:rsid w:val="00AE5FBF"/>
    <w:rPr>
      <w:rFonts w:ascii="Verdana" w:hAnsi="Verdana" w:cs="Arial"/>
      <w:b/>
      <w:bCs/>
      <w:color w:val="1F497D"/>
      <w:sz w:val="22"/>
      <w:szCs w:val="26"/>
    </w:rPr>
  </w:style>
  <w:style w:type="paragraph" w:customStyle="1" w:styleId="FirstPageTitleText">
    <w:name w:val="First Page Title Text"/>
    <w:basedOn w:val="Normal"/>
    <w:qFormat/>
    <w:rsid w:val="00AE5FBF"/>
    <w:rPr>
      <w:rFonts w:ascii="Trebuchet MS" w:hAnsi="Trebuchet MS"/>
      <w:b/>
      <w:color w:val="183864"/>
      <w:sz w:val="44"/>
      <w:szCs w:val="72"/>
    </w:rPr>
  </w:style>
  <w:style w:type="character" w:customStyle="1" w:styleId="RolloverHeadingChar">
    <w:name w:val="Rollover Heading Char"/>
    <w:link w:val="RolloverHeading"/>
    <w:rsid w:val="00AE5FBF"/>
    <w:rPr>
      <w:rFonts w:ascii="Verdana" w:hAnsi="Verdana" w:cs="Arial"/>
      <w:b/>
      <w:color w:val="0000FF"/>
    </w:rPr>
  </w:style>
  <w:style w:type="character" w:customStyle="1" w:styleId="RolloverTextChar">
    <w:name w:val="Rollover Text Char"/>
    <w:link w:val="RolloverText"/>
    <w:rsid w:val="00AE5FBF"/>
    <w:rPr>
      <w:rFonts w:ascii="Verdana" w:hAnsi="Verdana" w:cs="Arial"/>
      <w:color w:val="0000FF"/>
    </w:rPr>
  </w:style>
  <w:style w:type="character" w:customStyle="1" w:styleId="RolloverBulletChar">
    <w:name w:val="Rollover Bullet Char"/>
    <w:link w:val="RolloverBullet"/>
    <w:rsid w:val="00AE5FBF"/>
    <w:rPr>
      <w:rFonts w:ascii="Verdana" w:hAnsi="Verdana" w:cs="Arial"/>
      <w:color w:val="0000FF"/>
    </w:rPr>
  </w:style>
  <w:style w:type="character" w:customStyle="1" w:styleId="HeaderChar">
    <w:name w:val="Header Char"/>
    <w:link w:val="Header"/>
    <w:rsid w:val="00042E35"/>
    <w:rPr>
      <w:rFonts w:ascii="Verdana" w:hAnsi="Verdana" w:cs="Arial"/>
    </w:rPr>
  </w:style>
  <w:style w:type="paragraph" w:customStyle="1" w:styleId="directions">
    <w:name w:val="directions"/>
    <w:basedOn w:val="BodyText"/>
    <w:link w:val="directionsChar"/>
    <w:qFormat/>
    <w:rsid w:val="00B46409"/>
    <w:pPr>
      <w:spacing w:before="0" w:after="200" w:line="276" w:lineRule="auto"/>
    </w:pPr>
    <w:rPr>
      <w:rFonts w:eastAsia="Calibri" w:cs="Times New Roman"/>
      <w:b/>
      <w:color w:val="943634"/>
      <w:szCs w:val="20"/>
    </w:rPr>
  </w:style>
  <w:style w:type="character" w:customStyle="1" w:styleId="directionsChar">
    <w:name w:val="directions Char"/>
    <w:link w:val="directions"/>
    <w:rsid w:val="00B46409"/>
    <w:rPr>
      <w:rFonts w:ascii="Verdana" w:eastAsia="Calibri" w:hAnsi="Verdana"/>
      <w:b/>
      <w:color w:val="943634"/>
    </w:rPr>
  </w:style>
  <w:style w:type="character" w:customStyle="1" w:styleId="Heading2Char">
    <w:name w:val="Heading 2 Char"/>
    <w:basedOn w:val="DefaultParagraphFont"/>
    <w:link w:val="Heading2"/>
    <w:rsid w:val="00042D33"/>
    <w:rPr>
      <w:rFonts w:ascii="Verdana" w:hAnsi="Verdana" w:cs="Arial"/>
      <w:b/>
      <w:iCs/>
      <w:color w:val="17365D"/>
      <w:sz w:val="28"/>
      <w:szCs w:val="12"/>
    </w:rPr>
  </w:style>
  <w:style w:type="paragraph" w:styleId="ListParagraph">
    <w:name w:val="List Paragraph"/>
    <w:basedOn w:val="Normal"/>
    <w:uiPriority w:val="34"/>
    <w:qFormat/>
    <w:rsid w:val="00042D33"/>
    <w:pPr>
      <w:ind w:left="720"/>
      <w:contextualSpacing/>
    </w:pPr>
  </w:style>
  <w:style w:type="paragraph" w:styleId="Revision">
    <w:name w:val="Revision"/>
    <w:hidden/>
    <w:uiPriority w:val="71"/>
    <w:semiHidden/>
    <w:rsid w:val="00996761"/>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8928">
      <w:bodyDiv w:val="1"/>
      <w:marLeft w:val="0"/>
      <w:marRight w:val="0"/>
      <w:marTop w:val="0"/>
      <w:marBottom w:val="0"/>
      <w:divBdr>
        <w:top w:val="none" w:sz="0" w:space="0" w:color="auto"/>
        <w:left w:val="none" w:sz="0" w:space="0" w:color="auto"/>
        <w:bottom w:val="none" w:sz="0" w:space="0" w:color="auto"/>
        <w:right w:val="none" w:sz="0" w:space="0" w:color="auto"/>
      </w:divBdr>
    </w:div>
    <w:div w:id="1467237862">
      <w:bodyDiv w:val="1"/>
      <w:marLeft w:val="0"/>
      <w:marRight w:val="0"/>
      <w:marTop w:val="0"/>
      <w:marBottom w:val="0"/>
      <w:divBdr>
        <w:top w:val="none" w:sz="0" w:space="0" w:color="auto"/>
        <w:left w:val="none" w:sz="0" w:space="0" w:color="auto"/>
        <w:bottom w:val="none" w:sz="0" w:space="0" w:color="auto"/>
        <w:right w:val="none" w:sz="0" w:space="0" w:color="auto"/>
      </w:divBdr>
    </w:div>
    <w:div w:id="1865557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W:\01 In Development\Template\EPUB New Course Template.dotx</Template>
  <TotalTime>20</TotalTime>
  <Pages>20</Pages>
  <Words>2555</Words>
  <Characters>14567</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Transfer Taxation Part 3: GST and Income Taxes</vt:lpstr>
    </vt:vector>
  </TitlesOfParts>
  <Company/>
  <LinksUpToDate>false</LinksUpToDate>
  <CharactersWithSpaces>17088</CharactersWithSpaces>
  <SharedDoc>false</SharedDoc>
  <HLinks>
    <vt:vector size="42" baseType="variant">
      <vt:variant>
        <vt:i4>3539014</vt:i4>
      </vt:variant>
      <vt:variant>
        <vt:i4>2053</vt:i4>
      </vt:variant>
      <vt:variant>
        <vt:i4>1025</vt:i4>
      </vt:variant>
      <vt:variant>
        <vt:i4>1</vt:i4>
      </vt:variant>
      <vt:variant>
        <vt:lpwstr>gc_logo_small</vt:lpwstr>
      </vt:variant>
      <vt:variant>
        <vt:lpwstr/>
      </vt:variant>
      <vt:variant>
        <vt:i4>393216</vt:i4>
      </vt:variant>
      <vt:variant>
        <vt:i4>5567</vt:i4>
      </vt:variant>
      <vt:variant>
        <vt:i4>1027</vt:i4>
      </vt:variant>
      <vt:variant>
        <vt:i4>1</vt:i4>
      </vt:variant>
      <vt:variant>
        <vt:lpwstr>11005146</vt:lpwstr>
      </vt:variant>
      <vt:variant>
        <vt:lpwstr/>
      </vt:variant>
      <vt:variant>
        <vt:i4>49</vt:i4>
      </vt:variant>
      <vt:variant>
        <vt:i4>6985</vt:i4>
      </vt:variant>
      <vt:variant>
        <vt:i4>1032</vt:i4>
      </vt:variant>
      <vt:variant>
        <vt:i4>1</vt:i4>
      </vt:variant>
      <vt:variant>
        <vt:lpwstr>1</vt:lpwstr>
      </vt:variant>
      <vt:variant>
        <vt:lpwstr/>
      </vt:variant>
      <vt:variant>
        <vt:i4>49</vt:i4>
      </vt:variant>
      <vt:variant>
        <vt:i4>7147</vt:i4>
      </vt:variant>
      <vt:variant>
        <vt:i4>1033</vt:i4>
      </vt:variant>
      <vt:variant>
        <vt:i4>1</vt:i4>
      </vt:variant>
      <vt:variant>
        <vt:lpwstr>1</vt:lpwstr>
      </vt:variant>
      <vt:variant>
        <vt:lpwstr/>
      </vt:variant>
      <vt:variant>
        <vt:i4>3342416</vt:i4>
      </vt:variant>
      <vt:variant>
        <vt:i4>11191</vt:i4>
      </vt:variant>
      <vt:variant>
        <vt:i4>1034</vt:i4>
      </vt:variant>
      <vt:variant>
        <vt:i4>1</vt:i4>
      </vt:variant>
      <vt:variant>
        <vt:lpwstr>1-1-13a</vt:lpwstr>
      </vt:variant>
      <vt:variant>
        <vt:lpwstr/>
      </vt:variant>
      <vt:variant>
        <vt:i4>3342416</vt:i4>
      </vt:variant>
      <vt:variant>
        <vt:i4>11968</vt:i4>
      </vt:variant>
      <vt:variant>
        <vt:i4>1026</vt:i4>
      </vt:variant>
      <vt:variant>
        <vt:i4>1</vt:i4>
      </vt:variant>
      <vt:variant>
        <vt:lpwstr>1-1-13a</vt:lpwstr>
      </vt:variant>
      <vt:variant>
        <vt:lpwstr/>
      </vt:variant>
      <vt:variant>
        <vt:i4>2818105</vt:i4>
      </vt:variant>
      <vt:variant>
        <vt:i4>-1</vt:i4>
      </vt:variant>
      <vt:variant>
        <vt:i4>2055</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 Taxation Part 3: GST and Income Taxes</dc:title>
  <dc:subject/>
  <dc:creator>Greene Consulting</dc:creator>
  <cp:keywords/>
  <dc:description/>
  <cp:lastModifiedBy>Patti Lee</cp:lastModifiedBy>
  <cp:revision>8</cp:revision>
  <cp:lastPrinted>2016-07-19T18:52:00Z</cp:lastPrinted>
  <dcterms:created xsi:type="dcterms:W3CDTF">2015-08-18T20:18:00Z</dcterms:created>
  <dcterms:modified xsi:type="dcterms:W3CDTF">2016-07-19T18:52:00Z</dcterms:modified>
</cp:coreProperties>
</file>