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2588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aar-logo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  <w:jc w:val="center"/>
      </w:pPr>
      <w:r>
        <w:rPr>
          <w:rFonts w:ascii="Aptos" w:hAnsi="Aptos"/>
          <w:b/>
          <w:i w:val="0"/>
          <w:color w:val="061828"/>
          <w:sz w:val="58"/>
        </w:rPr>
        <w:t>Masaar</w:t>
      </w:r>
    </w:p>
    <w:p>
      <w:pPr>
        <w:spacing w:after="160" w:line="276" w:lineRule="auto"/>
        <w:jc w:val="center"/>
      </w:pPr>
      <w:r>
        <w:rPr>
          <w:rFonts w:ascii="Aptos" w:hAnsi="Aptos"/>
          <w:b/>
          <w:i w:val="0"/>
          <w:color w:val="00AFA3"/>
          <w:sz w:val="24"/>
        </w:rPr>
        <w:t>Smart tools for Lebanese businesses</w:t>
      </w:r>
    </w:p>
    <w:p>
      <w:pPr>
        <w:spacing w:after="360" w:line="276" w:lineRule="auto"/>
        <w:jc w:val="center"/>
      </w:pPr>
      <w:r>
        <w:rPr>
          <w:rFonts w:ascii="Aptos" w:hAnsi="Aptos"/>
          <w:b w:val="0"/>
          <w:i w:val="0"/>
          <w:color w:val="60717D"/>
          <w:sz w:val="24"/>
        </w:rPr>
        <w:t>Social-commerce operations, cash accountability and decision intelligence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fill="EAF8F6"/>
          </w:tcPr>
          <w:p>
            <w:r>
              <w:rPr>
                <w:rFonts w:ascii="Aptos" w:hAnsi="Aptos"/>
                <w:b/>
                <w:i w:val="0"/>
                <w:color w:val="00AFA3"/>
                <w:sz w:val="20"/>
              </w:rPr>
              <w:t xml:space="preserve">Project promise: </w:t>
            </w:r>
            <w:r>
              <w:rPr>
                <w:rFonts w:ascii="Aptos" w:hAnsi="Aptos"/>
                <w:b w:val="0"/>
                <w:i w:val="0"/>
                <w:color w:val="102536"/>
                <w:sz w:val="20"/>
              </w:rPr>
              <w:t>Capture the operation, protect the money and stock, explain the business impact, and tell a Lebanese owner what to do next—with evidence.</w:t>
            </w:r>
          </w:p>
        </w:tc>
      </w:tr>
    </w:tbl>
    <w:p>
      <w:pPr>
        <w:spacing w:after="20" w:line="276" w:lineRule="auto"/>
      </w:pPr>
      <w:r>
        <w:rPr>
          <w:rFonts w:ascii="Aptos" w:hAnsi="Aptos"/>
          <w:b w:val="0"/>
          <w:i w:val="0"/>
          <w:color w:val="102536"/>
          <w:sz w:val="20"/>
        </w:rPr>
      </w:r>
    </w:p>
    <w:p>
      <w:pPr>
        <w:pStyle w:val="Heading1"/>
      </w:pPr>
      <w:r>
        <w:t>Project overview</w:t>
      </w:r>
    </w:p>
    <w:p>
      <w:pPr>
        <w:spacing w:after="100" w:line="276" w:lineRule="auto"/>
      </w:pPr>
      <w:r>
        <w:rPr>
          <w:rFonts w:ascii="Aptos" w:hAnsi="Aptos"/>
          <w:b w:val="0"/>
          <w:i w:val="0"/>
          <w:color w:val="102536"/>
          <w:sz w:val="20"/>
        </w:rPr>
        <w:t>Masaar is the operational system behind Lebanese businesses that sell through Instagram, WhatsApp, TikTok, Facebook, websites, phone or a store. It manages the work after the customer decides to order: products, structured addresses, fulfillment, delivery, payments, cash custody, inventory and the decisions produced from those records.</w:t>
      </w:r>
    </w:p>
    <w:p>
      <w:pPr>
        <w:pStyle w:val="Heading2"/>
      </w:pPr>
      <w:r>
        <w:t>Problem and solution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4536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Problem</w:t>
            </w:r>
          </w:p>
        </w:tc>
        <w:tc>
          <w:tcPr>
            <w:tcW w:type="dxa" w:w="4680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Masaar response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Orders and addresses scattered across chats, screenshots and memory.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One confirmed order, customer profile, standardized Lebanese address and full audit timeline.</w:t>
            </w:r>
          </w:p>
        </w:tc>
      </w:tr>
      <w:tr>
        <w:tc>
          <w:tcPr>
            <w:tcW w:type="dxa" w:w="453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Delivered is confused with paid; collected cash may remain with a driver.</w:t>
            </w:r>
          </w:p>
        </w:tc>
        <w:tc>
          <w:tcPr>
            <w:tcW w:type="dxa" w:w="468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Separate delivery/payment states, automatic collection entry, cash custody and controlled reconciliation.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Generic dashboards overstate revenue or profit in mixed USD/LBP reality.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Original-currency truth, approved FX snapshots, cost completeness and explainable decision warnings.</w:t>
            </w:r>
          </w:p>
        </w:tc>
      </w:tr>
      <w:tr>
        <w:tc>
          <w:tcPr>
            <w:tcW w:type="dxa" w:w="453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Stock, couriers and customer follow-up live in separate tools.</w:t>
            </w:r>
          </w:p>
        </w:tc>
        <w:tc>
          <w:tcPr>
            <w:tcW w:type="dxa" w:w="468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One role-based workflow linking products, reservations, resources, attempts, returns and customer growth.</w:t>
            </w:r>
          </w:p>
        </w:tc>
      </w:tr>
    </w:tbl>
    <w:p>
      <w:pPr>
        <w:pStyle w:val="Heading2"/>
      </w:pPr>
      <w:r>
        <w:t>Core operating loop</w:t>
      </w:r>
    </w:p>
    <w:p>
      <w:pPr>
        <w:spacing w:after="100" w:line="276" w:lineRule="auto"/>
        <w:jc w:val="center"/>
      </w:pPr>
      <w:r>
        <w:rPr>
          <w:rFonts w:ascii="Aptos" w:hAnsi="Aptos"/>
          <w:b/>
          <w:i w:val="0"/>
          <w:color w:val="00AFA3"/>
          <w:sz w:val="21"/>
        </w:rPr>
        <w:t>CAPTURE  →  CONFIRM  →  FULFILL  →  DELIVER  →  COLLECT  →  RECONCILE  →  DECIDE</w:t>
      </w:r>
    </w:p>
    <w:p>
      <w:r>
        <w:br w:type="page"/>
      </w:r>
    </w:p>
    <w:p>
      <w:pPr>
        <w:pStyle w:val="Heading1"/>
      </w:pPr>
      <w:r>
        <w:t>Implemented Solution</w:t>
      </w:r>
    </w:p>
    <w:p>
      <w:pPr>
        <w:spacing w:after="180" w:line="276" w:lineRule="auto"/>
      </w:pPr>
      <w:r>
        <w:rPr>
          <w:rFonts w:ascii="Aptos" w:hAnsi="Aptos"/>
          <w:b w:val="0"/>
          <w:i/>
          <w:color w:val="60717D"/>
          <w:sz w:val="19"/>
        </w:rPr>
        <w:t>A platform the judges can operate, not a static prototype.</w:t>
      </w:r>
    </w:p>
    <w:p>
      <w:pPr>
        <w:pStyle w:val="Heading2"/>
      </w:pPr>
      <w:r>
        <w:t>Major capabilities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520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Area</w:t>
            </w:r>
          </w:p>
        </w:tc>
        <w:tc>
          <w:tcPr>
            <w:tcW w:type="dxa" w:w="6696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Implemented functional idea</w:t>
            </w:r>
          </w:p>
        </w:tc>
      </w:tr>
      <w:tr>
        <w:tc>
          <w:tcPr>
            <w:tcW w:type="dxa" w:w="252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Orders &amp; customers</w:t>
            </w:r>
          </w:p>
        </w:tc>
        <w:tc>
          <w:tcPr>
            <w:tcW w:type="dxa" w:w="669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Quick Order, variants/SKUs, server totals, secure confirmation, duplicate warning, profiles, prior addresses and advisory reliability.</w:t>
            </w:r>
          </w:p>
        </w:tc>
      </w:tr>
      <w:tr>
        <w:tc>
          <w:tcPr>
            <w:tcW w:type="dxa" w:w="252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Delivery &amp; driver</w:t>
            </w:r>
          </w:p>
        </w:tc>
        <w:tc>
          <w:tcPr>
            <w:tcW w:type="dxa" w:w="669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Internal drivers, freelancers and companies; zones/fees, manifests, attempts, failure reasons and phone-first assigned stops.</w:t>
            </w:r>
          </w:p>
        </w:tc>
      </w:tr>
      <w:tr>
        <w:tc>
          <w:tcPr>
            <w:tcW w:type="dxa" w:w="252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Payments &amp; custody</w:t>
            </w:r>
          </w:p>
        </w:tc>
        <w:tc>
          <w:tcPr>
            <w:tcW w:type="dxa" w:w="669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Cash/Whish/other records, partial/prepaid amounts, proof/reference, holder-specific cash and discrepancy-controlled handover.</w:t>
            </w:r>
          </w:p>
        </w:tc>
      </w:tr>
      <w:tr>
        <w:tc>
          <w:tcPr>
            <w:tcW w:type="dxa" w:w="252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Stock &amp; supply</w:t>
            </w:r>
          </w:p>
        </w:tc>
        <w:tc>
          <w:tcPr>
            <w:tcW w:type="dxa" w:w="669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Reservations, movements, receipts, low-stock risk, suppliers/cost history, returns, exchanges and condition-based disposition.</w:t>
            </w:r>
          </w:p>
        </w:tc>
      </w:tr>
      <w:tr>
        <w:tc>
          <w:tcPr>
            <w:tcW w:type="dxa" w:w="252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Business intelligence</w:t>
            </w:r>
          </w:p>
        </w:tc>
        <w:tc>
          <w:tcPr>
            <w:tcW w:type="dxa" w:w="669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Revenue/profit/collected separation, product/channel economics, repeat growth, Lebanon area map, delivery Pareto and action-ranked warnings.</w:t>
            </w:r>
          </w:p>
        </w:tc>
      </w:tr>
      <w:tr>
        <w:tc>
          <w:tcPr>
            <w:tcW w:type="dxa" w:w="252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Forecast &amp; AI</w:t>
            </w:r>
          </w:p>
        </w:tc>
        <w:tc>
          <w:tcPr>
            <w:tcW w:type="dxa" w:w="669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Governed forecasts, anomaly evidence, scenarios and a grounded assistant that cannot execute consequential changes silently.</w:t>
            </w:r>
          </w:p>
        </w:tc>
      </w:tr>
      <w:tr>
        <w:tc>
          <w:tcPr>
            <w:tcW w:type="dxa" w:w="252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Launch controls</w:t>
            </w:r>
          </w:p>
        </w:tc>
        <w:tc>
          <w:tcPr>
            <w:tcW w:type="dxa" w:w="669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Role access, in-app notifications, Lebanese administration organizer, customer tracking, PWA/mobile continuity and honest integration states.</w:t>
            </w:r>
          </w:p>
        </w:tc>
      </w:tr>
    </w:tbl>
    <w:p>
      <w:pPr>
        <w:pStyle w:val="Heading2"/>
      </w:pPr>
      <w:r>
        <w:t>Lebanon-tailored value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USD/LBP prices and costs with owner-approved exchange-rate snapshots and no invented profit.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Cash, Whish and OMT-friendly payment records; driver-held-cash accountability.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All eight governorates, configurable served areas, local address/landmark fields and mixed delivery resources.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Low-connectivity mobile behavior, supplier/stock exposure and administrative reminders suited to local operating constraints.</w:t>
      </w:r>
    </w:p>
    <w:p>
      <w:pPr>
        <w:pStyle w:val="Heading2"/>
      </w:pPr>
      <w:r>
        <w:t>Technical architecture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232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6984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Technology / responsibility</w:t>
            </w:r>
          </w:p>
        </w:tc>
      </w:tr>
      <w:tr>
        <w:tc>
          <w:tcPr>
            <w:tcW w:type="dxa" w:w="2232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Experience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React, TypeScript, Vite, Tailwind CSS and Recharts responsive PWA.</w:t>
            </w:r>
          </w:p>
        </w:tc>
      </w:tr>
      <w:tr>
        <w:tc>
          <w:tcPr>
            <w:tcW w:type="dxa" w:w="2232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Application</w:t>
            </w:r>
          </w:p>
        </w:tc>
        <w:tc>
          <w:tcPr>
            <w:tcW w:type="dxa" w:w="6984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Node.js, TypeScript, Fastify and Zod contracts; role and tenant authorization.</w:t>
            </w:r>
          </w:p>
        </w:tc>
      </w:tr>
      <w:tr>
        <w:tc>
          <w:tcPr>
            <w:tcW w:type="dxa" w:w="2232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Data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Microsoft SQL Server schema and SSMS views; Amazon RDS for SQL Server target.</w:t>
            </w:r>
          </w:p>
        </w:tc>
      </w:tr>
      <w:tr>
        <w:tc>
          <w:tcPr>
            <w:tcW w:type="dxa" w:w="2232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AWS</w:t>
            </w:r>
          </w:p>
        </w:tc>
        <w:tc>
          <w:tcPr>
            <w:tcW w:type="dxa" w:w="6984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Cognito identity, S3 files, CloudWatch observability, WAF, Secrets Manager and AWS Budgets.</w:t>
            </w:r>
          </w:p>
        </w:tc>
      </w:tr>
      <w:tr>
        <w:tc>
          <w:tcPr>
            <w:tcW w:type="dxa" w:w="2232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Quality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52 automated tests, type checks, lint, production build and responsive owner/employee/driver review.</w:t>
            </w:r>
          </w:p>
        </w:tc>
      </w:tr>
    </w:tbl>
    <w:p>
      <w:r>
        <w:br w:type="page"/>
      </w:r>
    </w:p>
    <w:p>
      <w:pPr>
        <w:pStyle w:val="Heading1"/>
      </w:pPr>
      <w:r>
        <w:t>Challenges, Process &amp; Evidence</w:t>
      </w:r>
    </w:p>
    <w:p>
      <w:pPr>
        <w:spacing w:after="180" w:line="276" w:lineRule="auto"/>
      </w:pPr>
      <w:r>
        <w:rPr>
          <w:rFonts w:ascii="Aptos" w:hAnsi="Aptos"/>
          <w:b w:val="0"/>
          <w:i/>
          <w:color w:val="60717D"/>
          <w:sz w:val="19"/>
        </w:rPr>
        <w:t>The implementation protects operational truth before adding intelligence.</w:t>
      </w:r>
    </w:p>
    <w:p>
      <w:pPr>
        <w:pStyle w:val="Heading2"/>
      </w:pPr>
      <w:r>
        <w:t>Three hard challenges solved</w:t>
      </w:r>
    </w:p>
    <w:p>
      <w:pPr>
        <w:pStyle w:val="Heading3"/>
      </w:pPr>
      <w:r>
        <w:t>1. Money truth</w:t>
      </w:r>
    </w:p>
    <w:p>
      <w:pPr>
        <w:spacing w:after="100" w:line="276" w:lineRule="auto"/>
      </w:pPr>
      <w:r>
        <w:rPr>
          <w:rFonts w:ascii="Aptos" w:hAnsi="Aptos"/>
          <w:b w:val="0"/>
          <w:i w:val="0"/>
          <w:color w:val="102536"/>
          <w:sz w:val="20"/>
        </w:rPr>
        <w:t>Delivered does not prove paid, and paid does not prove cash returned. Masaar uses separate payment events, automatic collection posting, holder-specific custody movements and owner/manager reconciliation with mandatory discrepancy explanations.</w:t>
      </w:r>
    </w:p>
    <w:p>
      <w:pPr>
        <w:pStyle w:val="Heading3"/>
      </w:pPr>
      <w:r>
        <w:t>2. Mixed Lebanese operating reality</w:t>
      </w:r>
    </w:p>
    <w:p>
      <w:pPr>
        <w:spacing w:after="100" w:line="276" w:lineRule="auto"/>
      </w:pPr>
      <w:r>
        <w:rPr>
          <w:rFonts w:ascii="Aptos" w:hAnsi="Aptos"/>
          <w:b w:val="0"/>
          <w:i w:val="0"/>
          <w:color w:val="102536"/>
          <w:sz w:val="20"/>
        </w:rPr>
        <w:t>USD/LBP pricing, local payment methods, inconsistent addresses and mixed couriers corrupt generic analytics. Masaar preserves original currency, applies approved FX snapshots, standardizes local address/zone data and exposes missing-data limitations.</w:t>
      </w:r>
    </w:p>
    <w:p>
      <w:pPr>
        <w:pStyle w:val="Heading3"/>
      </w:pPr>
      <w:r>
        <w:t>3. Intelligence trust</w:t>
      </w:r>
    </w:p>
    <w:p>
      <w:pPr>
        <w:spacing w:after="100" w:line="276" w:lineRule="auto"/>
      </w:pPr>
      <w:r>
        <w:rPr>
          <w:rFonts w:ascii="Aptos" w:hAnsi="Aptos"/>
          <w:b w:val="0"/>
          <w:i w:val="0"/>
          <w:color w:val="102536"/>
          <w:sz w:val="20"/>
        </w:rPr>
        <w:t>Attractive graphs can combine incompatible money or claim profit without costs. Masaar uses metric contracts, completeness labels, drill-through evidence, deterministic warning thresholds and predictions that remain advisory.</w:t>
      </w:r>
    </w:p>
    <w:p>
      <w:pPr>
        <w:pStyle w:val="Heading2"/>
      </w:pPr>
      <w:r>
        <w:t>Development process</w:t>
      </w:r>
    </w:p>
    <w:p>
      <w:pPr>
        <w:spacing w:after="100" w:line="276" w:lineRule="auto"/>
      </w:pPr>
      <w:r>
        <w:rPr>
          <w:rFonts w:ascii="Aptos" w:hAnsi="Aptos"/>
          <w:b w:val="0"/>
          <w:i w:val="0"/>
          <w:color w:val="102536"/>
          <w:sz w:val="20"/>
        </w:rPr>
        <w:t>Nine controlled implementation phases covered product contracts; AWS/design foundations; commerce data; orders; delivery and money; stock and returns; decision intelligence; forecasting/AI hardening; and launch-focused expansion. The final pass added SQL Server migration, role realism, immediate refresh after mutations, error checks, final documentation and release evidence.</w:t>
      </w:r>
    </w:p>
    <w:p>
      <w:pPr>
        <w:pStyle w:val="Heading2"/>
      </w:pPr>
      <w:r>
        <w:t>User roles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1944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7272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Responsibility</w:t>
            </w:r>
          </w:p>
        </w:tc>
      </w:tr>
      <w:tr>
        <w:tc>
          <w:tcPr>
            <w:tcW w:type="dxa" w:w="194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Owner</w:t>
            </w:r>
          </w:p>
        </w:tc>
        <w:tc>
          <w:tcPr>
            <w:tcW w:type="dxa" w:w="7272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Full control, setup, reconciliation, analytics and approvals.</w:t>
            </w:r>
          </w:p>
        </w:tc>
      </w:tr>
      <w:tr>
        <w:tc>
          <w:tcPr>
            <w:tcW w:type="dxa" w:w="1944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Manager</w:t>
            </w:r>
          </w:p>
        </w:tc>
        <w:tc>
          <w:tcPr>
            <w:tcW w:type="dxa" w:w="7272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Delegated operational controls and team coordination.</w:t>
            </w:r>
          </w:p>
        </w:tc>
      </w:tr>
      <w:tr>
        <w:tc>
          <w:tcPr>
            <w:tcW w:type="dxa" w:w="194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Employee</w:t>
            </w:r>
          </w:p>
        </w:tc>
        <w:tc>
          <w:tcPr>
            <w:tcW w:type="dxa" w:w="7272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Order capture, confirmation, preparation, fulfillment, payments and stock tasks.</w:t>
            </w:r>
          </w:p>
        </w:tc>
      </w:tr>
      <w:tr>
        <w:tc>
          <w:tcPr>
            <w:tcW w:type="dxa" w:w="1944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Driver</w:t>
            </w:r>
          </w:p>
        </w:tc>
        <w:tc>
          <w:tcPr>
            <w:tcW w:type="dxa" w:w="7272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Assigned deliveries, attempt outcomes and actual collections on mobile.</w:t>
            </w:r>
          </w:p>
        </w:tc>
      </w:tr>
      <w:tr>
        <w:tc>
          <w:tcPr>
            <w:tcW w:type="dxa" w:w="194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Analyst</w:t>
            </w:r>
          </w:p>
        </w:tc>
        <w:tc>
          <w:tcPr>
            <w:tcW w:type="dxa" w:w="7272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Read-only evidence and business intelligence.</w:t>
            </w:r>
          </w:p>
        </w:tc>
      </w:tr>
    </w:tbl>
    <w:p>
      <w:pPr>
        <w:pStyle w:val="Heading2"/>
      </w:pPr>
      <w:r>
        <w:t>Team contributions</w:t>
      </w:r>
    </w:p>
    <w:p>
      <w:pPr>
        <w:spacing w:after="100" w:line="276" w:lineRule="auto"/>
      </w:pPr>
      <w:r>
        <w:rPr>
          <w:rFonts w:ascii="Aptos" w:hAnsi="Aptos"/>
          <w:b w:val="0"/>
          <w:i w:val="0"/>
          <w:color w:val="102536"/>
          <w:sz w:val="20"/>
        </w:rPr>
        <w:t>Shawn Lamouza · shawnlamouza100@gmail.com — product direction, Lebanese business research, survey design, validation and competition coordination.</w:t>
      </w:r>
    </w:p>
    <w:p>
      <w:pPr>
        <w:spacing w:after="100" w:line="276" w:lineRule="auto"/>
      </w:pPr>
      <w:r>
        <w:rPr>
          <w:rFonts w:ascii="Aptos" w:hAnsi="Aptos"/>
          <w:b w:val="0"/>
          <w:i/>
          <w:color w:val="60717D"/>
          <w:sz w:val="18"/>
        </w:rPr>
        <w:t>[Add additional member names and exact contributions before official submission.]</w:t>
      </w:r>
    </w:p>
    <w:p>
      <w:r>
        <w:br w:type="page"/>
      </w:r>
    </w:p>
    <w:p>
      <w:pPr>
        <w:pStyle w:val="Heading1"/>
      </w:pPr>
      <w:r>
        <w:t>Submission Links &amp; Final Readiness</w:t>
      </w:r>
    </w:p>
    <w:p>
      <w:pPr>
        <w:spacing w:after="180" w:line="276" w:lineRule="auto"/>
      </w:pPr>
      <w:r>
        <w:rPr>
          <w:rFonts w:ascii="Aptos" w:hAnsi="Aptos"/>
          <w:b w:val="0"/>
          <w:i/>
          <w:color w:val="60717D"/>
          <w:sz w:val="19"/>
        </w:rPr>
        <w:t>Editable fields remain only where an external URL or team detail is not yet available.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376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Submission item</w:t>
            </w:r>
          </w:p>
        </w:tc>
        <w:tc>
          <w:tcPr>
            <w:tcW w:type="dxa" w:w="6840"/>
            <w:shd w:fill="061828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Value / status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GitHub repository</w:t>
            </w:r>
          </w:p>
        </w:tc>
        <w:tc>
          <w:tcPr>
            <w:tcW w:type="dxa" w:w="684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Target: https://github.com/shawnlamouza/masaar — local main-branch commit and publishing guide prepared; remote push requires GitHub account access.</w:t>
            </w:r>
          </w:p>
        </w:tc>
      </w:tr>
      <w:tr>
        <w:tc>
          <w:tcPr>
            <w:tcW w:type="dxa" w:w="237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Demo application</w:t>
            </w:r>
          </w:p>
        </w:tc>
        <w:tc>
          <w:tcPr>
            <w:tcW w:type="dxa" w:w="684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Local: http://localhost:5173 — public URL requires AWS or hosting account credentials and deployment.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Demo video</w:t>
            </w:r>
          </w:p>
        </w:tc>
        <w:tc>
          <w:tcPr>
            <w:tcW w:type="dxa" w:w="684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[ADD PUBLIC VIDEO URL — maximum two minutes]. Recording script: docs/DEMO_SCRIPT.md.</w:t>
            </w:r>
          </w:p>
        </w:tc>
      </w:tr>
      <w:tr>
        <w:tc>
          <w:tcPr>
            <w:tcW w:type="dxa" w:w="237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Functional specification</w:t>
            </w:r>
          </w:p>
        </w:tc>
        <w:tc>
          <w:tcPr>
            <w:tcW w:type="dxa" w:w="684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output/Masaar_Final_Functional_Specification_and_Product_Vision.docx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Implementation plan</w:t>
            </w:r>
          </w:p>
        </w:tc>
        <w:tc>
          <w:tcPr>
            <w:tcW w:type="dxa" w:w="684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output/Masaar_Final_Implementation_and_Release_Plan.docx</w:t>
            </w:r>
          </w:p>
        </w:tc>
      </w:tr>
      <w:tr>
        <w:tc>
          <w:tcPr>
            <w:tcW w:type="dxa" w:w="237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User manual</w:t>
            </w:r>
          </w:p>
        </w:tc>
        <w:tc>
          <w:tcPr>
            <w:tcW w:type="dxa" w:w="684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output/Masaar_User_Manual.docx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Database</w:t>
            </w:r>
          </w:p>
        </w:tc>
        <w:tc>
          <w:tcPr>
            <w:tcW w:type="dxa" w:w="6840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infra/sql — SQL Server schema, seeds, views and migration resources.</w:t>
            </w:r>
          </w:p>
        </w:tc>
      </w:tr>
      <w:tr>
        <w:tc>
          <w:tcPr>
            <w:tcW w:type="dxa" w:w="2376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Application archive</w:t>
            </w:r>
          </w:p>
        </w:tc>
        <w:tc>
          <w:tcPr>
            <w:tcW w:type="dxa" w:w="6840"/>
            <w:shd w:fill="F2F5F7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02536"/>
                <w:sz w:val="17"/>
              </w:rPr>
              <w:t>output/Masaar_Competition_Submission.zip</w:t>
            </w:r>
          </w:p>
        </w:tc>
      </w:tr>
    </w:tbl>
    <w:p>
      <w:pPr>
        <w:pStyle w:val="Heading2"/>
      </w:pPr>
      <w:r>
        <w:t>Integration truth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In-app notifications and core local workflows are implemented.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WhatsApp/email templates support copy-and-send; automated sending requires approved providers, consent and credentials.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Courier/payment integrations and public AWS deployment require provider/account configuration; the app does not falsely label them live.</w:t>
      </w:r>
    </w:p>
    <w:p>
      <w:pPr>
        <w:pStyle w:val="Heading2"/>
      </w:pPr>
      <w:r>
        <w:t>Final submission checklist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Create the empty GitHub repository masaar and run git push -u origin main.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Deploy to AWS/approved host, verify SQL Server/Cognito/secrets/backups and insert the public demo URL.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Record the two-minute demo and replace the placeholder URL above.</w:t>
      </w:r>
    </w:p>
    <w:p>
      <w:pPr>
        <w:pStyle w:val="ListBullet"/>
        <w:spacing w:after="60"/>
      </w:pPr>
      <w:r>
        <w:rPr>
          <w:rFonts w:ascii="Aptos" w:hAnsi="Aptos"/>
          <w:b w:val="0"/>
          <w:i w:val="0"/>
          <w:color w:val="102536"/>
          <w:sz w:val="19"/>
        </w:rPr>
        <w:t>Add remaining team-member names/contributions, if applicable, then perform the final document review.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fill="EAF8F6"/>
          </w:tcPr>
          <w:p>
            <w:r>
              <w:rPr>
                <w:rFonts w:ascii="Aptos" w:hAnsi="Aptos"/>
                <w:b/>
                <w:i w:val="0"/>
                <w:color w:val="00AFA3"/>
                <w:sz w:val="20"/>
              </w:rPr>
              <w:t xml:space="preserve">Competition close: </w:t>
            </w:r>
            <w:r>
              <w:rPr>
                <w:rFonts w:ascii="Aptos" w:hAnsi="Aptos"/>
                <w:b w:val="0"/>
                <w:i w:val="0"/>
                <w:color w:val="102536"/>
                <w:sz w:val="20"/>
              </w:rPr>
              <w:t>Masaar is intentionally not another generic ERP. It owns one difficult loop exceptionally well and converts real operational evidence into economically useful decisions for Lebanese businesses.</w:t>
            </w:r>
          </w:p>
        </w:tc>
      </w:tr>
    </w:tbl>
    <w:p>
      <w:pPr>
        <w:spacing w:after="20" w:line="276" w:lineRule="auto"/>
      </w:pPr>
      <w:r>
        <w:rPr>
          <w:rFonts w:ascii="Aptos" w:hAnsi="Aptos"/>
          <w:b w:val="0"/>
          <w:i w:val="0"/>
          <w:color w:val="102536"/>
          <w:sz w:val="20"/>
        </w:rPr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60717D"/>
        <w:sz w:val="16"/>
      </w:rPr>
      <w:t>FINAL SUBMISSION | Competition-ready implemented build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i w:val="0"/>
        <w:color w:val="60717D"/>
        <w:sz w:val="16"/>
      </w:rPr>
      <w:t>MASAAR | AMAZON INDUSTRY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025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AFA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618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E6B9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432" w:hanging="23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Masaar Final Submission</dc:title>
  <dc:subject/>
  <dc:creator>Masaar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