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masaar-logo-dark.png"/>
                    <pic:cNvPicPr/>
                  </pic:nvPicPr>
                  <pic:blipFill>
                    <a:blip r:embed="rId11"/>
                    <a:stretch>
                      <a:fillRect/>
                    </a:stretch>
                  </pic:blipFill>
                  <pic:spPr>
                    <a:xfrm>
                      <a:off x="0" y="0"/>
                      <a:ext cx="1097280" cy="1097280"/>
                    </a:xfrm>
                    <a:prstGeom prst="rect"/>
                  </pic:spPr>
                </pic:pic>
              </a:graphicData>
            </a:graphic>
          </wp:inline>
        </w:drawing>
      </w:r>
    </w:p>
    <w:p>
      <w:pPr>
        <w:keepNext w:val="0"/>
        <w:spacing w:before="0" w:after="80" w:line="264" w:lineRule="auto"/>
        <w:jc w:val="center"/>
      </w:pPr>
      <w:r>
        <w:rPr>
          <w:rFonts w:ascii="Aptos" w:hAnsi="Aptos"/>
          <w:b/>
          <w:i w:val="0"/>
          <w:color w:val="00AFA3"/>
          <w:sz w:val="20"/>
        </w:rPr>
        <w:t>MASAAR</w:t>
      </w:r>
    </w:p>
    <w:p>
      <w:pPr>
        <w:keepNext w:val="0"/>
        <w:spacing w:before="0" w:after="120" w:line="264" w:lineRule="auto"/>
        <w:jc w:val="center"/>
      </w:pPr>
      <w:r>
        <w:rPr>
          <w:rFonts w:ascii="Aptos" w:hAnsi="Aptos"/>
          <w:b/>
          <w:i w:val="0"/>
          <w:color w:val="061828"/>
          <w:sz w:val="52"/>
        </w:rPr>
        <w:t>The operating system behind</w:t>
        <w:br/>
        <w:t>Lebanese social commerce</w:t>
      </w:r>
    </w:p>
    <w:p>
      <w:pPr>
        <w:keepNext w:val="0"/>
        <w:spacing w:before="0" w:after="240" w:line="264" w:lineRule="auto"/>
        <w:jc w:val="center"/>
      </w:pPr>
      <w:r>
        <w:rPr>
          <w:rFonts w:ascii="Aptos" w:hAnsi="Aptos"/>
          <w:b w:val="0"/>
          <w:i w:val="0"/>
          <w:color w:val="60717D"/>
          <w:sz w:val="24"/>
        </w:rPr>
        <w:t>Orders, delivery, payments, stock and business intelligence—one accountable path after the customer decides to buy.</w:t>
      </w:r>
    </w:p>
    <w:tbl>
      <w:tblPr>
        <w:tblW w:type="dxa" w:w="9360"/>
        <w:tblLayout w:type="fixed"/>
        <w:tblLook w:firstColumn="1" w:firstRow="1" w:lastColumn="0" w:lastRow="0" w:noHBand="0" w:noVBand="1" w:val="04A0"/>
        <w:tblInd w:w="120" w:type="dxa"/>
        <w:tblBorders>
          <w:top w:val="single" w:sz="5" w:color="00AFA3"/>
          <w:left w:val="single" w:sz="5" w:color="00AFA3"/>
          <w:bottom w:val="single" w:sz="5" w:color="00AFA3"/>
          <w:right w:val="single" w:sz="5" w:color="00AFA3"/>
          <w:insideH w:val="single" w:sz="5" w:color="00AFA3"/>
          <w:insideV w:val="single" w:sz="5" w:color="00AFA3"/>
        </w:tblBorders>
      </w:tblPr>
      <w:tblGrid>
        <w:gridCol w:w="9360"/>
      </w:tblGrid>
      <w:tr>
        <w:tc>
          <w:tcPr>
            <w:tcW w:type="dxa" w:w="9360"/>
            <w:shd w:fill="EAF8F6"/>
            <w:tcMar>
              <w:top w:w="120" w:type="dxa"/>
              <w:start w:w="150" w:type="dxa"/>
              <w:bottom w:w="120" w:type="dxa"/>
              <w:end w:w="150" w:type="dxa"/>
            </w:tcMar>
          </w:tcPr>
          <w:p>
            <w:pPr>
              <w:spacing w:after="0"/>
            </w:pPr>
            <w:r>
              <w:rPr>
                <w:rFonts w:ascii="Aptos" w:hAnsi="Aptos"/>
                <w:b/>
                <w:i w:val="0"/>
                <w:color w:val="00AFA3"/>
                <w:sz w:val="19"/>
              </w:rPr>
              <w:t xml:space="preserve">Competition thesis: </w:t>
            </w:r>
            <w:r>
              <w:rPr>
                <w:rFonts w:ascii="Aptos" w:hAnsi="Aptos"/>
                <w:b w:val="0"/>
                <w:i w:val="0"/>
                <w:color w:val="102536"/>
                <w:sz w:val="19"/>
              </w:rPr>
              <w:t>Small businesses do not need another disconnected dashboard. They need reliable operations that produce trustworthy decisions: what is selling, what is profitable, who holds the cash, where delivery fails and what to do next.</w:t>
            </w:r>
          </w:p>
        </w:tc>
      </w:tr>
    </w:tbl>
    <w:p>
      <w:pPr>
        <w:keepNext w:val="0"/>
        <w:spacing w:before="0" w:after="20" w:line="264" w:lineRule="auto"/>
      </w:pPr>
      <w:r>
        <w:rPr>
          <w:rFonts w:ascii="Aptos" w:hAnsi="Aptos"/>
          <w:b w:val="0"/>
          <w:i w:val="0"/>
          <w:color w:val="102536"/>
          <w:sz w:val="4"/>
        </w:rPr>
      </w:r>
    </w:p>
    <w:p>
      <w:pPr>
        <w:spacing w:after="140"/>
        <w:jc w:val="center"/>
      </w:pPr>
      <w:r>
        <w:drawing>
          <wp:inline xmlns:a="http://schemas.openxmlformats.org/drawingml/2006/main" xmlns:pic="http://schemas.openxmlformats.org/drawingml/2006/picture">
            <wp:extent cx="6080760" cy="3422106"/>
            <wp:docPr id="2" name="Picture 2"/>
            <wp:cNvGraphicFramePr>
              <a:graphicFrameLocks noChangeAspect="1"/>
            </wp:cNvGraphicFramePr>
            <a:graphic>
              <a:graphicData uri="http://schemas.openxmlformats.org/drawingml/2006/picture">
                <pic:pic>
                  <pic:nvPicPr>
                    <pic:cNvPr id="0" name="06-business-intelligence.png"/>
                    <pic:cNvPicPr/>
                  </pic:nvPicPr>
                  <pic:blipFill>
                    <a:blip r:embed="rId12"/>
                    <a:stretch>
                      <a:fillRect/>
                    </a:stretch>
                  </pic:blipFill>
                  <pic:spPr>
                    <a:xfrm>
                      <a:off x="0" y="0"/>
                      <a:ext cx="6080760" cy="3422106"/>
                    </a:xfrm>
                    <a:prstGeom prst="rect"/>
                  </pic:spPr>
                </pic:pic>
              </a:graphicData>
            </a:graphic>
          </wp:inline>
        </w:drawing>
      </w:r>
    </w:p>
    <w:tbl>
      <w:tblPr>
        <w:tblW w:type="dxa" w:w="9417"/>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3139"/>
        <w:gridCol w:w="3139"/>
        <w:gridCol w:w="3139"/>
      </w:tblGrid>
      <w:tr>
        <w:tc>
          <w:tcPr>
            <w:tcW w:type="dxa" w:w="3139"/>
            <w:shd w:fill="061828"/>
            <w:tcMar>
              <w:top w:w="90" w:type="dxa"/>
              <w:start w:w="120" w:type="dxa"/>
              <w:bottom w:w="90" w:type="dxa"/>
              <w:end w:w="120" w:type="dxa"/>
            </w:tcMar>
            <w:vAlign w:val="center"/>
          </w:tcPr>
          <w:p>
            <w:pPr>
              <w:spacing w:after="0"/>
            </w:pPr>
            <w:r>
              <w:rPr>
                <w:rFonts w:ascii="Aptos" w:hAnsi="Aptos"/>
                <w:b/>
                <w:i w:val="0"/>
                <w:color w:val="FFFFFF"/>
                <w:sz w:val="16"/>
              </w:rPr>
              <w:t>IMPLEMENTED</w:t>
            </w:r>
          </w:p>
        </w:tc>
        <w:tc>
          <w:tcPr>
            <w:tcW w:type="dxa" w:w="3139"/>
            <w:shd w:fill="061828"/>
            <w:tcMar>
              <w:top w:w="90" w:type="dxa"/>
              <w:start w:w="120" w:type="dxa"/>
              <w:bottom w:w="90" w:type="dxa"/>
              <w:end w:w="120" w:type="dxa"/>
            </w:tcMar>
            <w:vAlign w:val="center"/>
          </w:tcPr>
          <w:p>
            <w:pPr>
              <w:spacing w:after="0"/>
            </w:pPr>
            <w:r>
              <w:rPr>
                <w:rFonts w:ascii="Aptos" w:hAnsi="Aptos"/>
                <w:b/>
                <w:i w:val="0"/>
                <w:color w:val="FFFFFF"/>
                <w:sz w:val="16"/>
              </w:rPr>
              <w:t>VERIFIED</w:t>
            </w:r>
          </w:p>
        </w:tc>
        <w:tc>
          <w:tcPr>
            <w:tcW w:type="dxa" w:w="3139"/>
            <w:shd w:fill="061828"/>
            <w:tcMar>
              <w:top w:w="90" w:type="dxa"/>
              <w:start w:w="120" w:type="dxa"/>
              <w:bottom w:w="90" w:type="dxa"/>
              <w:end w:w="120" w:type="dxa"/>
            </w:tcMar>
            <w:vAlign w:val="center"/>
          </w:tcPr>
          <w:p>
            <w:pPr>
              <w:spacing w:after="0"/>
            </w:pPr>
            <w:r>
              <w:rPr>
                <w:rFonts w:ascii="Aptos" w:hAnsi="Aptos"/>
                <w:b/>
                <w:i w:val="0"/>
                <w:color w:val="FFFFFF"/>
                <w:sz w:val="16"/>
              </w:rPr>
              <w:t>DEPLOYMENT TARGET</w:t>
            </w:r>
          </w:p>
        </w:tc>
      </w:tr>
      <w:tr>
        <w:tc>
          <w:tcPr>
            <w:tcW w:type="dxa" w:w="3139"/>
            <w:tcMar>
              <w:top w:w="90" w:type="dxa"/>
              <w:start w:w="120" w:type="dxa"/>
              <w:bottom w:w="90" w:type="dxa"/>
              <w:end w:w="120" w:type="dxa"/>
            </w:tcMar>
            <w:vAlign w:val="center"/>
          </w:tcPr>
          <w:p>
            <w:pPr>
              <w:spacing w:after="0" w:line="245" w:lineRule="auto"/>
            </w:pPr>
            <w:r>
              <w:rPr>
                <w:rFonts w:ascii="Aptos" w:hAnsi="Aptos"/>
                <w:b w:val="0"/>
                <w:i w:val="0"/>
                <w:color w:val="102536"/>
                <w:sz w:val="16"/>
              </w:rPr>
              <w:t>Role-based end-to-end product</w:t>
            </w:r>
          </w:p>
        </w:tc>
        <w:tc>
          <w:tcPr>
            <w:tcW w:type="dxa" w:w="3139"/>
            <w:tcMar>
              <w:top w:w="90" w:type="dxa"/>
              <w:start w:w="120" w:type="dxa"/>
              <w:bottom w:w="90" w:type="dxa"/>
              <w:end w:w="120" w:type="dxa"/>
            </w:tcMar>
            <w:vAlign w:val="center"/>
          </w:tcPr>
          <w:p>
            <w:pPr>
              <w:spacing w:after="0" w:line="245" w:lineRule="auto"/>
            </w:pPr>
            <w:r>
              <w:rPr>
                <w:rFonts w:ascii="Aptos" w:hAnsi="Aptos"/>
                <w:b w:val="0"/>
                <w:i w:val="0"/>
                <w:color w:val="102536"/>
                <w:sz w:val="16"/>
              </w:rPr>
              <w:t>55 automated tests after security hardening</w:t>
            </w:r>
          </w:p>
        </w:tc>
        <w:tc>
          <w:tcPr>
            <w:tcW w:type="dxa" w:w="3139"/>
            <w:tcMar>
              <w:top w:w="90" w:type="dxa"/>
              <w:start w:w="120" w:type="dxa"/>
              <w:bottom w:w="90" w:type="dxa"/>
              <w:end w:w="120" w:type="dxa"/>
            </w:tcMar>
            <w:vAlign w:val="center"/>
          </w:tcPr>
          <w:p>
            <w:pPr>
              <w:spacing w:after="0" w:line="245" w:lineRule="auto"/>
            </w:pPr>
            <w:r>
              <w:rPr>
                <w:rFonts w:ascii="Aptos" w:hAnsi="Aptos"/>
                <w:b w:val="0"/>
                <w:i w:val="0"/>
                <w:color w:val="102536"/>
                <w:sz w:val="16"/>
              </w:rPr>
              <w:t>AWS + Cognito + RDS SQL Server</w:t>
            </w:r>
          </w:p>
        </w:tc>
      </w:tr>
      <w:tr>
        <w:tc>
          <w:tcPr>
            <w:tcW w:type="dxa" w:w="3139"/>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Lebanon-first operating controls</w:t>
            </w:r>
          </w:p>
        </w:tc>
        <w:tc>
          <w:tcPr>
            <w:tcW w:type="dxa" w:w="3139"/>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Lint, typecheck, build and responsive review</w:t>
            </w:r>
          </w:p>
        </w:tc>
        <w:tc>
          <w:tcPr>
            <w:tcW w:type="dxa" w:w="3139"/>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CloudFront PWA + API Gateway + Lambda</w:t>
            </w:r>
          </w:p>
        </w:tc>
      </w:tr>
    </w:tbl>
    <w:p>
      <w:pPr>
        <w:keepNext w:val="0"/>
        <w:spacing w:before="0" w:after="20" w:line="264" w:lineRule="auto"/>
      </w:pPr>
      <w:r>
        <w:rPr>
          <w:rFonts w:ascii="Aptos" w:hAnsi="Aptos"/>
          <w:b w:val="0"/>
          <w:i w:val="0"/>
          <w:color w:val="102536"/>
          <w:sz w:val="4"/>
        </w:rPr>
      </w:r>
    </w:p>
    <w:p>
      <w:pPr>
        <w:keepNext w:val="0"/>
        <w:spacing w:before="0" w:after="0" w:line="264" w:lineRule="auto"/>
        <w:jc w:val="center"/>
      </w:pPr>
      <w:r>
        <w:rPr>
          <w:rFonts w:ascii="Aptos" w:hAnsi="Aptos"/>
          <w:b w:val="0"/>
          <w:i/>
          <w:color w:val="60717D"/>
          <w:sz w:val="17"/>
        </w:rPr>
        <w:t>Prepared for the Amazon Industry Program competition  |  Masaar Team  |  31 August 2026</w:t>
      </w:r>
    </w:p>
    <w:p>
      <w:pPr>
        <w:pageBreakBefore/>
        <w:spacing w:after="40"/>
      </w:pPr>
      <w:r>
        <w:rPr>
          <w:rFonts w:ascii="Aptos" w:hAnsi="Aptos"/>
          <w:b/>
          <w:i w:val="0"/>
          <w:color w:val="00AFA3"/>
          <w:sz w:val="16"/>
        </w:rPr>
        <w:t>PROBLEM EVIDENCE</w:t>
      </w:r>
    </w:p>
    <w:p>
      <w:pPr>
        <w:keepNext w:val="0"/>
        <w:spacing w:before="0" w:after="60" w:line="264" w:lineRule="auto"/>
      </w:pPr>
      <w:r>
        <w:rPr>
          <w:rFonts w:ascii="Aptos" w:hAnsi="Aptos"/>
          <w:b/>
          <w:i w:val="0"/>
          <w:color w:val="061828"/>
          <w:sz w:val="38"/>
        </w:rPr>
        <w:t>Lebanese commerce loses truth after the sale</w:t>
      </w:r>
    </w:p>
    <w:p>
      <w:pPr>
        <w:keepNext w:val="0"/>
        <w:spacing w:before="0" w:after="180" w:line="264" w:lineRule="auto"/>
      </w:pPr>
      <w:r>
        <w:rPr>
          <w:rFonts w:ascii="Aptos" w:hAnsi="Aptos"/>
          <w:b w:val="0"/>
          <w:i/>
          <w:color w:val="60717D"/>
          <w:sz w:val="18"/>
        </w:rPr>
        <w:t>Survey themes and field observations point to one high-value niche: the post-order operating loop.</w:t>
      </w:r>
    </w:p>
    <w:p>
      <w:pPr>
        <w:pStyle w:val="Heading2"/>
        <w:keepNext/>
        <w:pageBreakBefore w:val="0"/>
      </w:pPr>
      <w:r>
        <w:t>The real operating problem</w:t>
      </w:r>
    </w:p>
    <w:p>
      <w:pPr>
        <w:keepNext w:val="0"/>
        <w:spacing w:before="0" w:after="100" w:line="264" w:lineRule="auto"/>
      </w:pPr>
      <w:r>
        <w:rPr>
          <w:rFonts w:ascii="Aptos" w:hAnsi="Aptos"/>
          <w:b w:val="0"/>
          <w:i w:val="0"/>
          <w:color w:val="102536"/>
          <w:sz w:val="20"/>
        </w:rPr>
        <w:t>A sale may begin in Instagram or WhatsApp, but the work that follows is usually copied into chats, screenshots, spreadsheets and memory. Customer details, exact variants, addresses, delivery attempts, payments and driver-held cash diverge. Owners then cannot answer basic questions without calling several people.</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448"/>
        <w:gridCol w:w="2952"/>
        <w:gridCol w:w="4018"/>
      </w:tblGrid>
      <w:tr>
        <w:tc>
          <w:tcPr>
            <w:tcW w:type="dxa" w:w="2448"/>
            <w:shd w:fill="061828"/>
            <w:tcMar>
              <w:top w:w="90" w:type="dxa"/>
              <w:start w:w="120" w:type="dxa"/>
              <w:bottom w:w="90" w:type="dxa"/>
              <w:end w:w="120" w:type="dxa"/>
            </w:tcMar>
            <w:vAlign w:val="center"/>
          </w:tcPr>
          <w:p>
            <w:pPr>
              <w:spacing w:after="0"/>
            </w:pPr>
            <w:r>
              <w:rPr>
                <w:rFonts w:ascii="Aptos" w:hAnsi="Aptos"/>
                <w:b/>
                <w:i w:val="0"/>
                <w:color w:val="FFFFFF"/>
                <w:sz w:val="16"/>
              </w:rPr>
              <w:t>Observed pressure</w:t>
            </w:r>
          </w:p>
        </w:tc>
        <w:tc>
          <w:tcPr>
            <w:tcW w:type="dxa" w:w="2952"/>
            <w:shd w:fill="061828"/>
            <w:tcMar>
              <w:top w:w="90" w:type="dxa"/>
              <w:start w:w="120" w:type="dxa"/>
              <w:bottom w:w="90" w:type="dxa"/>
              <w:end w:w="120" w:type="dxa"/>
            </w:tcMar>
            <w:vAlign w:val="center"/>
          </w:tcPr>
          <w:p>
            <w:pPr>
              <w:spacing w:after="0"/>
            </w:pPr>
            <w:r>
              <w:rPr>
                <w:rFonts w:ascii="Aptos" w:hAnsi="Aptos"/>
                <w:b/>
                <w:i w:val="0"/>
                <w:color w:val="FFFFFF"/>
                <w:sz w:val="16"/>
              </w:rPr>
              <w:t>Business consequence</w:t>
            </w:r>
          </w:p>
        </w:tc>
        <w:tc>
          <w:tcPr>
            <w:tcW w:type="dxa" w:w="4018"/>
            <w:shd w:fill="061828"/>
            <w:tcMar>
              <w:top w:w="90" w:type="dxa"/>
              <w:start w:w="120" w:type="dxa"/>
              <w:bottom w:w="90" w:type="dxa"/>
              <w:end w:w="120" w:type="dxa"/>
            </w:tcMar>
            <w:vAlign w:val="center"/>
          </w:tcPr>
          <w:p>
            <w:pPr>
              <w:spacing w:after="0"/>
            </w:pPr>
            <w:r>
              <w:rPr>
                <w:rFonts w:ascii="Aptos" w:hAnsi="Aptos"/>
                <w:b/>
                <w:i w:val="0"/>
                <w:color w:val="FFFFFF"/>
                <w:sz w:val="16"/>
              </w:rPr>
              <w:t>Masaar control</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02536"/>
                <w:sz w:val="16"/>
              </w:rPr>
              <w:t>Fragmented social orders</w:t>
            </w:r>
          </w:p>
        </w:tc>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Forgotten or duplicated work</w:t>
            </w:r>
          </w:p>
        </w:tc>
        <w:tc>
          <w:tcPr>
            <w:tcW w:type="dxa" w:w="4018"/>
            <w:tcMar>
              <w:top w:w="90" w:type="dxa"/>
              <w:start w:w="120" w:type="dxa"/>
              <w:bottom w:w="90" w:type="dxa"/>
              <w:end w:w="120" w:type="dxa"/>
            </w:tcMar>
            <w:vAlign w:val="center"/>
          </w:tcPr>
          <w:p>
            <w:pPr>
              <w:spacing w:after="0" w:line="245" w:lineRule="auto"/>
            </w:pPr>
            <w:r>
              <w:rPr>
                <w:rFonts w:ascii="Aptos" w:hAnsi="Aptos"/>
                <w:b w:val="0"/>
                <w:i w:val="0"/>
                <w:color w:val="102536"/>
                <w:sz w:val="16"/>
              </w:rPr>
              <w:t>Structured Quick Order + secure customer confirmation</w:t>
            </w:r>
          </w:p>
        </w:tc>
      </w:tr>
      <w:tr>
        <w:tc>
          <w:tcPr>
            <w:tcW w:type="dxa" w:w="244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Weak local addresses and mixed couriers</w:t>
            </w:r>
          </w:p>
        </w:tc>
        <w:tc>
          <w:tcPr>
            <w:tcW w:type="dxa" w:w="295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Failed attempts and disputed responsibility</w:t>
            </w:r>
          </w:p>
        </w:tc>
        <w:tc>
          <w:tcPr>
            <w:tcW w:type="dxa" w:w="401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Lebanese zones, landmarks, resources and immutable attempts</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02536"/>
                <w:sz w:val="16"/>
              </w:rPr>
              <w:t>USD/LBP volatility and incomplete costs</w:t>
            </w:r>
          </w:p>
        </w:tc>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Prices rise while real margin falls</w:t>
            </w:r>
          </w:p>
        </w:tc>
        <w:tc>
          <w:tcPr>
            <w:tcW w:type="dxa" w:w="4018"/>
            <w:tcMar>
              <w:top w:w="90" w:type="dxa"/>
              <w:start w:w="120" w:type="dxa"/>
              <w:bottom w:w="90" w:type="dxa"/>
              <w:end w:w="120" w:type="dxa"/>
            </w:tcMar>
            <w:vAlign w:val="center"/>
          </w:tcPr>
          <w:p>
            <w:pPr>
              <w:spacing w:after="0" w:line="245" w:lineRule="auto"/>
            </w:pPr>
            <w:r>
              <w:rPr>
                <w:rFonts w:ascii="Aptos" w:hAnsi="Aptos"/>
                <w:b w:val="0"/>
                <w:i w:val="0"/>
                <w:color w:val="102536"/>
                <w:sz w:val="16"/>
              </w:rPr>
              <w:t>FX snapshots, cost completeness and Price Studio</w:t>
            </w:r>
          </w:p>
        </w:tc>
      </w:tr>
      <w:tr>
        <w:tc>
          <w:tcPr>
            <w:tcW w:type="dxa" w:w="244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Cash-heavy delivery and local payments</w:t>
            </w:r>
          </w:p>
        </w:tc>
        <w:tc>
          <w:tcPr>
            <w:tcW w:type="dxa" w:w="295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Delivered is mistaken for paid; cash goes missing</w:t>
            </w:r>
          </w:p>
        </w:tc>
        <w:tc>
          <w:tcPr>
            <w:tcW w:type="dxa" w:w="401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Payment ledger, cash custody and reconciliation</w:t>
            </w:r>
          </w:p>
        </w:tc>
      </w:tr>
      <w:tr>
        <w:tc>
          <w:tcPr>
            <w:tcW w:type="dxa" w:w="2448"/>
            <w:tcMar>
              <w:top w:w="90" w:type="dxa"/>
              <w:start w:w="120" w:type="dxa"/>
              <w:bottom w:w="90" w:type="dxa"/>
              <w:end w:w="120" w:type="dxa"/>
            </w:tcMar>
            <w:vAlign w:val="center"/>
          </w:tcPr>
          <w:p>
            <w:pPr>
              <w:spacing w:after="0" w:line="245" w:lineRule="auto"/>
            </w:pPr>
            <w:r>
              <w:rPr>
                <w:rFonts w:ascii="Aptos" w:hAnsi="Aptos"/>
                <w:b w:val="0"/>
                <w:i w:val="0"/>
                <w:color w:val="102536"/>
                <w:sz w:val="16"/>
              </w:rPr>
              <w:t>Supply delays and low connectivity</w:t>
            </w:r>
          </w:p>
        </w:tc>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Stockouts, dead stock and late updates</w:t>
            </w:r>
          </w:p>
        </w:tc>
        <w:tc>
          <w:tcPr>
            <w:tcW w:type="dxa" w:w="4018"/>
            <w:tcMar>
              <w:top w:w="90" w:type="dxa"/>
              <w:start w:w="120" w:type="dxa"/>
              <w:bottom w:w="90" w:type="dxa"/>
              <w:end w:w="120" w:type="dxa"/>
            </w:tcMar>
            <w:vAlign w:val="center"/>
          </w:tcPr>
          <w:p>
            <w:pPr>
              <w:spacing w:after="0" w:line="245" w:lineRule="auto"/>
            </w:pPr>
            <w:r>
              <w:rPr>
                <w:rFonts w:ascii="Aptos" w:hAnsi="Aptos"/>
                <w:b w:val="0"/>
                <w:i w:val="0"/>
                <w:color w:val="102536"/>
                <w:sz w:val="16"/>
              </w:rPr>
              <w:t>Reservations, supplier radar and offline-aware driver queue</w:t>
            </w:r>
          </w:p>
        </w:tc>
      </w:tr>
    </w:tbl>
    <w:p>
      <w:pPr>
        <w:keepNext w:val="0"/>
        <w:spacing w:before="0" w:after="20" w:line="264" w:lineRule="auto"/>
      </w:pPr>
      <w:r>
        <w:rPr>
          <w:rFonts w:ascii="Aptos" w:hAnsi="Aptos"/>
          <w:b w:val="0"/>
          <w:i w:val="0"/>
          <w:color w:val="102536"/>
          <w:sz w:val="4"/>
        </w:rPr>
      </w:r>
    </w:p>
    <w:p>
      <w:pPr>
        <w:pStyle w:val="Heading2"/>
        <w:keepNext/>
        <w:pageBreakBefore w:val="0"/>
      </w:pPr>
      <w:r>
        <w:t>Focused product boundary</w:t>
      </w:r>
    </w:p>
    <w:p>
      <w:pPr>
        <w:keepNext w:val="0"/>
        <w:spacing w:before="0" w:after="100" w:line="264" w:lineRule="auto"/>
      </w:pPr>
      <w:r>
        <w:rPr>
          <w:rFonts w:ascii="Aptos" w:hAnsi="Aptos"/>
          <w:b w:val="0"/>
          <w:i w:val="0"/>
          <w:color w:val="102536"/>
          <w:sz w:val="20"/>
        </w:rPr>
        <w:t>Masaar does not replace Instagram, WhatsApp or a merchant’s storefront. It begins when the customer decides to order and owns the path until the parcel, payment, cash handover, stock consequence and business insight are all accountable.</w:t>
      </w:r>
    </w:p>
    <w:tbl>
      <w:tblPr>
        <w:tblW w:type="dxa" w:w="9420"/>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1570"/>
        <w:gridCol w:w="1570"/>
        <w:gridCol w:w="1570"/>
        <w:gridCol w:w="1570"/>
        <w:gridCol w:w="1570"/>
        <w:gridCol w:w="1570"/>
      </w:tblGrid>
      <w:tr>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CAPTURE</w:t>
            </w:r>
          </w:p>
        </w:tc>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CONFIRM</w:t>
            </w:r>
          </w:p>
        </w:tc>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FULFILL</w:t>
            </w:r>
          </w:p>
        </w:tc>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DELIVER</w:t>
            </w:r>
          </w:p>
        </w:tc>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COLLECT</w:t>
            </w:r>
          </w:p>
        </w:tc>
        <w:tc>
          <w:tcPr>
            <w:tcW w:type="dxa" w:w="1570"/>
            <w:shd w:fill="061828"/>
            <w:tcMar>
              <w:top w:w="90" w:type="dxa"/>
              <w:start w:w="120" w:type="dxa"/>
              <w:bottom w:w="90" w:type="dxa"/>
              <w:end w:w="120" w:type="dxa"/>
            </w:tcMar>
            <w:vAlign w:val="center"/>
          </w:tcPr>
          <w:p>
            <w:pPr>
              <w:spacing w:after="0"/>
            </w:pPr>
            <w:r>
              <w:rPr>
                <w:rFonts w:ascii="Aptos" w:hAnsi="Aptos"/>
                <w:b/>
                <w:i w:val="0"/>
                <w:color w:val="FFFFFF"/>
                <w:sz w:val="15"/>
              </w:rPr>
              <w:t>DECIDE</w:t>
            </w:r>
          </w:p>
        </w:tc>
      </w:tr>
      <w:tr>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Product + customer</w:t>
            </w:r>
          </w:p>
        </w:tc>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Secure address</w:t>
            </w:r>
          </w:p>
        </w:tc>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Prepare + reserve</w:t>
            </w:r>
          </w:p>
        </w:tc>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Assign + attempt</w:t>
            </w:r>
          </w:p>
        </w:tc>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Pay + reconcile</w:t>
            </w:r>
          </w:p>
        </w:tc>
        <w:tc>
          <w:tcPr>
            <w:tcW w:type="dxa" w:w="1570"/>
            <w:tcMar>
              <w:top w:w="90" w:type="dxa"/>
              <w:start w:w="120" w:type="dxa"/>
              <w:bottom w:w="90" w:type="dxa"/>
              <w:end w:w="120" w:type="dxa"/>
            </w:tcMar>
            <w:vAlign w:val="center"/>
          </w:tcPr>
          <w:p>
            <w:pPr>
              <w:spacing w:after="0" w:line="245" w:lineRule="auto"/>
            </w:pPr>
            <w:r>
              <w:rPr>
                <w:rFonts w:ascii="Aptos" w:hAnsi="Aptos"/>
                <w:b w:val="0"/>
                <w:i w:val="0"/>
                <w:color w:val="102536"/>
                <w:sz w:val="15"/>
              </w:rPr>
              <w:t>Explain + act</w:t>
            </w:r>
          </w:p>
        </w:tc>
      </w:tr>
    </w:tbl>
    <w:p>
      <w:pPr>
        <w:keepNext w:val="0"/>
        <w:spacing w:before="0" w:after="20" w:line="264" w:lineRule="auto"/>
      </w:pPr>
      <w:r>
        <w:rPr>
          <w:rFonts w:ascii="Aptos" w:hAnsi="Aptos"/>
          <w:b w:val="0"/>
          <w:i w:val="0"/>
          <w:color w:val="102536"/>
          <w:sz w:val="4"/>
        </w:rPr>
      </w:r>
    </w:p>
    <w:p>
      <w:pPr>
        <w:pStyle w:val="Heading2"/>
        <w:keepNext/>
        <w:pageBreakBefore w:val="0"/>
      </w:pPr>
      <w:r>
        <w:t>Lebanon-specific advantage</w:t>
      </w:r>
    </w:p>
    <w:p>
      <w:pPr>
        <w:pStyle w:val="ListBullet"/>
        <w:spacing w:after="60" w:line="264" w:lineRule="auto"/>
      </w:pPr>
      <w:r>
        <w:rPr>
          <w:rFonts w:ascii="Aptos" w:hAnsi="Aptos"/>
          <w:b w:val="0"/>
          <w:i w:val="0"/>
          <w:color w:val="102536"/>
          <w:sz w:val="18"/>
        </w:rPr>
        <w:t>Original USD/LBP values, owner-approved exchange-rate snapshots and honest margin confidence.</w:t>
      </w:r>
    </w:p>
    <w:p>
      <w:pPr>
        <w:pStyle w:val="ListBullet"/>
        <w:spacing w:after="60" w:line="264" w:lineRule="auto"/>
      </w:pPr>
      <w:r>
        <w:rPr>
          <w:rFonts w:ascii="Aptos" w:hAnsi="Aptos"/>
          <w:b w:val="0"/>
          <w:i w:val="0"/>
          <w:color w:val="102536"/>
          <w:sz w:val="18"/>
        </w:rPr>
        <w:t>Cash, Whish and OMT-friendly records; driver-held money remains visible until accepted handover.</w:t>
      </w:r>
    </w:p>
    <w:p>
      <w:pPr>
        <w:pStyle w:val="ListBullet"/>
        <w:spacing w:after="60" w:line="264" w:lineRule="auto"/>
      </w:pPr>
      <w:r>
        <w:rPr>
          <w:rFonts w:ascii="Aptos" w:hAnsi="Aptos"/>
          <w:b w:val="0"/>
          <w:i w:val="0"/>
          <w:color w:val="102536"/>
          <w:sz w:val="18"/>
        </w:rPr>
        <w:t>All governorates and unlimited served areas, standardized building/landmark fields and configurable internal, freelance or company delivery resources.</w:t>
      </w:r>
    </w:p>
    <w:p>
      <w:pPr>
        <w:pStyle w:val="ListBullet"/>
        <w:spacing w:after="60" w:line="264" w:lineRule="auto"/>
      </w:pPr>
      <w:r>
        <w:rPr>
          <w:rFonts w:ascii="Aptos" w:hAnsi="Aptos"/>
          <w:b w:val="0"/>
          <w:i w:val="0"/>
          <w:color w:val="102536"/>
          <w:sz w:val="18"/>
        </w:rPr>
        <w:t>Low-connectivity mobile behavior, supplier lead-time exposure and administrative reminders without pretending to provide legal advice.</w:t>
      </w:r>
    </w:p>
    <w:p>
      <w:pPr>
        <w:pageBreakBefore/>
        <w:spacing w:after="40"/>
      </w:pPr>
      <w:r>
        <w:rPr>
          <w:rFonts w:ascii="Aptos" w:hAnsi="Aptos"/>
          <w:b/>
          <w:i w:val="0"/>
          <w:color w:val="00AFA3"/>
          <w:sz w:val="16"/>
        </w:rPr>
        <w:t>IMPLEMENTED PRODUCT</w:t>
      </w:r>
    </w:p>
    <w:p>
      <w:pPr>
        <w:keepNext w:val="0"/>
        <w:spacing w:before="0" w:after="60" w:line="264" w:lineRule="auto"/>
      </w:pPr>
      <w:r>
        <w:rPr>
          <w:rFonts w:ascii="Aptos" w:hAnsi="Aptos"/>
          <w:b/>
          <w:i w:val="0"/>
          <w:color w:val="061828"/>
          <w:sz w:val="38"/>
        </w:rPr>
        <w:t>Operational truth becomes business intelligence</w:t>
      </w:r>
    </w:p>
    <w:p>
      <w:pPr>
        <w:keepNext w:val="0"/>
        <w:spacing w:before="0" w:after="180" w:line="264" w:lineRule="auto"/>
      </w:pPr>
      <w:r>
        <w:rPr>
          <w:rFonts w:ascii="Aptos" w:hAnsi="Aptos"/>
          <w:b w:val="0"/>
          <w:i/>
          <w:color w:val="60717D"/>
          <w:sz w:val="18"/>
        </w:rPr>
        <w:t>Every graph is downstream of a role-owned event; no decorative dashboard and no autonomous high-impact action.</w:t>
      </w:r>
    </w:p>
    <w:p>
      <w:pPr>
        <w:pStyle w:val="Heading2"/>
        <w:keepNext/>
        <w:pageBreakBefore w:val="0"/>
      </w:pPr>
      <w:r>
        <w:t>What judges can operate today</w:t>
      </w:r>
    </w:p>
    <w:tbl>
      <w:tblPr>
        <w:tblW w:type="dxa" w:w="9417"/>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1555"/>
        <w:gridCol w:w="3960"/>
        <w:gridCol w:w="3902"/>
      </w:tblGrid>
      <w:tr>
        <w:tc>
          <w:tcPr>
            <w:tcW w:type="dxa" w:w="1555"/>
            <w:shd w:fill="061828"/>
            <w:tcMar>
              <w:top w:w="90" w:type="dxa"/>
              <w:start w:w="120" w:type="dxa"/>
              <w:bottom w:w="90" w:type="dxa"/>
              <w:end w:w="120" w:type="dxa"/>
            </w:tcMar>
            <w:vAlign w:val="center"/>
          </w:tcPr>
          <w:p>
            <w:pPr>
              <w:spacing w:after="0"/>
            </w:pPr>
            <w:r>
              <w:rPr>
                <w:rFonts w:ascii="Aptos" w:hAnsi="Aptos"/>
                <w:b/>
                <w:i w:val="0"/>
                <w:color w:val="FFFFFF"/>
                <w:sz w:val="16"/>
              </w:rPr>
              <w:t>Workspace</w:t>
            </w:r>
          </w:p>
        </w:tc>
        <w:tc>
          <w:tcPr>
            <w:tcW w:type="dxa" w:w="3960"/>
            <w:shd w:fill="061828"/>
            <w:tcMar>
              <w:top w:w="90" w:type="dxa"/>
              <w:start w:w="120" w:type="dxa"/>
              <w:bottom w:w="90" w:type="dxa"/>
              <w:end w:w="120" w:type="dxa"/>
            </w:tcMar>
            <w:vAlign w:val="center"/>
          </w:tcPr>
          <w:p>
            <w:pPr>
              <w:spacing w:after="0"/>
            </w:pPr>
            <w:r>
              <w:rPr>
                <w:rFonts w:ascii="Aptos" w:hAnsi="Aptos"/>
                <w:b/>
                <w:i w:val="0"/>
                <w:color w:val="FFFFFF"/>
                <w:sz w:val="16"/>
              </w:rPr>
              <w:t>Implemented capability</w:t>
            </w:r>
          </w:p>
        </w:tc>
        <w:tc>
          <w:tcPr>
            <w:tcW w:type="dxa" w:w="3902"/>
            <w:shd w:fill="061828"/>
            <w:tcMar>
              <w:top w:w="90" w:type="dxa"/>
              <w:start w:w="120" w:type="dxa"/>
              <w:bottom w:w="90" w:type="dxa"/>
              <w:end w:w="120" w:type="dxa"/>
            </w:tcMar>
            <w:vAlign w:val="center"/>
          </w:tcPr>
          <w:p>
            <w:pPr>
              <w:spacing w:after="0"/>
            </w:pPr>
            <w:r>
              <w:rPr>
                <w:rFonts w:ascii="Aptos" w:hAnsi="Aptos"/>
                <w:b/>
                <w:i w:val="0"/>
                <w:color w:val="FFFFFF"/>
                <w:sz w:val="16"/>
              </w:rPr>
              <w:t>Decision/value</w:t>
            </w:r>
          </w:p>
        </w:tc>
      </w:tr>
      <w:tr>
        <w:tc>
          <w:tcPr>
            <w:tcW w:type="dxa" w:w="1555"/>
            <w:tcMar>
              <w:top w:w="90" w:type="dxa"/>
              <w:start w:w="120" w:type="dxa"/>
              <w:bottom w:w="90" w:type="dxa"/>
              <w:end w:w="120" w:type="dxa"/>
            </w:tcMar>
            <w:vAlign w:val="center"/>
          </w:tcPr>
          <w:p>
            <w:pPr>
              <w:spacing w:after="0" w:line="245" w:lineRule="auto"/>
            </w:pPr>
            <w:r>
              <w:rPr>
                <w:rFonts w:ascii="Aptos" w:hAnsi="Aptos"/>
                <w:b w:val="0"/>
                <w:i w:val="0"/>
                <w:color w:val="102536"/>
                <w:sz w:val="16"/>
              </w:rPr>
              <w:t>Owner</w:t>
            </w:r>
          </w:p>
        </w:tc>
        <w:tc>
          <w:tcPr>
            <w:tcW w:type="dxa" w:w="3960"/>
            <w:tcMar>
              <w:top w:w="90" w:type="dxa"/>
              <w:start w:w="120" w:type="dxa"/>
              <w:bottom w:w="90" w:type="dxa"/>
              <w:end w:w="120" w:type="dxa"/>
            </w:tcMar>
            <w:vAlign w:val="center"/>
          </w:tcPr>
          <w:p>
            <w:pPr>
              <w:spacing w:after="0" w:line="245" w:lineRule="auto"/>
            </w:pPr>
            <w:r>
              <w:rPr>
                <w:rFonts w:ascii="Aptos" w:hAnsi="Aptos"/>
                <w:b w:val="0"/>
                <w:i w:val="0"/>
                <w:color w:val="102536"/>
                <w:sz w:val="16"/>
              </w:rPr>
              <w:t>Action Center, approvals, setup, audit and full intelligence</w:t>
            </w:r>
          </w:p>
        </w:tc>
        <w:tc>
          <w:tcPr>
            <w:tcW w:type="dxa" w:w="3902"/>
            <w:tcMar>
              <w:top w:w="90" w:type="dxa"/>
              <w:start w:w="120" w:type="dxa"/>
              <w:bottom w:w="90" w:type="dxa"/>
              <w:end w:w="120" w:type="dxa"/>
            </w:tcMar>
            <w:vAlign w:val="center"/>
          </w:tcPr>
          <w:p>
            <w:pPr>
              <w:spacing w:after="0" w:line="245" w:lineRule="auto"/>
            </w:pPr>
            <w:r>
              <w:rPr>
                <w:rFonts w:ascii="Aptos" w:hAnsi="Aptos"/>
                <w:b w:val="0"/>
                <w:i w:val="0"/>
                <w:color w:val="102536"/>
                <w:sz w:val="16"/>
              </w:rPr>
              <w:t>See the business and assign the next action.</w:t>
            </w:r>
          </w:p>
        </w:tc>
      </w:tr>
      <w:tr>
        <w:tc>
          <w:tcPr>
            <w:tcW w:type="dxa" w:w="1555"/>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Employee</w:t>
            </w:r>
          </w:p>
        </w:tc>
        <w:tc>
          <w:tcPr>
            <w:tcW w:type="dxa" w:w="3960"/>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Catalog, customers, orders, packing, payments, stock and returns</w:t>
            </w:r>
          </w:p>
        </w:tc>
        <w:tc>
          <w:tcPr>
            <w:tcW w:type="dxa" w:w="390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Process work without owner-level noise.</w:t>
            </w:r>
          </w:p>
        </w:tc>
      </w:tr>
      <w:tr>
        <w:tc>
          <w:tcPr>
            <w:tcW w:type="dxa" w:w="1555"/>
            <w:tcMar>
              <w:top w:w="90" w:type="dxa"/>
              <w:start w:w="120" w:type="dxa"/>
              <w:bottom w:w="90" w:type="dxa"/>
              <w:end w:w="120" w:type="dxa"/>
            </w:tcMar>
            <w:vAlign w:val="center"/>
          </w:tcPr>
          <w:p>
            <w:pPr>
              <w:spacing w:after="0" w:line="245" w:lineRule="auto"/>
            </w:pPr>
            <w:r>
              <w:rPr>
                <w:rFonts w:ascii="Aptos" w:hAnsi="Aptos"/>
                <w:b w:val="0"/>
                <w:i w:val="0"/>
                <w:color w:val="102536"/>
                <w:sz w:val="16"/>
              </w:rPr>
              <w:t>Driver</w:t>
            </w:r>
          </w:p>
        </w:tc>
        <w:tc>
          <w:tcPr>
            <w:tcW w:type="dxa" w:w="3960"/>
            <w:tcMar>
              <w:top w:w="90" w:type="dxa"/>
              <w:start w:w="120" w:type="dxa"/>
              <w:bottom w:w="90" w:type="dxa"/>
              <w:end w:w="120" w:type="dxa"/>
            </w:tcMar>
            <w:vAlign w:val="center"/>
          </w:tcPr>
          <w:p>
            <w:pPr>
              <w:spacing w:after="0" w:line="245" w:lineRule="auto"/>
            </w:pPr>
            <w:r>
              <w:rPr>
                <w:rFonts w:ascii="Aptos" w:hAnsi="Aptos"/>
                <w:b w:val="0"/>
                <w:i w:val="0"/>
                <w:color w:val="102536"/>
                <w:sz w:val="16"/>
              </w:rPr>
              <w:t>Assigned stops, call/address, amount due, attempt result and collection</w:t>
            </w:r>
          </w:p>
        </w:tc>
        <w:tc>
          <w:tcPr>
            <w:tcW w:type="dxa" w:w="3902"/>
            <w:tcMar>
              <w:top w:w="90" w:type="dxa"/>
              <w:start w:w="120" w:type="dxa"/>
              <w:bottom w:w="90" w:type="dxa"/>
              <w:end w:w="120" w:type="dxa"/>
            </w:tcMar>
            <w:vAlign w:val="center"/>
          </w:tcPr>
          <w:p>
            <w:pPr>
              <w:spacing w:after="0" w:line="245" w:lineRule="auto"/>
            </w:pPr>
            <w:r>
              <w:rPr>
                <w:rFonts w:ascii="Aptos" w:hAnsi="Aptos"/>
                <w:b w:val="0"/>
                <w:i w:val="0"/>
                <w:color w:val="102536"/>
                <w:sz w:val="16"/>
              </w:rPr>
              <w:t>One phone-first route; cash remains accountable.</w:t>
            </w:r>
          </w:p>
        </w:tc>
      </w:tr>
      <w:tr>
        <w:tc>
          <w:tcPr>
            <w:tcW w:type="dxa" w:w="1555"/>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Analyst</w:t>
            </w:r>
          </w:p>
        </w:tc>
        <w:tc>
          <w:tcPr>
            <w:tcW w:type="dxa" w:w="3960"/>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Read-only operational evidence and BI</w:t>
            </w:r>
          </w:p>
        </w:tc>
        <w:tc>
          <w:tcPr>
            <w:tcW w:type="dxa" w:w="390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Inspect performance without changing records.</w:t>
            </w:r>
          </w:p>
        </w:tc>
      </w:tr>
      <w:tr>
        <w:tc>
          <w:tcPr>
            <w:tcW w:type="dxa" w:w="1555"/>
            <w:tcMar>
              <w:top w:w="90" w:type="dxa"/>
              <w:start w:w="120" w:type="dxa"/>
              <w:bottom w:w="90" w:type="dxa"/>
              <w:end w:w="120" w:type="dxa"/>
            </w:tcMar>
            <w:vAlign w:val="center"/>
          </w:tcPr>
          <w:p>
            <w:pPr>
              <w:spacing w:after="0" w:line="245" w:lineRule="auto"/>
            </w:pPr>
            <w:r>
              <w:rPr>
                <w:rFonts w:ascii="Aptos" w:hAnsi="Aptos"/>
                <w:b w:val="0"/>
                <w:i w:val="0"/>
                <w:color w:val="102536"/>
                <w:sz w:val="16"/>
              </w:rPr>
              <w:t>Customer</w:t>
            </w:r>
          </w:p>
        </w:tc>
        <w:tc>
          <w:tcPr>
            <w:tcW w:type="dxa" w:w="3960"/>
            <w:tcMar>
              <w:top w:w="90" w:type="dxa"/>
              <w:start w:w="120" w:type="dxa"/>
              <w:bottom w:w="90" w:type="dxa"/>
              <w:end w:w="120" w:type="dxa"/>
            </w:tcMar>
            <w:vAlign w:val="center"/>
          </w:tcPr>
          <w:p>
            <w:pPr>
              <w:spacing w:after="0" w:line="245" w:lineRule="auto"/>
            </w:pPr>
            <w:r>
              <w:rPr>
                <w:rFonts w:ascii="Aptos" w:hAnsi="Aptos"/>
                <w:b w:val="0"/>
                <w:i w:val="0"/>
                <w:color w:val="102536"/>
                <w:sz w:val="16"/>
              </w:rPr>
              <w:t>No-account confirmation and safe tracking link</w:t>
            </w:r>
          </w:p>
        </w:tc>
        <w:tc>
          <w:tcPr>
            <w:tcW w:type="dxa" w:w="3902"/>
            <w:tcMar>
              <w:top w:w="90" w:type="dxa"/>
              <w:start w:w="120" w:type="dxa"/>
              <w:bottom w:w="90" w:type="dxa"/>
              <w:end w:w="120" w:type="dxa"/>
            </w:tcMar>
            <w:vAlign w:val="center"/>
          </w:tcPr>
          <w:p>
            <w:pPr>
              <w:spacing w:after="0" w:line="245" w:lineRule="auto"/>
            </w:pPr>
            <w:r>
              <w:rPr>
                <w:rFonts w:ascii="Aptos" w:hAnsi="Aptos"/>
                <w:b w:val="0"/>
                <w:i w:val="0"/>
                <w:color w:val="102536"/>
                <w:sz w:val="16"/>
              </w:rPr>
              <w:t>Correct the address once and follow progress securely.</w:t>
            </w:r>
          </w:p>
        </w:tc>
      </w:tr>
    </w:tbl>
    <w:p>
      <w:pPr>
        <w:keepNext w:val="0"/>
        <w:spacing w:before="0" w:after="20" w:line="264" w:lineRule="auto"/>
      </w:pPr>
      <w:r>
        <w:rPr>
          <w:rFonts w:ascii="Aptos" w:hAnsi="Aptos"/>
          <w:b w:val="0"/>
          <w:i w:val="0"/>
          <w:color w:val="102536"/>
          <w:sz w:val="4"/>
        </w:rPr>
      </w:r>
    </w:p>
    <w:p>
      <w:pPr>
        <w:pStyle w:val="Heading2"/>
        <w:keepNext/>
        <w:pageBreakBefore w:val="0"/>
      </w:pPr>
      <w:r>
        <w:t>Decision intelligence that changes action</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880"/>
        <w:gridCol w:w="6538"/>
      </w:tblGrid>
      <w:tr>
        <w:tc>
          <w:tcPr>
            <w:tcW w:type="dxa" w:w="2880"/>
            <w:shd w:fill="061828"/>
            <w:tcMar>
              <w:top w:w="90" w:type="dxa"/>
              <w:start w:w="120" w:type="dxa"/>
              <w:bottom w:w="90" w:type="dxa"/>
              <w:end w:w="120" w:type="dxa"/>
            </w:tcMar>
            <w:vAlign w:val="center"/>
          </w:tcPr>
          <w:p>
            <w:pPr>
              <w:spacing w:after="0"/>
            </w:pPr>
            <w:r>
              <w:rPr>
                <w:rFonts w:ascii="Aptos" w:hAnsi="Aptos"/>
                <w:b/>
                <w:i w:val="0"/>
                <w:color w:val="FFFFFF"/>
                <w:sz w:val="16"/>
              </w:rPr>
              <w:t>Question</w:t>
            </w:r>
          </w:p>
        </w:tc>
        <w:tc>
          <w:tcPr>
            <w:tcW w:type="dxa" w:w="6538"/>
            <w:shd w:fill="061828"/>
            <w:tcMar>
              <w:top w:w="90" w:type="dxa"/>
              <w:start w:w="120" w:type="dxa"/>
              <w:bottom w:w="90" w:type="dxa"/>
              <w:end w:w="120" w:type="dxa"/>
            </w:tcMar>
            <w:vAlign w:val="center"/>
          </w:tcPr>
          <w:p>
            <w:pPr>
              <w:spacing w:after="0"/>
            </w:pPr>
            <w:r>
              <w:rPr>
                <w:rFonts w:ascii="Aptos" w:hAnsi="Aptos"/>
                <w:b/>
                <w:i w:val="0"/>
                <w:color w:val="FFFFFF"/>
                <w:sz w:val="16"/>
              </w:rPr>
              <w:t>Masaar answer</w:t>
            </w:r>
          </w:p>
        </w:tc>
      </w:tr>
      <w:tr>
        <w:tc>
          <w:tcPr>
            <w:tcW w:type="dxa" w:w="2880"/>
            <w:tcMar>
              <w:top w:w="90" w:type="dxa"/>
              <w:start w:w="120" w:type="dxa"/>
              <w:bottom w:w="90" w:type="dxa"/>
              <w:end w:w="120" w:type="dxa"/>
            </w:tcMar>
            <w:vAlign w:val="center"/>
          </w:tcPr>
          <w:p>
            <w:pPr>
              <w:spacing w:after="0" w:line="245" w:lineRule="auto"/>
            </w:pPr>
            <w:r>
              <w:rPr>
                <w:rFonts w:ascii="Aptos" w:hAnsi="Aptos"/>
                <w:b w:val="0"/>
                <w:i w:val="0"/>
                <w:color w:val="102536"/>
                <w:sz w:val="16"/>
              </w:rPr>
              <w:t>Are sales becoming cash?</w:t>
            </w:r>
          </w:p>
        </w:tc>
        <w:tc>
          <w:tcPr>
            <w:tcW w:type="dxa" w:w="6538"/>
            <w:tcMar>
              <w:top w:w="90" w:type="dxa"/>
              <w:start w:w="120" w:type="dxa"/>
              <w:bottom w:w="90" w:type="dxa"/>
              <w:end w:w="120" w:type="dxa"/>
            </w:tcMar>
            <w:vAlign w:val="center"/>
          </w:tcPr>
          <w:p>
            <w:pPr>
              <w:spacing w:after="0" w:line="245" w:lineRule="auto"/>
            </w:pPr>
            <w:r>
              <w:rPr>
                <w:rFonts w:ascii="Aptos" w:hAnsi="Aptos"/>
                <w:b w:val="0"/>
                <w:i w:val="0"/>
                <w:color w:val="102536"/>
                <w:sz w:val="16"/>
              </w:rPr>
              <w:t>Revenue, recognized sales, collected amount, outstanding balance and cash by current holder are separate.</w:t>
            </w:r>
          </w:p>
        </w:tc>
      </w:tr>
      <w:tr>
        <w:tc>
          <w:tcPr>
            <w:tcW w:type="dxa" w:w="2880"/>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What truly earns?</w:t>
            </w:r>
          </w:p>
        </w:tc>
        <w:tc>
          <w:tcPr>
            <w:tcW w:type="dxa" w:w="653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Product/channel revenue, cost completeness and gross contribution are shown without calling incomplete data net profit.</w:t>
            </w:r>
          </w:p>
        </w:tc>
      </w:tr>
      <w:tr>
        <w:tc>
          <w:tcPr>
            <w:tcW w:type="dxa" w:w="2880"/>
            <w:tcMar>
              <w:top w:w="90" w:type="dxa"/>
              <w:start w:w="120" w:type="dxa"/>
              <w:bottom w:w="90" w:type="dxa"/>
              <w:end w:w="120" w:type="dxa"/>
            </w:tcMar>
            <w:vAlign w:val="center"/>
          </w:tcPr>
          <w:p>
            <w:pPr>
              <w:spacing w:after="0" w:line="245" w:lineRule="auto"/>
            </w:pPr>
            <w:r>
              <w:rPr>
                <w:rFonts w:ascii="Aptos" w:hAnsi="Aptos"/>
                <w:b w:val="0"/>
                <w:i w:val="0"/>
                <w:color w:val="102536"/>
                <w:sz w:val="16"/>
              </w:rPr>
              <w:t>Where is delivery leaking?</w:t>
            </w:r>
          </w:p>
        </w:tc>
        <w:tc>
          <w:tcPr>
            <w:tcW w:type="dxa" w:w="6538"/>
            <w:tcMar>
              <w:top w:w="90" w:type="dxa"/>
              <w:start w:w="120" w:type="dxa"/>
              <w:bottom w:w="90" w:type="dxa"/>
              <w:end w:w="120" w:type="dxa"/>
            </w:tcMar>
            <w:vAlign w:val="center"/>
          </w:tcPr>
          <w:p>
            <w:pPr>
              <w:spacing w:after="0" w:line="245" w:lineRule="auto"/>
            </w:pPr>
            <w:r>
              <w:rPr>
                <w:rFonts w:ascii="Aptos" w:hAnsi="Aptos"/>
                <w:b w:val="0"/>
                <w:i w:val="0"/>
                <w:color w:val="102536"/>
                <w:sz w:val="16"/>
              </w:rPr>
              <w:t>Lebanon area growth map, success rate, first-attempt rate, cost and failure-reason Pareto.</w:t>
            </w:r>
          </w:p>
        </w:tc>
      </w:tr>
      <w:tr>
        <w:tc>
          <w:tcPr>
            <w:tcW w:type="dxa" w:w="2880"/>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What should we stock?</w:t>
            </w:r>
          </w:p>
        </w:tc>
        <w:tc>
          <w:tcPr>
            <w:tcW w:type="dxa" w:w="653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Available vs reserved, velocity, lead time, restock cash and explainable recommendation.</w:t>
            </w:r>
          </w:p>
        </w:tc>
      </w:tr>
      <w:tr>
        <w:tc>
          <w:tcPr>
            <w:tcW w:type="dxa" w:w="2880"/>
            <w:tcMar>
              <w:top w:w="90" w:type="dxa"/>
              <w:start w:w="120" w:type="dxa"/>
              <w:bottom w:w="90" w:type="dxa"/>
              <w:end w:w="120" w:type="dxa"/>
            </w:tcMar>
            <w:vAlign w:val="center"/>
          </w:tcPr>
          <w:p>
            <w:pPr>
              <w:spacing w:after="0" w:line="245" w:lineRule="auto"/>
            </w:pPr>
            <w:r>
              <w:rPr>
                <w:rFonts w:ascii="Aptos" w:hAnsi="Aptos"/>
                <w:b w:val="0"/>
                <w:i w:val="0"/>
                <w:color w:val="102536"/>
                <w:sz w:val="16"/>
              </w:rPr>
              <w:t>Who will buy again?</w:t>
            </w:r>
          </w:p>
        </w:tc>
        <w:tc>
          <w:tcPr>
            <w:tcW w:type="dxa" w:w="6538"/>
            <w:tcMar>
              <w:top w:w="90" w:type="dxa"/>
              <w:start w:w="120" w:type="dxa"/>
              <w:bottom w:w="90" w:type="dxa"/>
              <w:end w:w="120" w:type="dxa"/>
            </w:tcMar>
            <w:vAlign w:val="center"/>
          </w:tcPr>
          <w:p>
            <w:pPr>
              <w:spacing w:after="0" w:line="245" w:lineRule="auto"/>
            </w:pPr>
            <w:r>
              <w:rPr>
                <w:rFonts w:ascii="Aptos" w:hAnsi="Aptos"/>
                <w:b w:val="0"/>
                <w:i w:val="0"/>
                <w:color w:val="102536"/>
                <w:sz w:val="16"/>
              </w:rPr>
              <w:t>New/repeat cohorts, segments and observed value—private reliability caution is never a blacklist.</w:t>
            </w:r>
          </w:p>
        </w:tc>
      </w:tr>
      <w:tr>
        <w:tc>
          <w:tcPr>
            <w:tcW w:type="dxa" w:w="2880"/>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What needs attention now?</w:t>
            </w:r>
          </w:p>
        </w:tc>
        <w:tc>
          <w:tcPr>
            <w:tcW w:type="dxa" w:w="6538"/>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Ranked alerts link directly to Payments, Delivery, Stock, Orders or Customers with evidence.</w:t>
            </w:r>
          </w:p>
        </w:tc>
      </w:tr>
    </w:tbl>
    <w:p>
      <w:pPr>
        <w:keepNext w:val="0"/>
        <w:spacing w:before="0" w:after="20" w:line="264" w:lineRule="auto"/>
      </w:pPr>
      <w:r>
        <w:rPr>
          <w:rFonts w:ascii="Aptos" w:hAnsi="Aptos"/>
          <w:b w:val="0"/>
          <w:i w:val="0"/>
          <w:color w:val="102536"/>
          <w:sz w:val="4"/>
        </w:rPr>
      </w:r>
    </w:p>
    <w:p>
      <w:pPr>
        <w:pStyle w:val="Heading2"/>
        <w:keepNext/>
        <w:pageBreakBefore w:val="0"/>
      </w:pPr>
      <w:r>
        <w:t>Governed forecast and assistant</w:t>
      </w:r>
    </w:p>
    <w:p>
      <w:pPr>
        <w:pStyle w:val="ListBullet"/>
        <w:spacing w:after="60" w:line="264" w:lineRule="auto"/>
      </w:pPr>
      <w:r>
        <w:rPr>
          <w:rFonts w:ascii="Aptos" w:hAnsi="Aptos"/>
          <w:b w:val="0"/>
          <w:i w:val="0"/>
          <w:color w:val="102536"/>
          <w:sz w:val="18"/>
        </w:rPr>
        <w:t>Forecasts are ranges with method, history window and confidence—not promises.</w:t>
      </w:r>
    </w:p>
    <w:p>
      <w:pPr>
        <w:pStyle w:val="ListBullet"/>
        <w:spacing w:after="60" w:line="264" w:lineRule="auto"/>
      </w:pPr>
      <w:r>
        <w:rPr>
          <w:rFonts w:ascii="Aptos" w:hAnsi="Aptos"/>
          <w:b w:val="0"/>
          <w:i w:val="0"/>
          <w:color w:val="102536"/>
          <w:sz w:val="18"/>
        </w:rPr>
        <w:t>Scenario planning changes assumptions only; it never silently changes real prices or inventory.</w:t>
      </w:r>
    </w:p>
    <w:p>
      <w:pPr>
        <w:pStyle w:val="ListBullet"/>
        <w:spacing w:after="60" w:line="264" w:lineRule="auto"/>
      </w:pPr>
      <w:r>
        <w:rPr>
          <w:rFonts w:ascii="Aptos" w:hAnsi="Aptos"/>
          <w:b w:val="0"/>
          <w:i w:val="0"/>
          <w:color w:val="102536"/>
          <w:sz w:val="18"/>
        </w:rPr>
        <w:t>Masaar AI answers from the authorized tenant’s records, cites facts and states what it cannot know.</w:t>
      </w:r>
    </w:p>
    <w:tbl>
      <w:tblPr>
        <w:tblW w:type="dxa" w:w="9360"/>
        <w:tblLayout w:type="fixed"/>
        <w:tblLook w:firstColumn="1" w:firstRow="1" w:lastColumn="0" w:lastRow="0" w:noHBand="0" w:noVBand="1" w:val="04A0"/>
        <w:tblInd w:w="120" w:type="dxa"/>
        <w:tblBorders>
          <w:top w:val="single" w:sz="5" w:color="00AFA3"/>
          <w:left w:val="single" w:sz="5" w:color="00AFA3"/>
          <w:bottom w:val="single" w:sz="5" w:color="00AFA3"/>
          <w:right w:val="single" w:sz="5" w:color="00AFA3"/>
          <w:insideH w:val="single" w:sz="5" w:color="00AFA3"/>
          <w:insideV w:val="single" w:sz="5" w:color="00AFA3"/>
        </w:tblBorders>
      </w:tblPr>
      <w:tblGrid>
        <w:gridCol w:w="9360"/>
      </w:tblGrid>
      <w:tr>
        <w:tc>
          <w:tcPr>
            <w:tcW w:type="dxa" w:w="9360"/>
            <w:shd w:fill="EAF8F6"/>
            <w:tcMar>
              <w:top w:w="120" w:type="dxa"/>
              <w:start w:w="150" w:type="dxa"/>
              <w:bottom w:w="120" w:type="dxa"/>
              <w:end w:w="150" w:type="dxa"/>
            </w:tcMar>
          </w:tcPr>
          <w:p>
            <w:pPr>
              <w:spacing w:after="0"/>
            </w:pPr>
            <w:r>
              <w:rPr>
                <w:rFonts w:ascii="Aptos" w:hAnsi="Aptos"/>
                <w:b/>
                <w:i w:val="0"/>
                <w:color w:val="00AFA3"/>
                <w:sz w:val="19"/>
              </w:rPr>
              <w:t xml:space="preserve">Critical distinction: </w:t>
            </w:r>
            <w:r>
              <w:rPr>
                <w:rFonts w:ascii="Aptos" w:hAnsi="Aptos"/>
                <w:b w:val="0"/>
                <w:i w:val="0"/>
                <w:color w:val="102536"/>
                <w:sz w:val="19"/>
              </w:rPr>
              <w:t>Delivery status, payment status and physical cash custody are three different truths. This is the core accountability innovation.</w:t>
            </w:r>
          </w:p>
        </w:tc>
      </w:tr>
    </w:tbl>
    <w:p>
      <w:pPr>
        <w:keepNext w:val="0"/>
        <w:spacing w:before="0" w:after="20" w:line="264" w:lineRule="auto"/>
      </w:pPr>
      <w:r>
        <w:rPr>
          <w:rFonts w:ascii="Aptos" w:hAnsi="Aptos"/>
          <w:b w:val="0"/>
          <w:i w:val="0"/>
          <w:color w:val="102536"/>
          <w:sz w:val="4"/>
        </w:rPr>
      </w:r>
    </w:p>
    <w:p>
      <w:pPr>
        <w:pageBreakBefore/>
        <w:spacing w:after="40"/>
      </w:pPr>
      <w:r>
        <w:rPr>
          <w:rFonts w:ascii="Aptos" w:hAnsi="Aptos"/>
          <w:b/>
          <w:i w:val="0"/>
          <w:color w:val="00AFA3"/>
          <w:sz w:val="16"/>
        </w:rPr>
        <w:t>ARCHITECTURAL DESIGN</w:t>
      </w:r>
    </w:p>
    <w:p>
      <w:pPr>
        <w:keepNext w:val="0"/>
        <w:spacing w:before="0" w:after="60" w:line="264" w:lineRule="auto"/>
      </w:pPr>
      <w:r>
        <w:rPr>
          <w:rFonts w:ascii="Aptos" w:hAnsi="Aptos"/>
          <w:b/>
          <w:i w:val="0"/>
          <w:color w:val="061828"/>
          <w:sz w:val="38"/>
        </w:rPr>
        <w:t>Production-grade, tenant-scoped and AWS-ready</w:t>
      </w:r>
    </w:p>
    <w:p>
      <w:pPr>
        <w:keepNext w:val="0"/>
        <w:spacing w:before="0" w:after="180" w:line="264" w:lineRule="auto"/>
      </w:pPr>
      <w:r>
        <w:rPr>
          <w:rFonts w:ascii="Aptos" w:hAnsi="Aptos"/>
          <w:b w:val="0"/>
          <w:i/>
          <w:color w:val="60717D"/>
          <w:sz w:val="18"/>
        </w:rPr>
        <w:t>Shared contracts, explicit trust boundaries and SQL Server operational views support both application workflows and judge-visible BI.</w:t>
      </w:r>
    </w:p>
    <w:p>
      <w:pPr>
        <w:spacing w:after="140"/>
        <w:jc w:val="center"/>
      </w:pPr>
      <w:r>
        <w:drawing>
          <wp:inline xmlns:a="http://schemas.openxmlformats.org/drawingml/2006/main" xmlns:pic="http://schemas.openxmlformats.org/drawingml/2006/picture">
            <wp:extent cx="6126480" cy="3553358"/>
            <wp:docPr id="3" name="Picture 3"/>
            <wp:cNvGraphicFramePr>
              <a:graphicFrameLocks noChangeAspect="1"/>
            </wp:cNvGraphicFramePr>
            <a:graphic>
              <a:graphicData uri="http://schemas.openxmlformats.org/drawingml/2006/picture">
                <pic:pic>
                  <pic:nvPicPr>
                    <pic:cNvPr id="0" name="Masaar_Architecture_Diagram.png"/>
                    <pic:cNvPicPr/>
                  </pic:nvPicPr>
                  <pic:blipFill>
                    <a:blip r:embed="rId13"/>
                    <a:stretch>
                      <a:fillRect/>
                    </a:stretch>
                  </pic:blipFill>
                  <pic:spPr>
                    <a:xfrm>
                      <a:off x="0" y="0"/>
                      <a:ext cx="6126480" cy="3553358"/>
                    </a:xfrm>
                    <a:prstGeom prst="rect"/>
                  </pic:spPr>
                </pic:pic>
              </a:graphicData>
            </a:graphic>
          </wp:inline>
        </w:drawing>
      </w:r>
    </w:p>
    <w:p>
      <w:pPr>
        <w:keepNext w:val="0"/>
        <w:spacing w:before="0" w:after="120" w:line="264" w:lineRule="auto"/>
        <w:jc w:val="center"/>
      </w:pPr>
      <w:r>
        <w:rPr>
          <w:rFonts w:ascii="Aptos" w:hAnsi="Aptos"/>
          <w:b w:val="0"/>
          <w:i/>
          <w:color w:val="60717D"/>
          <w:sz w:val="16"/>
        </w:rPr>
        <w:t>Figure 1. Masaar production architecture and security boundary.</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952"/>
        <w:gridCol w:w="6466"/>
      </w:tblGrid>
      <w:tr>
        <w:tc>
          <w:tcPr>
            <w:tcW w:type="dxa" w:w="2952"/>
            <w:shd w:fill="061828"/>
            <w:tcMar>
              <w:top w:w="90" w:type="dxa"/>
              <w:start w:w="120" w:type="dxa"/>
              <w:bottom w:w="90" w:type="dxa"/>
              <w:end w:w="120" w:type="dxa"/>
            </w:tcMar>
            <w:vAlign w:val="center"/>
          </w:tcPr>
          <w:p>
            <w:pPr>
              <w:spacing w:after="0"/>
            </w:pPr>
            <w:r>
              <w:rPr>
                <w:rFonts w:ascii="Aptos" w:hAnsi="Aptos"/>
                <w:b/>
                <w:i w:val="0"/>
                <w:color w:val="FFFFFF"/>
                <w:sz w:val="16"/>
              </w:rPr>
              <w:t>Design choice</w:t>
            </w:r>
          </w:p>
        </w:tc>
        <w:tc>
          <w:tcPr>
            <w:tcW w:type="dxa" w:w="6466"/>
            <w:shd w:fill="061828"/>
            <w:tcMar>
              <w:top w:w="90" w:type="dxa"/>
              <w:start w:w="120" w:type="dxa"/>
              <w:bottom w:w="90" w:type="dxa"/>
              <w:end w:w="120" w:type="dxa"/>
            </w:tcMar>
            <w:vAlign w:val="center"/>
          </w:tcPr>
          <w:p>
            <w:pPr>
              <w:spacing w:after="0"/>
            </w:pPr>
            <w:r>
              <w:rPr>
                <w:rFonts w:ascii="Aptos" w:hAnsi="Aptos"/>
                <w:b/>
                <w:i w:val="0"/>
                <w:color w:val="FFFFFF"/>
                <w:sz w:val="16"/>
              </w:rPr>
              <w:t>Why it matters</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React/TypeScript + Tailwind + Recharts</w:t>
            </w:r>
          </w:p>
        </w:tc>
        <w:tc>
          <w:tcPr>
            <w:tcW w:type="dxa" w:w="6466"/>
            <w:tcMar>
              <w:top w:w="90" w:type="dxa"/>
              <w:start w:w="120" w:type="dxa"/>
              <w:bottom w:w="90" w:type="dxa"/>
              <w:end w:w="120" w:type="dxa"/>
            </w:tcMar>
            <w:vAlign w:val="center"/>
          </w:tcPr>
          <w:p>
            <w:pPr>
              <w:spacing w:after="0" w:line="245" w:lineRule="auto"/>
            </w:pPr>
            <w:r>
              <w:rPr>
                <w:rFonts w:ascii="Aptos" w:hAnsi="Aptos"/>
                <w:b w:val="0"/>
                <w:i w:val="0"/>
                <w:color w:val="102536"/>
                <w:sz w:val="16"/>
              </w:rPr>
              <w:t>One responsive PWA for owner, employee, analyst and driver; visible hierarchy without separate mobile codebases.</w:t>
            </w:r>
          </w:p>
        </w:tc>
      </w:tr>
      <w:tr>
        <w:tc>
          <w:tcPr>
            <w:tcW w:type="dxa" w:w="295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Node.js/Fastify + shared Zod contracts</w:t>
            </w:r>
          </w:p>
        </w:tc>
        <w:tc>
          <w:tcPr>
            <w:tcW w:type="dxa" w:w="6466"/>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The same schemas validate UI inputs, API payloads and tests; failures are explicit and auditable.</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RDS for Microsoft SQL Server</w:t>
            </w:r>
          </w:p>
        </w:tc>
        <w:tc>
          <w:tcPr>
            <w:tcW w:type="dxa" w:w="6466"/>
            <w:tcMar>
              <w:top w:w="90" w:type="dxa"/>
              <w:start w:w="120" w:type="dxa"/>
              <w:bottom w:w="90" w:type="dxa"/>
              <w:end w:w="120" w:type="dxa"/>
            </w:tcMar>
            <w:vAlign w:val="center"/>
          </w:tcPr>
          <w:p>
            <w:pPr>
              <w:spacing w:after="0" w:line="245" w:lineRule="auto"/>
            </w:pPr>
            <w:r>
              <w:rPr>
                <w:rFonts w:ascii="Aptos" w:hAnsi="Aptos"/>
                <w:b w:val="0"/>
                <w:i w:val="0"/>
                <w:color w:val="102536"/>
                <w:sz w:val="16"/>
              </w:rPr>
              <w:t>Relational integrity, transactions and SSMS-compatible tables/views for orders, payments, stock and BI.</w:t>
            </w:r>
          </w:p>
        </w:tc>
      </w:tr>
      <w:tr>
        <w:tc>
          <w:tcPr>
            <w:tcW w:type="dxa" w:w="295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Cognito + tenant/role claims</w:t>
            </w:r>
          </w:p>
        </w:tc>
        <w:tc>
          <w:tcPr>
            <w:tcW w:type="dxa" w:w="6466"/>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Development identities are rejected in staging/production and may bind only to localhost.</w:t>
            </w:r>
          </w:p>
        </w:tc>
      </w:tr>
      <w:tr>
        <w:tc>
          <w:tcPr>
            <w:tcW w:type="dxa" w:w="2952"/>
            <w:tcMar>
              <w:top w:w="90" w:type="dxa"/>
              <w:start w:w="120" w:type="dxa"/>
              <w:bottom w:w="90" w:type="dxa"/>
              <w:end w:w="120" w:type="dxa"/>
            </w:tcMar>
            <w:vAlign w:val="center"/>
          </w:tcPr>
          <w:p>
            <w:pPr>
              <w:spacing w:after="0" w:line="245" w:lineRule="auto"/>
            </w:pPr>
            <w:r>
              <w:rPr>
                <w:rFonts w:ascii="Aptos" w:hAnsi="Aptos"/>
                <w:b w:val="0"/>
                <w:i w:val="0"/>
                <w:color w:val="102536"/>
                <w:sz w:val="16"/>
              </w:rPr>
              <w:t>CloudFront + API Gateway/WAF + Lambda</w:t>
            </w:r>
          </w:p>
        </w:tc>
        <w:tc>
          <w:tcPr>
            <w:tcW w:type="dxa" w:w="6466"/>
            <w:tcMar>
              <w:top w:w="90" w:type="dxa"/>
              <w:start w:w="120" w:type="dxa"/>
              <w:bottom w:w="90" w:type="dxa"/>
              <w:end w:w="120" w:type="dxa"/>
            </w:tcMar>
            <w:vAlign w:val="center"/>
          </w:tcPr>
          <w:p>
            <w:pPr>
              <w:spacing w:after="0" w:line="245" w:lineRule="auto"/>
            </w:pPr>
            <w:r>
              <w:rPr>
                <w:rFonts w:ascii="Aptos" w:hAnsi="Aptos"/>
                <w:b w:val="0"/>
                <w:i w:val="0"/>
                <w:color w:val="102536"/>
                <w:sz w:val="16"/>
              </w:rPr>
              <w:t>Economical managed delivery with TLS, rate limiting, tracing and a single public origin for web and API.</w:t>
            </w:r>
          </w:p>
        </w:tc>
      </w:tr>
      <w:tr>
        <w:tc>
          <w:tcPr>
            <w:tcW w:type="dxa" w:w="295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S3, SQS/DLQ, CloudWatch, Secrets, Budgets</w:t>
            </w:r>
          </w:p>
        </w:tc>
        <w:tc>
          <w:tcPr>
            <w:tcW w:type="dxa" w:w="6466"/>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Versioned evidence, durable events, observability, protected credentials and bill-shock controls.</w:t>
            </w:r>
          </w:p>
        </w:tc>
      </w:tr>
    </w:tbl>
    <w:p>
      <w:pPr>
        <w:keepNext w:val="0"/>
        <w:spacing w:before="0" w:after="20" w:line="264" w:lineRule="auto"/>
      </w:pPr>
      <w:r>
        <w:rPr>
          <w:rFonts w:ascii="Aptos" w:hAnsi="Aptos"/>
          <w:b w:val="0"/>
          <w:i w:val="0"/>
          <w:color w:val="102536"/>
          <w:sz w:val="4"/>
        </w:rPr>
      </w:r>
    </w:p>
    <w:p>
      <w:pPr>
        <w:pageBreakBefore/>
        <w:spacing w:after="40"/>
      </w:pPr>
      <w:r>
        <w:rPr>
          <w:rFonts w:ascii="Aptos" w:hAnsi="Aptos"/>
          <w:b/>
          <w:i w:val="0"/>
          <w:color w:val="00AFA3"/>
          <w:sz w:val="16"/>
        </w:rPr>
        <w:t>ENGINEERING EVIDENCE</w:t>
      </w:r>
    </w:p>
    <w:p>
      <w:pPr>
        <w:keepNext w:val="0"/>
        <w:spacing w:before="0" w:after="60" w:line="264" w:lineRule="auto"/>
      </w:pPr>
      <w:r>
        <w:rPr>
          <w:rFonts w:ascii="Aptos" w:hAnsi="Aptos"/>
          <w:b/>
          <w:i w:val="0"/>
          <w:color w:val="061828"/>
          <w:sz w:val="38"/>
        </w:rPr>
        <w:t>Built and verified as a system</w:t>
      </w:r>
    </w:p>
    <w:p>
      <w:pPr>
        <w:keepNext w:val="0"/>
        <w:spacing w:before="0" w:after="180" w:line="264" w:lineRule="auto"/>
      </w:pPr>
      <w:r>
        <w:rPr>
          <w:rFonts w:ascii="Aptos" w:hAnsi="Aptos"/>
          <w:b w:val="0"/>
          <w:i/>
          <w:color w:val="60717D"/>
          <w:sz w:val="18"/>
        </w:rPr>
        <w:t>The competition build uses production patterns while clearly separating local demo behavior from public deployment requirements.</w:t>
      </w:r>
    </w:p>
    <w:p>
      <w:pPr>
        <w:pStyle w:val="Heading2"/>
        <w:keepNext/>
        <w:pageBreakBefore w:val="0"/>
      </w:pPr>
      <w:r>
        <w:t>Quality gates</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664"/>
        <w:gridCol w:w="6754"/>
      </w:tblGrid>
      <w:tr>
        <w:tc>
          <w:tcPr>
            <w:tcW w:type="dxa" w:w="2664"/>
            <w:shd w:fill="061828"/>
            <w:tcMar>
              <w:top w:w="90" w:type="dxa"/>
              <w:start w:w="120" w:type="dxa"/>
              <w:bottom w:w="90" w:type="dxa"/>
              <w:end w:w="120" w:type="dxa"/>
            </w:tcMar>
            <w:vAlign w:val="center"/>
          </w:tcPr>
          <w:p>
            <w:pPr>
              <w:spacing w:after="0"/>
            </w:pPr>
            <w:r>
              <w:rPr>
                <w:rFonts w:ascii="Aptos" w:hAnsi="Aptos"/>
                <w:b/>
                <w:i w:val="0"/>
                <w:color w:val="FFFFFF"/>
                <w:sz w:val="16"/>
              </w:rPr>
              <w:t>Gate</w:t>
            </w:r>
          </w:p>
        </w:tc>
        <w:tc>
          <w:tcPr>
            <w:tcW w:type="dxa" w:w="6754"/>
            <w:shd w:fill="061828"/>
            <w:tcMar>
              <w:top w:w="90" w:type="dxa"/>
              <w:start w:w="120" w:type="dxa"/>
              <w:bottom w:w="90" w:type="dxa"/>
              <w:end w:w="120" w:type="dxa"/>
            </w:tcMar>
            <w:vAlign w:val="center"/>
          </w:tcPr>
          <w:p>
            <w:pPr>
              <w:spacing w:after="0"/>
            </w:pPr>
            <w:r>
              <w:rPr>
                <w:rFonts w:ascii="Aptos" w:hAnsi="Aptos"/>
                <w:b/>
                <w:i w:val="0"/>
                <w:color w:val="FFFFFF"/>
                <w:sz w:val="16"/>
              </w:rPr>
              <w:t>Evidence</w:t>
            </w:r>
          </w:p>
        </w:tc>
      </w:tr>
      <w:tr>
        <w:tc>
          <w:tcPr>
            <w:tcW w:type="dxa" w:w="2664"/>
            <w:tcMar>
              <w:top w:w="90" w:type="dxa"/>
              <w:start w:w="120" w:type="dxa"/>
              <w:bottom w:w="90" w:type="dxa"/>
              <w:end w:w="120" w:type="dxa"/>
            </w:tcMar>
            <w:vAlign w:val="center"/>
          </w:tcPr>
          <w:p>
            <w:pPr>
              <w:spacing w:after="0" w:line="245" w:lineRule="auto"/>
            </w:pPr>
            <w:r>
              <w:rPr>
                <w:rFonts w:ascii="Aptos" w:hAnsi="Aptos"/>
                <w:b w:val="0"/>
                <w:i w:val="0"/>
                <w:color w:val="102536"/>
                <w:sz w:val="16"/>
              </w:rPr>
              <w:t>Automated contracts/API/UI</w:t>
            </w:r>
          </w:p>
        </w:tc>
        <w:tc>
          <w:tcPr>
            <w:tcW w:type="dxa" w:w="6754"/>
            <w:tcMar>
              <w:top w:w="90" w:type="dxa"/>
              <w:start w:w="120" w:type="dxa"/>
              <w:bottom w:w="90" w:type="dxa"/>
              <w:end w:w="120" w:type="dxa"/>
            </w:tcMar>
            <w:vAlign w:val="center"/>
          </w:tcPr>
          <w:p>
            <w:pPr>
              <w:spacing w:after="0" w:line="245" w:lineRule="auto"/>
            </w:pPr>
            <w:r>
              <w:rPr>
                <w:rFonts w:ascii="Aptos" w:hAnsi="Aptos"/>
                <w:b w:val="0"/>
                <w:i w:val="0"/>
                <w:color w:val="102536"/>
                <w:sz w:val="16"/>
              </w:rPr>
              <w:t>55 tests cover permissions, schema constraints, order/cash/inventory intelligence and major React workspaces.</w:t>
            </w:r>
          </w:p>
        </w:tc>
      </w:tr>
      <w:tr>
        <w:tc>
          <w:tcPr>
            <w:tcW w:type="dxa" w:w="266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Static quality</w:t>
            </w:r>
          </w:p>
        </w:tc>
        <w:tc>
          <w:tcPr>
            <w:tcW w:type="dxa" w:w="675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ESLint, TypeScript project checks and production compilation run across the monorepo.</w:t>
            </w:r>
          </w:p>
        </w:tc>
      </w:tr>
      <w:tr>
        <w:tc>
          <w:tcPr>
            <w:tcW w:type="dxa" w:w="2664"/>
            <w:tcMar>
              <w:top w:w="90" w:type="dxa"/>
              <w:start w:w="120" w:type="dxa"/>
              <w:bottom w:w="90" w:type="dxa"/>
              <w:end w:w="120" w:type="dxa"/>
            </w:tcMar>
            <w:vAlign w:val="center"/>
          </w:tcPr>
          <w:p>
            <w:pPr>
              <w:spacing w:after="0" w:line="245" w:lineRule="auto"/>
            </w:pPr>
            <w:r>
              <w:rPr>
                <w:rFonts w:ascii="Aptos" w:hAnsi="Aptos"/>
                <w:b w:val="0"/>
                <w:i w:val="0"/>
                <w:color w:val="102536"/>
                <w:sz w:val="16"/>
              </w:rPr>
              <w:t>Security hardening</w:t>
            </w:r>
          </w:p>
        </w:tc>
        <w:tc>
          <w:tcPr>
            <w:tcW w:type="dxa" w:w="6754"/>
            <w:tcMar>
              <w:top w:w="90" w:type="dxa"/>
              <w:start w:w="120" w:type="dxa"/>
              <w:bottom w:w="90" w:type="dxa"/>
              <w:end w:w="120" w:type="dxa"/>
            </w:tcMar>
            <w:vAlign w:val="center"/>
          </w:tcPr>
          <w:p>
            <w:pPr>
              <w:spacing w:after="0" w:line="245" w:lineRule="auto"/>
            </w:pPr>
            <w:r>
              <w:rPr>
                <w:rFonts w:ascii="Aptos" w:hAnsi="Aptos"/>
                <w:b w:val="0"/>
                <w:i w:val="0"/>
                <w:color w:val="102536"/>
                <w:sz w:val="16"/>
              </w:rPr>
              <w:t>Staging/production require Cognito; dev auth is loopback-only; production UI has no demo shortcuts or token fallback.</w:t>
            </w:r>
          </w:p>
        </w:tc>
      </w:tr>
      <w:tr>
        <w:tc>
          <w:tcPr>
            <w:tcW w:type="dxa" w:w="266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Database migration</w:t>
            </w:r>
          </w:p>
        </w:tc>
        <w:tc>
          <w:tcPr>
            <w:tcW w:type="dxa" w:w="675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MongoDB was removed; SQL Server schema, seeds, constraints, indexes, audit events and operator/BI views are supplied.</w:t>
            </w:r>
          </w:p>
        </w:tc>
      </w:tr>
      <w:tr>
        <w:tc>
          <w:tcPr>
            <w:tcW w:type="dxa" w:w="2664"/>
            <w:tcMar>
              <w:top w:w="90" w:type="dxa"/>
              <w:start w:w="120" w:type="dxa"/>
              <w:bottom w:w="90" w:type="dxa"/>
              <w:end w:w="120" w:type="dxa"/>
            </w:tcMar>
            <w:vAlign w:val="center"/>
          </w:tcPr>
          <w:p>
            <w:pPr>
              <w:spacing w:after="0" w:line="245" w:lineRule="auto"/>
            </w:pPr>
            <w:r>
              <w:rPr>
                <w:rFonts w:ascii="Aptos" w:hAnsi="Aptos"/>
                <w:b w:val="0"/>
                <w:i w:val="0"/>
                <w:color w:val="102536"/>
                <w:sz w:val="16"/>
              </w:rPr>
              <w:t>Responsive review</w:t>
            </w:r>
          </w:p>
        </w:tc>
        <w:tc>
          <w:tcPr>
            <w:tcW w:type="dxa" w:w="6754"/>
            <w:tcMar>
              <w:top w:w="90" w:type="dxa"/>
              <w:start w:w="120" w:type="dxa"/>
              <w:bottom w:w="90" w:type="dxa"/>
              <w:end w:w="120" w:type="dxa"/>
            </w:tcMar>
            <w:vAlign w:val="center"/>
          </w:tcPr>
          <w:p>
            <w:pPr>
              <w:spacing w:after="0" w:line="245" w:lineRule="auto"/>
            </w:pPr>
            <w:r>
              <w:rPr>
                <w:rFonts w:ascii="Aptos" w:hAnsi="Aptos"/>
                <w:b w:val="0"/>
                <w:i w:val="0"/>
                <w:color w:val="102536"/>
                <w:sz w:val="16"/>
              </w:rPr>
              <w:t>Owner, employee and driver workflows were exercised at desktop and phone dimensions.</w:t>
            </w:r>
          </w:p>
        </w:tc>
      </w:tr>
      <w:tr>
        <w:tc>
          <w:tcPr>
            <w:tcW w:type="dxa" w:w="266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Integration honesty</w:t>
            </w:r>
          </w:p>
        </w:tc>
        <w:tc>
          <w:tcPr>
            <w:tcW w:type="dxa" w:w="6754"/>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In-app workflows are live; external WhatsApp/email/courier/payment APIs remain visibly gated until approved credentials exist.</w:t>
            </w:r>
          </w:p>
        </w:tc>
      </w:tr>
    </w:tbl>
    <w:p>
      <w:pPr>
        <w:keepNext w:val="0"/>
        <w:spacing w:before="0" w:after="20" w:line="264" w:lineRule="auto"/>
      </w:pPr>
      <w:r>
        <w:rPr>
          <w:rFonts w:ascii="Aptos" w:hAnsi="Aptos"/>
          <w:b w:val="0"/>
          <w:i w:val="0"/>
          <w:color w:val="102536"/>
          <w:sz w:val="4"/>
        </w:rPr>
      </w:r>
    </w:p>
    <w:p>
      <w:pPr>
        <w:pStyle w:val="Heading2"/>
        <w:keepNext/>
        <w:pageBreakBefore w:val="0"/>
      </w:pPr>
      <w:r>
        <w:t>AWS release sequence</w:t>
      </w:r>
    </w:p>
    <w:tbl>
      <w:tblPr>
        <w:tblW w:type="dxa" w:w="9420"/>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1884"/>
        <w:gridCol w:w="1884"/>
        <w:gridCol w:w="1884"/>
        <w:gridCol w:w="1884"/>
        <w:gridCol w:w="1884"/>
      </w:tblGrid>
      <w:tr>
        <w:tc>
          <w:tcPr>
            <w:tcW w:type="dxa" w:w="1884"/>
            <w:shd w:fill="061828"/>
            <w:tcMar>
              <w:top w:w="90" w:type="dxa"/>
              <w:start w:w="120" w:type="dxa"/>
              <w:bottom w:w="90" w:type="dxa"/>
              <w:end w:w="120" w:type="dxa"/>
            </w:tcMar>
            <w:vAlign w:val="center"/>
          </w:tcPr>
          <w:p>
            <w:pPr>
              <w:spacing w:after="0"/>
            </w:pPr>
            <w:r>
              <w:rPr>
                <w:rFonts w:ascii="Aptos" w:hAnsi="Aptos"/>
                <w:b/>
                <w:i w:val="0"/>
                <w:color w:val="FFFFFF"/>
                <w:sz w:val="15"/>
              </w:rPr>
              <w:t>1</w:t>
            </w:r>
          </w:p>
        </w:tc>
        <w:tc>
          <w:tcPr>
            <w:tcW w:type="dxa" w:w="1884"/>
            <w:shd w:fill="061828"/>
            <w:tcMar>
              <w:top w:w="90" w:type="dxa"/>
              <w:start w:w="120" w:type="dxa"/>
              <w:bottom w:w="90" w:type="dxa"/>
              <w:end w:w="120" w:type="dxa"/>
            </w:tcMar>
            <w:vAlign w:val="center"/>
          </w:tcPr>
          <w:p>
            <w:pPr>
              <w:spacing w:after="0"/>
            </w:pPr>
            <w:r>
              <w:rPr>
                <w:rFonts w:ascii="Aptos" w:hAnsi="Aptos"/>
                <w:b/>
                <w:i w:val="0"/>
                <w:color w:val="FFFFFF"/>
                <w:sz w:val="15"/>
              </w:rPr>
              <w:t>2</w:t>
            </w:r>
          </w:p>
        </w:tc>
        <w:tc>
          <w:tcPr>
            <w:tcW w:type="dxa" w:w="1884"/>
            <w:shd w:fill="061828"/>
            <w:tcMar>
              <w:top w:w="90" w:type="dxa"/>
              <w:start w:w="120" w:type="dxa"/>
              <w:bottom w:w="90" w:type="dxa"/>
              <w:end w:w="120" w:type="dxa"/>
            </w:tcMar>
            <w:vAlign w:val="center"/>
          </w:tcPr>
          <w:p>
            <w:pPr>
              <w:spacing w:after="0"/>
            </w:pPr>
            <w:r>
              <w:rPr>
                <w:rFonts w:ascii="Aptos" w:hAnsi="Aptos"/>
                <w:b/>
                <w:i w:val="0"/>
                <w:color w:val="FFFFFF"/>
                <w:sz w:val="15"/>
              </w:rPr>
              <w:t>3</w:t>
            </w:r>
          </w:p>
        </w:tc>
        <w:tc>
          <w:tcPr>
            <w:tcW w:type="dxa" w:w="1884"/>
            <w:shd w:fill="061828"/>
            <w:tcMar>
              <w:top w:w="90" w:type="dxa"/>
              <w:start w:w="120" w:type="dxa"/>
              <w:bottom w:w="90" w:type="dxa"/>
              <w:end w:w="120" w:type="dxa"/>
            </w:tcMar>
            <w:vAlign w:val="center"/>
          </w:tcPr>
          <w:p>
            <w:pPr>
              <w:spacing w:after="0"/>
            </w:pPr>
            <w:r>
              <w:rPr>
                <w:rFonts w:ascii="Aptos" w:hAnsi="Aptos"/>
                <w:b/>
                <w:i w:val="0"/>
                <w:color w:val="FFFFFF"/>
                <w:sz w:val="15"/>
              </w:rPr>
              <w:t>4</w:t>
            </w:r>
          </w:p>
        </w:tc>
        <w:tc>
          <w:tcPr>
            <w:tcW w:type="dxa" w:w="1884"/>
            <w:shd w:fill="061828"/>
            <w:tcMar>
              <w:top w:w="90" w:type="dxa"/>
              <w:start w:w="120" w:type="dxa"/>
              <w:bottom w:w="90" w:type="dxa"/>
              <w:end w:w="120" w:type="dxa"/>
            </w:tcMar>
            <w:vAlign w:val="center"/>
          </w:tcPr>
          <w:p>
            <w:pPr>
              <w:spacing w:after="0"/>
            </w:pPr>
            <w:r>
              <w:rPr>
                <w:rFonts w:ascii="Aptos" w:hAnsi="Aptos"/>
                <w:b/>
                <w:i w:val="0"/>
                <w:color w:val="FFFFFF"/>
                <w:sz w:val="15"/>
              </w:rPr>
              <w:t>5</w:t>
            </w:r>
          </w:p>
        </w:tc>
      </w:tr>
      <w:tr>
        <w:tc>
          <w:tcPr>
            <w:tcW w:type="dxa" w:w="1884"/>
            <w:tcMar>
              <w:top w:w="90" w:type="dxa"/>
              <w:start w:w="120" w:type="dxa"/>
              <w:bottom w:w="90" w:type="dxa"/>
              <w:end w:w="120" w:type="dxa"/>
            </w:tcMar>
            <w:vAlign w:val="center"/>
          </w:tcPr>
          <w:p>
            <w:pPr>
              <w:spacing w:after="0" w:line="245" w:lineRule="auto"/>
            </w:pPr>
            <w:r>
              <w:rPr>
                <w:rFonts w:ascii="Aptos" w:hAnsi="Aptos"/>
                <w:b w:val="0"/>
                <w:i w:val="0"/>
                <w:color w:val="102536"/>
                <w:sz w:val="15"/>
              </w:rPr>
              <w:t>Provision RDS + secret</w:t>
            </w:r>
          </w:p>
        </w:tc>
        <w:tc>
          <w:tcPr>
            <w:tcW w:type="dxa" w:w="1884"/>
            <w:tcMar>
              <w:top w:w="90" w:type="dxa"/>
              <w:start w:w="120" w:type="dxa"/>
              <w:bottom w:w="90" w:type="dxa"/>
              <w:end w:w="120" w:type="dxa"/>
            </w:tcMar>
            <w:vAlign w:val="center"/>
          </w:tcPr>
          <w:p>
            <w:pPr>
              <w:spacing w:after="0" w:line="245" w:lineRule="auto"/>
            </w:pPr>
            <w:r>
              <w:rPr>
                <w:rFonts w:ascii="Aptos" w:hAnsi="Aptos"/>
                <w:b w:val="0"/>
                <w:i w:val="0"/>
                <w:color w:val="102536"/>
                <w:sz w:val="15"/>
              </w:rPr>
              <w:t>Deploy SAM stack</w:t>
            </w:r>
          </w:p>
        </w:tc>
        <w:tc>
          <w:tcPr>
            <w:tcW w:type="dxa" w:w="1884"/>
            <w:tcMar>
              <w:top w:w="90" w:type="dxa"/>
              <w:start w:w="120" w:type="dxa"/>
              <w:bottom w:w="90" w:type="dxa"/>
              <w:end w:w="120" w:type="dxa"/>
            </w:tcMar>
            <w:vAlign w:val="center"/>
          </w:tcPr>
          <w:p>
            <w:pPr>
              <w:spacing w:after="0" w:line="245" w:lineRule="auto"/>
            </w:pPr>
            <w:r>
              <w:rPr>
                <w:rFonts w:ascii="Aptos" w:hAnsi="Aptos"/>
                <w:b w:val="0"/>
                <w:i w:val="0"/>
                <w:color w:val="102536"/>
                <w:sz w:val="15"/>
              </w:rPr>
              <w:t>Publish PWA</w:t>
            </w:r>
          </w:p>
        </w:tc>
        <w:tc>
          <w:tcPr>
            <w:tcW w:type="dxa" w:w="1884"/>
            <w:tcMar>
              <w:top w:w="90" w:type="dxa"/>
              <w:start w:w="120" w:type="dxa"/>
              <w:bottom w:w="90" w:type="dxa"/>
              <w:end w:w="120" w:type="dxa"/>
            </w:tcMar>
            <w:vAlign w:val="center"/>
          </w:tcPr>
          <w:p>
            <w:pPr>
              <w:spacing w:after="0" w:line="245" w:lineRule="auto"/>
            </w:pPr>
            <w:r>
              <w:rPr>
                <w:rFonts w:ascii="Aptos" w:hAnsi="Aptos"/>
                <w:b w:val="0"/>
                <w:i w:val="0"/>
                <w:color w:val="102536"/>
                <w:sz w:val="15"/>
              </w:rPr>
              <w:t>Seed tenant + Cognito users</w:t>
            </w:r>
          </w:p>
        </w:tc>
        <w:tc>
          <w:tcPr>
            <w:tcW w:type="dxa" w:w="1884"/>
            <w:tcMar>
              <w:top w:w="90" w:type="dxa"/>
              <w:start w:w="120" w:type="dxa"/>
              <w:bottom w:w="90" w:type="dxa"/>
              <w:end w:w="120" w:type="dxa"/>
            </w:tcMar>
            <w:vAlign w:val="center"/>
          </w:tcPr>
          <w:p>
            <w:pPr>
              <w:spacing w:after="0" w:line="245" w:lineRule="auto"/>
            </w:pPr>
            <w:r>
              <w:rPr>
                <w:rFonts w:ascii="Aptos" w:hAnsi="Aptos"/>
                <w:b w:val="0"/>
                <w:i w:val="0"/>
                <w:color w:val="102536"/>
                <w:sz w:val="15"/>
              </w:rPr>
              <w:t>Smoke-test + record</w:t>
            </w:r>
          </w:p>
        </w:tc>
      </w:tr>
    </w:tbl>
    <w:p>
      <w:pPr>
        <w:keepNext w:val="0"/>
        <w:spacing w:before="0" w:after="20" w:line="264" w:lineRule="auto"/>
      </w:pPr>
      <w:r>
        <w:rPr>
          <w:rFonts w:ascii="Aptos" w:hAnsi="Aptos"/>
          <w:b w:val="0"/>
          <w:i w:val="0"/>
          <w:color w:val="102536"/>
          <w:sz w:val="4"/>
        </w:rPr>
      </w:r>
    </w:p>
    <w:p>
      <w:pPr>
        <w:pStyle w:val="Heading2"/>
        <w:keepNext/>
        <w:pageBreakBefore w:val="0"/>
      </w:pPr>
      <w:r>
        <w:t>Mentor feedback closed</w:t>
      </w:r>
    </w:p>
    <w:p>
      <w:pPr>
        <w:pStyle w:val="ListBullet"/>
        <w:spacing w:after="60" w:line="264" w:lineRule="auto"/>
      </w:pPr>
      <w:r>
        <w:rPr>
          <w:rFonts w:ascii="Aptos" w:hAnsi="Aptos"/>
          <w:b w:val="0"/>
          <w:i w:val="0"/>
          <w:color w:val="102536"/>
          <w:sz w:val="18"/>
        </w:rPr>
        <w:t>Hardcoded demo users remain usable only in local/test mode; configuration now fails closed outside loopback and production bundles hide role shortcuts.</w:t>
      </w:r>
    </w:p>
    <w:p>
      <w:pPr>
        <w:pStyle w:val="ListBullet"/>
        <w:spacing w:after="60" w:line="264" w:lineRule="auto"/>
      </w:pPr>
      <w:r>
        <w:rPr>
          <w:rFonts w:ascii="Aptos" w:hAnsi="Aptos"/>
          <w:b w:val="0"/>
          <w:i w:val="0"/>
          <w:color w:val="102536"/>
          <w:sz w:val="18"/>
        </w:rPr>
        <w:t>CloudFront now proxies /api/* and /health to API Gateway rather than sending application calls to S3.</w:t>
      </w:r>
    </w:p>
    <w:p>
      <w:pPr>
        <w:pStyle w:val="ListBullet"/>
        <w:spacing w:after="60" w:line="264" w:lineRule="auto"/>
      </w:pPr>
      <w:r>
        <w:rPr>
          <w:rFonts w:ascii="Aptos" w:hAnsi="Aptos"/>
          <w:b w:val="0"/>
          <w:i w:val="0"/>
          <w:color w:val="102536"/>
          <w:sz w:val="18"/>
        </w:rPr>
        <w:t>The final report now contains the requested architectural design diagram, balanced team ownership, explicit evidence and honest deployment status.</w:t>
      </w:r>
    </w:p>
    <w:p>
      <w:pPr>
        <w:pStyle w:val="Heading2"/>
        <w:keepNext/>
        <w:pageBreakBefore w:val="0"/>
      </w:pPr>
      <w:r>
        <w:t>Current external gates</w:t>
      </w:r>
    </w:p>
    <w:tbl>
      <w:tblPr>
        <w:tblW w:type="dxa" w:w="9360"/>
        <w:tblLayout w:type="fixed"/>
        <w:tblLook w:firstColumn="1" w:firstRow="1" w:lastColumn="0" w:lastRow="0" w:noHBand="0" w:noVBand="1" w:val="04A0"/>
        <w:tblInd w:w="120" w:type="dxa"/>
        <w:tblBorders>
          <w:top w:val="single" w:sz="5" w:color="E6B94F"/>
          <w:left w:val="single" w:sz="5" w:color="E6B94F"/>
          <w:bottom w:val="single" w:sz="5" w:color="E6B94F"/>
          <w:right w:val="single" w:sz="5" w:color="E6B94F"/>
          <w:insideH w:val="single" w:sz="5" w:color="E6B94F"/>
          <w:insideV w:val="single" w:sz="5" w:color="E6B94F"/>
        </w:tblBorders>
      </w:tblPr>
      <w:tblGrid>
        <w:gridCol w:w="9360"/>
      </w:tblGrid>
      <w:tr>
        <w:tc>
          <w:tcPr>
            <w:tcW w:type="dxa" w:w="9360"/>
            <w:shd w:fill="FFF7E6"/>
            <w:tcMar>
              <w:top w:w="120" w:type="dxa"/>
              <w:start w:w="150" w:type="dxa"/>
              <w:bottom w:w="120" w:type="dxa"/>
              <w:end w:w="150" w:type="dxa"/>
            </w:tcMar>
          </w:tcPr>
          <w:p>
            <w:pPr>
              <w:spacing w:after="0"/>
            </w:pPr>
            <w:r>
              <w:rPr>
                <w:rFonts w:ascii="Aptos" w:hAnsi="Aptos"/>
                <w:b/>
                <w:i w:val="0"/>
                <w:color w:val="E6B94F"/>
                <w:sz w:val="19"/>
              </w:rPr>
              <w:t xml:space="preserve">AWS deployment: </w:t>
            </w:r>
            <w:r>
              <w:rPr>
                <w:rFonts w:ascii="Aptos" w:hAnsi="Aptos"/>
                <w:b w:val="0"/>
                <w:i w:val="0"/>
                <w:color w:val="102536"/>
                <w:sz w:val="19"/>
              </w:rPr>
              <w:t>The account credentials were accepted, but AWS requires a one-time verification code sent to the account inbox before provisioning can continue. The stack and CI workflow remain ready; RDS, Secrets Manager, Cognito seeding and smoke tests follow immediately after verification.</w:t>
            </w:r>
          </w:p>
        </w:tc>
      </w:tr>
    </w:tbl>
    <w:p>
      <w:pPr>
        <w:keepNext w:val="0"/>
        <w:spacing w:before="0" w:after="20" w:line="264" w:lineRule="auto"/>
      </w:pPr>
      <w:r>
        <w:rPr>
          <w:rFonts w:ascii="Aptos" w:hAnsi="Aptos"/>
          <w:b w:val="0"/>
          <w:i w:val="0"/>
          <w:color w:val="102536"/>
          <w:sz w:val="4"/>
        </w:rPr>
      </w:r>
    </w:p>
    <w:p>
      <w:pPr>
        <w:pageBreakBefore/>
        <w:spacing w:after="40"/>
      </w:pPr>
      <w:r>
        <w:rPr>
          <w:rFonts w:ascii="Aptos" w:hAnsi="Aptos"/>
          <w:b/>
          <w:i w:val="0"/>
          <w:color w:val="00AFA3"/>
          <w:sz w:val="16"/>
        </w:rPr>
        <w:t>TEAM &amp; HANDOFF</w:t>
      </w:r>
    </w:p>
    <w:p>
      <w:pPr>
        <w:keepNext w:val="0"/>
        <w:spacing w:before="0" w:after="60" w:line="264" w:lineRule="auto"/>
      </w:pPr>
      <w:r>
        <w:rPr>
          <w:rFonts w:ascii="Aptos" w:hAnsi="Aptos"/>
          <w:b/>
          <w:i w:val="0"/>
          <w:color w:val="061828"/>
          <w:sz w:val="38"/>
        </w:rPr>
        <w:t>Five balanced ownership streams</w:t>
      </w:r>
    </w:p>
    <w:p>
      <w:pPr>
        <w:keepNext w:val="0"/>
        <w:spacing w:before="0" w:after="180" w:line="264" w:lineRule="auto"/>
      </w:pPr>
      <w:r>
        <w:rPr>
          <w:rFonts w:ascii="Aptos" w:hAnsi="Aptos"/>
          <w:b w:val="0"/>
          <w:i/>
          <w:color w:val="60717D"/>
          <w:sz w:val="18"/>
        </w:rPr>
        <w:t>Replace the four bracketed labels with the real member names; the contribution scope is already divided across the entire project.</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376"/>
        <w:gridCol w:w="7042"/>
      </w:tblGrid>
      <w:tr>
        <w:tc>
          <w:tcPr>
            <w:tcW w:type="dxa" w:w="2376"/>
            <w:shd w:fill="061828"/>
            <w:tcMar>
              <w:top w:w="90" w:type="dxa"/>
              <w:start w:w="120" w:type="dxa"/>
              <w:bottom w:w="90" w:type="dxa"/>
              <w:end w:w="120" w:type="dxa"/>
            </w:tcMar>
            <w:vAlign w:val="center"/>
          </w:tcPr>
          <w:p>
            <w:pPr>
              <w:spacing w:after="0"/>
            </w:pPr>
            <w:r>
              <w:rPr>
                <w:rFonts w:ascii="Aptos" w:hAnsi="Aptos"/>
                <w:b/>
                <w:i w:val="0"/>
                <w:color w:val="FFFFFF"/>
                <w:sz w:val="16"/>
              </w:rPr>
              <w:t>Team member</w:t>
            </w:r>
          </w:p>
        </w:tc>
        <w:tc>
          <w:tcPr>
            <w:tcW w:type="dxa" w:w="7042"/>
            <w:shd w:fill="061828"/>
            <w:tcMar>
              <w:top w:w="90" w:type="dxa"/>
              <w:start w:w="120" w:type="dxa"/>
              <w:bottom w:w="90" w:type="dxa"/>
              <w:end w:w="120" w:type="dxa"/>
            </w:tcMar>
            <w:vAlign w:val="center"/>
          </w:tcPr>
          <w:p>
            <w:pPr>
              <w:spacing w:after="0"/>
            </w:pPr>
            <w:r>
              <w:rPr>
                <w:rFonts w:ascii="Aptos" w:hAnsi="Aptos"/>
                <w:b/>
                <w:i w:val="0"/>
                <w:color w:val="FFFFFF"/>
                <w:sz w:val="16"/>
              </w:rPr>
              <w:t>One-sentence contribution</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02536"/>
                <w:sz w:val="16"/>
              </w:rPr>
              <w:t>Shawn Lamouza</w:t>
            </w:r>
          </w:p>
        </w:tc>
        <w:tc>
          <w:tcPr>
            <w:tcW w:type="dxa" w:w="7042"/>
            <w:tcMar>
              <w:top w:w="90" w:type="dxa"/>
              <w:start w:w="120" w:type="dxa"/>
              <w:bottom w:w="90" w:type="dxa"/>
              <w:end w:w="120" w:type="dxa"/>
            </w:tcMar>
            <w:vAlign w:val="center"/>
          </w:tcPr>
          <w:p>
            <w:pPr>
              <w:spacing w:after="0" w:line="245" w:lineRule="auto"/>
            </w:pPr>
            <w:r>
              <w:rPr>
                <w:rFonts w:ascii="Aptos" w:hAnsi="Aptos"/>
                <w:b w:val="0"/>
                <w:i w:val="0"/>
                <w:color w:val="102536"/>
                <w:sz w:val="16"/>
              </w:rPr>
              <w:t>Led product integration, requirements, architecture decisions and competition coordination across the complete Masaar release.</w:t>
            </w:r>
          </w:p>
        </w:tc>
      </w:tr>
      <w:tr>
        <w:tc>
          <w:tcPr>
            <w:tcW w:type="dxa" w:w="2376"/>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[TEAM MEMBER 2]</w:t>
            </w:r>
          </w:p>
        </w:tc>
        <w:tc>
          <w:tcPr>
            <w:tcW w:type="dxa" w:w="704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Owned Lebanese business research, survey design/analysis, problem validation and customer/order workflow requirements.</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02536"/>
                <w:sz w:val="16"/>
              </w:rPr>
              <w:t>[TEAM MEMBER 3]</w:t>
            </w:r>
          </w:p>
        </w:tc>
        <w:tc>
          <w:tcPr>
            <w:tcW w:type="dxa" w:w="7042"/>
            <w:tcMar>
              <w:top w:w="90" w:type="dxa"/>
              <w:start w:w="120" w:type="dxa"/>
              <w:bottom w:w="90" w:type="dxa"/>
              <w:end w:w="120" w:type="dxa"/>
            </w:tcMar>
            <w:vAlign w:val="center"/>
          </w:tcPr>
          <w:p>
            <w:pPr>
              <w:spacing w:after="0" w:line="245" w:lineRule="auto"/>
            </w:pPr>
            <w:r>
              <w:rPr>
                <w:rFonts w:ascii="Aptos" w:hAnsi="Aptos"/>
                <w:b w:val="0"/>
                <w:i w:val="0"/>
                <w:color w:val="102536"/>
                <w:sz w:val="16"/>
              </w:rPr>
              <w:t>Owned Figma/brand translation, React/Tailwind interface engineering, responsive behavior and role-specific usability.</w:t>
            </w:r>
          </w:p>
        </w:tc>
      </w:tr>
      <w:tr>
        <w:tc>
          <w:tcPr>
            <w:tcW w:type="dxa" w:w="2376"/>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[TEAM MEMBER 4]</w:t>
            </w:r>
          </w:p>
        </w:tc>
        <w:tc>
          <w:tcPr>
            <w:tcW w:type="dxa" w:w="7042"/>
            <w:shd w:fill="F2F5F7"/>
            <w:tcMar>
              <w:top w:w="90" w:type="dxa"/>
              <w:start w:w="120" w:type="dxa"/>
              <w:bottom w:w="90" w:type="dxa"/>
              <w:end w:w="120" w:type="dxa"/>
            </w:tcMar>
            <w:vAlign w:val="center"/>
          </w:tcPr>
          <w:p>
            <w:pPr>
              <w:spacing w:after="0" w:line="245" w:lineRule="auto"/>
            </w:pPr>
            <w:r>
              <w:rPr>
                <w:rFonts w:ascii="Aptos" w:hAnsi="Aptos"/>
                <w:b w:val="0"/>
                <w:i w:val="0"/>
                <w:color w:val="102536"/>
                <w:sz w:val="16"/>
              </w:rPr>
              <w:t>Owned Fastify APIs, shared Zod contracts, SQL Server data integrity, AWS infrastructure, Cognito and audit/security controls.</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02536"/>
                <w:sz w:val="16"/>
              </w:rPr>
              <w:t>[TEAM MEMBER 5]</w:t>
            </w:r>
          </w:p>
        </w:tc>
        <w:tc>
          <w:tcPr>
            <w:tcW w:type="dxa" w:w="7042"/>
            <w:tcMar>
              <w:top w:w="90" w:type="dxa"/>
              <w:start w:w="120" w:type="dxa"/>
              <w:bottom w:w="90" w:type="dxa"/>
              <w:end w:w="120" w:type="dxa"/>
            </w:tcMar>
            <w:vAlign w:val="center"/>
          </w:tcPr>
          <w:p>
            <w:pPr>
              <w:spacing w:after="0" w:line="245" w:lineRule="auto"/>
            </w:pPr>
            <w:r>
              <w:rPr>
                <w:rFonts w:ascii="Aptos" w:hAnsi="Aptos"/>
                <w:b w:val="0"/>
                <w:i w:val="0"/>
                <w:color w:val="102536"/>
                <w:sz w:val="16"/>
              </w:rPr>
              <w:t>Owned BI metrics/graphs, forecast logic, test validation, user documentation, demo narrative and final submission packaging.</w:t>
            </w:r>
          </w:p>
        </w:tc>
      </w:tr>
    </w:tbl>
    <w:p>
      <w:pPr>
        <w:keepNext w:val="0"/>
        <w:spacing w:before="0" w:after="20" w:line="264" w:lineRule="auto"/>
      </w:pPr>
      <w:r>
        <w:rPr>
          <w:rFonts w:ascii="Aptos" w:hAnsi="Aptos"/>
          <w:b w:val="0"/>
          <w:i w:val="0"/>
          <w:color w:val="102536"/>
          <w:sz w:val="4"/>
        </w:rPr>
      </w:r>
    </w:p>
    <w:p>
      <w:pPr>
        <w:pStyle w:val="Heading2"/>
        <w:keepNext/>
        <w:pageBreakBefore w:val="0"/>
      </w:pPr>
      <w:r>
        <w:t>Judge access — local evaluation</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376"/>
        <w:gridCol w:w="7042"/>
      </w:tblGrid>
      <w:tr>
        <w:tc>
          <w:tcPr>
            <w:tcW w:type="dxa" w:w="2376"/>
            <w:shd w:fill="061828"/>
            <w:tcMar>
              <w:top w:w="90" w:type="dxa"/>
              <w:start w:w="120" w:type="dxa"/>
              <w:bottom w:w="90" w:type="dxa"/>
              <w:end w:w="120" w:type="dxa"/>
            </w:tcMar>
            <w:vAlign w:val="center"/>
          </w:tcPr>
          <w:p>
            <w:pPr>
              <w:spacing w:after="0"/>
            </w:pPr>
            <w:r>
              <w:rPr>
                <w:rFonts w:ascii="Aptos" w:hAnsi="Aptos"/>
                <w:b/>
                <w:i w:val="0"/>
                <w:color w:val="FFFFFF"/>
                <w:sz w:val="15"/>
              </w:rPr>
              <w:t>Role</w:t>
            </w:r>
          </w:p>
        </w:tc>
        <w:tc>
          <w:tcPr>
            <w:tcW w:type="dxa" w:w="7042"/>
            <w:shd w:fill="061828"/>
            <w:tcMar>
              <w:top w:w="90" w:type="dxa"/>
              <w:start w:w="120" w:type="dxa"/>
              <w:bottom w:w="90" w:type="dxa"/>
              <w:end w:w="120" w:type="dxa"/>
            </w:tcMar>
            <w:vAlign w:val="center"/>
          </w:tcPr>
          <w:p>
            <w:pPr>
              <w:spacing w:after="0"/>
            </w:pPr>
            <w:r>
              <w:rPr>
                <w:rFonts w:ascii="Aptos" w:hAnsi="Aptos"/>
                <w:b/>
                <w:i w:val="0"/>
                <w:color w:val="FFFFFF"/>
                <w:sz w:val="15"/>
              </w:rPr>
              <w:t>Credentials</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02536"/>
                <w:sz w:val="15"/>
              </w:rPr>
              <w:t>Owner — Joe</w:t>
            </w:r>
          </w:p>
        </w:tc>
        <w:tc>
          <w:tcPr>
            <w:tcW w:type="dxa" w:w="7042"/>
            <w:tcMar>
              <w:top w:w="90" w:type="dxa"/>
              <w:start w:w="120" w:type="dxa"/>
              <w:bottom w:w="90" w:type="dxa"/>
              <w:end w:w="120" w:type="dxa"/>
            </w:tcMar>
            <w:vAlign w:val="center"/>
          </w:tcPr>
          <w:p>
            <w:pPr>
              <w:spacing w:after="0" w:line="245" w:lineRule="auto"/>
            </w:pPr>
            <w:r>
              <w:rPr>
                <w:rFonts w:ascii="Aptos" w:hAnsi="Aptos"/>
                <w:b w:val="0"/>
                <w:i w:val="0"/>
                <w:color w:val="102536"/>
                <w:sz w:val="15"/>
              </w:rPr>
              <w:t>joe@masaar.demo  |  masaar-demo</w:t>
            </w:r>
          </w:p>
        </w:tc>
      </w:tr>
      <w:tr>
        <w:tc>
          <w:tcPr>
            <w:tcW w:type="dxa" w:w="2376"/>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Manager — Nadim</w:t>
            </w:r>
          </w:p>
        </w:tc>
        <w:tc>
          <w:tcPr>
            <w:tcW w:type="dxa" w:w="7042"/>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manager@masaar.demo  |  masaar-demo</w:t>
            </w:r>
          </w:p>
        </w:tc>
      </w:tr>
      <w:tr>
        <w:tc>
          <w:tcPr>
            <w:tcW w:type="dxa" w:w="2376"/>
            <w:tcMar>
              <w:top w:w="90" w:type="dxa"/>
              <w:start w:w="120" w:type="dxa"/>
              <w:bottom w:w="90" w:type="dxa"/>
              <w:end w:w="120" w:type="dxa"/>
            </w:tcMar>
            <w:vAlign w:val="center"/>
          </w:tcPr>
          <w:p>
            <w:pPr>
              <w:spacing w:after="0" w:line="245" w:lineRule="auto"/>
            </w:pPr>
            <w:r>
              <w:rPr>
                <w:rFonts w:ascii="Aptos" w:hAnsi="Aptos"/>
                <w:b w:val="0"/>
                <w:i w:val="0"/>
                <w:color w:val="102536"/>
                <w:sz w:val="15"/>
              </w:rPr>
              <w:t>Employee — Rami</w:t>
            </w:r>
          </w:p>
        </w:tc>
        <w:tc>
          <w:tcPr>
            <w:tcW w:type="dxa" w:w="7042"/>
            <w:tcMar>
              <w:top w:w="90" w:type="dxa"/>
              <w:start w:w="120" w:type="dxa"/>
              <w:bottom w:w="90" w:type="dxa"/>
              <w:end w:w="120" w:type="dxa"/>
            </w:tcMar>
            <w:vAlign w:val="center"/>
          </w:tcPr>
          <w:p>
            <w:pPr>
              <w:spacing w:after="0" w:line="245" w:lineRule="auto"/>
            </w:pPr>
            <w:r>
              <w:rPr>
                <w:rFonts w:ascii="Aptos" w:hAnsi="Aptos"/>
                <w:b w:val="0"/>
                <w:i w:val="0"/>
                <w:color w:val="102536"/>
                <w:sz w:val="15"/>
              </w:rPr>
              <w:t>employee@masaar.demo  |  masaar-demo</w:t>
            </w:r>
          </w:p>
        </w:tc>
      </w:tr>
      <w:tr>
        <w:tc>
          <w:tcPr>
            <w:tcW w:type="dxa" w:w="2376"/>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Driver — Karim</w:t>
            </w:r>
          </w:p>
        </w:tc>
        <w:tc>
          <w:tcPr>
            <w:tcW w:type="dxa" w:w="7042"/>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driver@masaar.demo  |  masaar-demo</w:t>
            </w:r>
          </w:p>
        </w:tc>
      </w:tr>
    </w:tbl>
    <w:p>
      <w:pPr>
        <w:keepNext w:val="0"/>
        <w:spacing w:before="0" w:after="20" w:line="264" w:lineRule="auto"/>
      </w:pPr>
      <w:r>
        <w:rPr>
          <w:rFonts w:ascii="Aptos" w:hAnsi="Aptos"/>
          <w:b w:val="0"/>
          <w:i w:val="0"/>
          <w:color w:val="102536"/>
          <w:sz w:val="4"/>
        </w:rPr>
      </w:r>
    </w:p>
    <w:p>
      <w:pPr>
        <w:keepNext w:val="0"/>
        <w:spacing w:before="0" w:after="60" w:line="264" w:lineRule="auto"/>
      </w:pPr>
      <w:r>
        <w:rPr>
          <w:rFonts w:ascii="Aptos" w:hAnsi="Aptos"/>
          <w:b w:val="0"/>
          <w:i/>
          <w:color w:val="60717D"/>
          <w:sz w:val="15"/>
        </w:rPr>
        <w:t>Run pnpm dev and open http://localhost:5173. These fixed accounts and seeded records exist only in local/test mode; the public login never displays demo shortcuts and production requires Cognito.</w:t>
      </w:r>
    </w:p>
    <w:p>
      <w:pPr>
        <w:pStyle w:val="Heading2"/>
        <w:keepNext/>
        <w:pageBreakBefore w:val="0"/>
      </w:pPr>
      <w:r>
        <w:t>Submission links and deliverables</w:t>
      </w:r>
    </w:p>
    <w:tbl>
      <w:tblPr>
        <w:tblW w:type="dxa" w:w="9418"/>
        <w:jc w:val="center"/>
        <w:tblLayout w:type="fixed"/>
        <w:tblLook w:firstColumn="1" w:firstRow="1" w:lastColumn="0" w:lastRow="0" w:noHBand="0" w:noVBand="1" w:val="04A0"/>
        <w:tblInd w:w="120" w:type="dxa"/>
        <w:tblBorders>
          <w:top w:val="single" w:sz="5" w:color="D7E1E6"/>
          <w:left w:val="single" w:sz="5" w:color="D7E1E6"/>
          <w:bottom w:val="single" w:sz="5" w:color="D7E1E6"/>
          <w:right w:val="single" w:sz="5" w:color="D7E1E6"/>
          <w:insideH w:val="single" w:sz="5" w:color="D7E1E6"/>
          <w:insideV w:val="single" w:sz="5" w:color="D7E1E6"/>
        </w:tblBorders>
      </w:tblPr>
      <w:tblGrid>
        <w:gridCol w:w="2232"/>
        <w:gridCol w:w="7186"/>
      </w:tblGrid>
      <w:tr>
        <w:tc>
          <w:tcPr>
            <w:tcW w:type="dxa" w:w="2232"/>
            <w:shd w:fill="061828"/>
            <w:tcMar>
              <w:top w:w="90" w:type="dxa"/>
              <w:start w:w="120" w:type="dxa"/>
              <w:bottom w:w="90" w:type="dxa"/>
              <w:end w:w="120" w:type="dxa"/>
            </w:tcMar>
            <w:vAlign w:val="center"/>
          </w:tcPr>
          <w:p>
            <w:pPr>
              <w:spacing w:after="0"/>
            </w:pPr>
            <w:r>
              <w:rPr>
                <w:rFonts w:ascii="Aptos" w:hAnsi="Aptos"/>
                <w:b/>
                <w:i w:val="0"/>
                <w:color w:val="FFFFFF"/>
                <w:sz w:val="15"/>
              </w:rPr>
              <w:t>Item</w:t>
            </w:r>
          </w:p>
        </w:tc>
        <w:tc>
          <w:tcPr>
            <w:tcW w:type="dxa" w:w="7186"/>
            <w:shd w:fill="061828"/>
            <w:tcMar>
              <w:top w:w="90" w:type="dxa"/>
              <w:start w:w="120" w:type="dxa"/>
              <w:bottom w:w="90" w:type="dxa"/>
              <w:end w:w="120" w:type="dxa"/>
            </w:tcMar>
            <w:vAlign w:val="center"/>
          </w:tcPr>
          <w:p>
            <w:pPr>
              <w:spacing w:after="0"/>
            </w:pPr>
            <w:r>
              <w:rPr>
                <w:rFonts w:ascii="Aptos" w:hAnsi="Aptos"/>
                <w:b/>
                <w:i w:val="0"/>
                <w:color w:val="FFFFFF"/>
                <w:sz w:val="15"/>
              </w:rPr>
              <w:t>Submission value</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02536"/>
                <w:sz w:val="15"/>
              </w:rPr>
              <w:t>Public GitHub</w:t>
            </w:r>
          </w:p>
        </w:tc>
        <w:tc>
          <w:tcPr>
            <w:tcW w:type="dxa" w:w="7186"/>
            <w:tcMar>
              <w:top w:w="90" w:type="dxa"/>
              <w:start w:w="120" w:type="dxa"/>
              <w:bottom w:w="90" w:type="dxa"/>
              <w:end w:w="120" w:type="dxa"/>
            </w:tcMar>
            <w:vAlign w:val="center"/>
          </w:tcPr>
          <w:p>
            <w:pPr>
              <w:spacing w:after="0" w:line="245" w:lineRule="auto"/>
            </w:pPr>
            <w:r>
              <w:rPr>
                <w:rFonts w:ascii="Aptos" w:hAnsi="Aptos"/>
                <w:b w:val="0"/>
                <w:i w:val="0"/>
                <w:color w:val="102536"/>
                <w:sz w:val="15"/>
              </w:rPr>
              <w:t>https://github.com/shawnlamouza/Masaar</w:t>
            </w:r>
          </w:p>
        </w:tc>
      </w:tr>
      <w:tr>
        <w:tc>
          <w:tcPr>
            <w:tcW w:type="dxa" w:w="2232"/>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Public demo</w:t>
            </w:r>
          </w:p>
        </w:tc>
        <w:tc>
          <w:tcPr>
            <w:tcW w:type="dxa" w:w="7186"/>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AWS stack prepared; URL follows account verification, RDS and deployment.</w:t>
            </w:r>
          </w:p>
        </w:tc>
      </w:tr>
      <w:tr>
        <w:tc>
          <w:tcPr>
            <w:tcW w:type="dxa" w:w="2232"/>
            <w:tcMar>
              <w:top w:w="90" w:type="dxa"/>
              <w:start w:w="120" w:type="dxa"/>
              <w:bottom w:w="90" w:type="dxa"/>
              <w:end w:w="120" w:type="dxa"/>
            </w:tcMar>
            <w:vAlign w:val="center"/>
          </w:tcPr>
          <w:p>
            <w:pPr>
              <w:spacing w:after="0" w:line="245" w:lineRule="auto"/>
            </w:pPr>
            <w:r>
              <w:rPr>
                <w:rFonts w:ascii="Aptos" w:hAnsi="Aptos"/>
                <w:b w:val="0"/>
                <w:i w:val="0"/>
                <w:color w:val="102536"/>
                <w:sz w:val="15"/>
              </w:rPr>
              <w:t>Demo video</w:t>
            </w:r>
          </w:p>
        </w:tc>
        <w:tc>
          <w:tcPr>
            <w:tcW w:type="dxa" w:w="7186"/>
            <w:tcMar>
              <w:top w:w="90" w:type="dxa"/>
              <w:start w:w="120" w:type="dxa"/>
              <w:bottom w:w="90" w:type="dxa"/>
              <w:end w:w="120" w:type="dxa"/>
            </w:tcMar>
            <w:vAlign w:val="center"/>
          </w:tcPr>
          <w:p>
            <w:pPr>
              <w:spacing w:after="0" w:line="245" w:lineRule="auto"/>
            </w:pPr>
            <w:r>
              <w:rPr>
                <w:rFonts w:ascii="Aptos" w:hAnsi="Aptos"/>
                <w:b w:val="0"/>
                <w:i w:val="0"/>
                <w:color w:val="102536"/>
                <w:sz w:val="15"/>
              </w:rPr>
              <w:t>output/video/Masaar_2_Minute_Demo.mp4  |  verified owner-led story, 1:45.</w:t>
            </w:r>
          </w:p>
        </w:tc>
      </w:tr>
      <w:tr>
        <w:tc>
          <w:tcPr>
            <w:tcW w:type="dxa" w:w="2232"/>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Main package</w:t>
            </w:r>
          </w:p>
        </w:tc>
        <w:tc>
          <w:tcPr>
            <w:tcW w:type="dxa" w:w="7186"/>
            <w:shd w:fill="F2F5F7"/>
            <w:tcMar>
              <w:top w:w="90" w:type="dxa"/>
              <w:start w:w="120" w:type="dxa"/>
              <w:bottom w:w="90" w:type="dxa"/>
              <w:end w:w="120" w:type="dxa"/>
            </w:tcMar>
            <w:vAlign w:val="center"/>
          </w:tcPr>
          <w:p>
            <w:pPr>
              <w:spacing w:after="0" w:line="245" w:lineRule="auto"/>
            </w:pPr>
            <w:r>
              <w:rPr>
                <w:rFonts w:ascii="Aptos" w:hAnsi="Aptos"/>
                <w:b w:val="0"/>
                <w:i w:val="0"/>
                <w:color w:val="102536"/>
                <w:sz w:val="15"/>
              </w:rPr>
              <w:t>Final report, specification, implementation plan, manual, SQL scripts and clean source ZIP.</w:t>
            </w:r>
          </w:p>
        </w:tc>
      </w:tr>
    </w:tbl>
    <w:p>
      <w:pPr>
        <w:keepNext w:val="0"/>
        <w:spacing w:before="0" w:after="20" w:line="264" w:lineRule="auto"/>
      </w:pPr>
      <w:r>
        <w:rPr>
          <w:rFonts w:ascii="Aptos" w:hAnsi="Aptos"/>
          <w:b w:val="0"/>
          <w:i w:val="0"/>
          <w:color w:val="102536"/>
          <w:sz w:val="4"/>
        </w:rPr>
      </w:r>
    </w:p>
    <w:p>
      <w:pPr>
        <w:pStyle w:val="Heading2"/>
        <w:keepNext/>
        <w:pageBreakBefore w:val="0"/>
      </w:pPr>
      <w:r>
        <w:t>Final competition statement</w:t>
      </w:r>
    </w:p>
    <w:tbl>
      <w:tblPr>
        <w:tblW w:type="dxa" w:w="9360"/>
        <w:tblLayout w:type="fixed"/>
        <w:tblLook w:firstColumn="1" w:firstRow="1" w:lastColumn="0" w:lastRow="0" w:noHBand="0" w:noVBand="1" w:val="04A0"/>
        <w:tblInd w:w="120" w:type="dxa"/>
        <w:tblBorders>
          <w:top w:val="single" w:sz="5" w:color="00AFA3"/>
          <w:left w:val="single" w:sz="5" w:color="00AFA3"/>
          <w:bottom w:val="single" w:sz="5" w:color="00AFA3"/>
          <w:right w:val="single" w:sz="5" w:color="00AFA3"/>
          <w:insideH w:val="single" w:sz="5" w:color="00AFA3"/>
          <w:insideV w:val="single" w:sz="5" w:color="00AFA3"/>
        </w:tblBorders>
      </w:tblPr>
      <w:tblGrid>
        <w:gridCol w:w="9360"/>
      </w:tblGrid>
      <w:tr>
        <w:tc>
          <w:tcPr>
            <w:tcW w:type="dxa" w:w="9360"/>
            <w:shd w:fill="EAF8F6"/>
            <w:tcMar>
              <w:top w:w="120" w:type="dxa"/>
              <w:start w:w="150" w:type="dxa"/>
              <w:bottom w:w="120" w:type="dxa"/>
              <w:end w:w="150" w:type="dxa"/>
            </w:tcMar>
          </w:tcPr>
          <w:p>
            <w:pPr>
              <w:spacing w:after="0"/>
            </w:pPr>
            <w:r>
              <w:rPr>
                <w:rFonts w:ascii="Aptos" w:hAnsi="Aptos"/>
                <w:b/>
                <w:i w:val="0"/>
                <w:color w:val="00AFA3"/>
                <w:sz w:val="19"/>
              </w:rPr>
              <w:t xml:space="preserve">Why Masaar wins: </w:t>
            </w:r>
            <w:r>
              <w:rPr>
                <w:rFonts w:ascii="Aptos" w:hAnsi="Aptos"/>
                <w:b w:val="0"/>
                <w:i w:val="0"/>
                <w:color w:val="102536"/>
                <w:sz w:val="19"/>
              </w:rPr>
              <w:t>Masaar is not a generic ERP and not a dashboard pasted onto unreliable data. It owns the difficult Lebanese post-order loop, protects the parcel, money and stock, and converts accountable events into practical decisions an owner can defend.</w:t>
            </w:r>
          </w:p>
        </w:tc>
      </w:tr>
    </w:tbl>
    <w:p>
      <w:pPr>
        <w:keepNext w:val="0"/>
        <w:spacing w:before="0" w:after="20" w:line="264" w:lineRule="auto"/>
      </w:pPr>
      <w:r>
        <w:rPr>
          <w:rFonts w:ascii="Aptos" w:hAnsi="Aptos"/>
          <w:b w:val="0"/>
          <w:i w:val="0"/>
          <w:color w:val="102536"/>
          <w:sz w:val="4"/>
        </w:rPr>
      </w:r>
    </w:p>
    <w:p>
      <w:pPr>
        <w:keepNext w:val="0"/>
        <w:spacing w:before="0" w:after="0" w:line="264" w:lineRule="auto"/>
      </w:pPr>
      <w:r>
        <w:rPr>
          <w:rFonts w:ascii="Aptos" w:hAnsi="Aptos"/>
          <w:b w:val="0"/>
          <w:i/>
          <w:color w:val="60717D"/>
          <w:sz w:val="16"/>
        </w:rPr>
        <w:t>Open external items before official submission: four teammate names, AWS verification/deployment and a public upload URL for the completed 1:45 video.</w:t>
      </w:r>
    </w:p>
    <w:sectPr w:rsidR="00FC693F" w:rsidRPr="0006063C" w:rsidSect="00034616">
      <w:headerReference w:type="default" r:id="rId9"/>
      <w:footerReference w:type="default" r:id="rId10"/>
      <w:pgSz w:w="11909" w:h="16834"/>
      <w:pgMar w:top="979"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i w:val="0"/>
        <w:color w:val="60717D"/>
        <w:sz w:val="16"/>
      </w:rPr>
      <w:t xml:space="preserve">MASAAR  |  FINAL SUBMISSION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0717D"/>
        <w:sz w:val="16"/>
      </w:rPr>
      <w:t>MASAAR  |  AMAZON INDUSTRY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025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AFA3"/>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61828"/>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Display" w:hAnsi="Aptos Display"/>
      <w:b/>
      <w:bCs/>
      <w:color w:val="E6B9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45"/>
      <w:contextualSpacing/>
    </w:pPr>
    <w:rPr>
      <w:rFonts w:ascii="Aptos" w:hAnsi="Aptos"/>
      <w:sz w:val="18"/>
    </w:rPr>
  </w:style>
  <w:style w:type="paragraph" w:styleId="ListBullet2">
    <w:name w:val="List Bullet 2"/>
    <w:basedOn w:val="Normal"/>
    <w:uiPriority w:val="99"/>
    <w:unhideWhenUsed/>
    <w:rsid w:val="00326F90"/>
    <w:pPr>
      <w:numPr>
        <w:numId w:val="2"/>
      </w:numPr>
      <w:ind w:left="806" w:hanging="245"/>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Masaar Final Submission</dc:title>
  <dc:subject>Amazon Industry Program competition report</dc:subject>
  <dc:creator>Masaar Team</dc:creator>
  <cp:keywords>Masaar, Lebanon, social commerce, business intelligence, AWS, SQL Server</cp:keywords>
  <dc:description>generated by python-docx</dc:description>
  <cp:lastModifiedBy/>
  <cp:revision>1</cp:revision>
  <dcterms:created xsi:type="dcterms:W3CDTF">2013-12-23T23:15:00Z</dcterms:created>
  <dcterms:modified xsi:type="dcterms:W3CDTF">2013-12-23T23:15:00Z</dcterms:modified>
  <cp:category/>
</cp:coreProperties>
</file>