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MCF3M  •  Module 1 Assessment</w:t>
      </w:r>
    </w:p>
    <w:p>
      <w:pPr>
        <w:spacing w:after="200"/>
      </w:pPr>
      <w:r>
        <w:rPr>
          <w:b/>
          <w:bCs/>
          <w:color w:val="1A1A1A"/>
          <w:sz w:val="40"/>
          <w:szCs w:val="40"/>
        </w:rPr>
        <w:t xml:space="preserve">Change and Transformation</w:t>
      </w:r>
    </w:p>
    <w:p>
      <w:pPr>
        <w:pBdr>
          <w:left w:val="single" w:color="B8860B" w:sz="18" w:space="8"/>
        </w:pBdr>
        <w:spacing w:after="300" w:before="200"/>
        <w:ind w:left="576" w:right="576"/>
      </w:pPr>
      <w:r>
        <w:rPr>
          <w:i/>
          <w:iCs/>
          <w:color w:val="1A1A1A"/>
          <w:sz w:val="22"/>
          <w:szCs w:val="22"/>
        </w:rPr>
        <w:t xml:space="preserve">Math and life are usually boring. That's when you have to bend things around a little bit. The only constant, they say, is change. Paradoxical? The rate that things change at — it doesn't need to be the same. It doesn't need to be the same direction, or even the same dimension. What's changing — from linear to quadratic? How is it transforming from there?</w:t>
      </w:r>
    </w:p>
    <w:p>
      <w:pPr>
        <w:pStyle w:val="Heading1"/>
        <w:spacing w:after="150" w:before="300"/>
      </w:pPr>
      <w:r>
        <w:rPr>
          <w:b/>
          <w:bCs/>
          <w:color w:val="1A1A1A"/>
          <w:sz w:val="28"/>
          <w:szCs w:val="28"/>
        </w:rPr>
        <w:t xml:space="preserve">The Task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Tell the story of a change or transformation that's happened in your life over the last year. It doesn't have to be about you changing — it can be something or someone around you: a relationship, a team, a routine, a place, a situation you watched unfold. Your story is yours — sport, music, a habit, a relationship, a mindset, an event — but it has to be told partly in math. Build your story out of artifacts: pieces of evidence, each worth a point value, stitched together into one continuous submission (Google Doc).</w:t>
      </w:r>
    </w:p>
    <w:p>
      <w:pPr>
        <w:pStyle w:val="Heading1"/>
        <w:spacing w:after="150" w:before="300"/>
      </w:pPr>
      <w:r>
        <w:rPr>
          <w:b/>
          <w:bCs/>
          <w:color w:val="1A1A1A"/>
          <w:sz w:val="28"/>
          <w:szCs w:val="28"/>
        </w:rPr>
        <w:t xml:space="preserve">You need 20 points, built from any combination of: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00"/>
      </w:tblGrid>
      <w:tr>
        <w:tc>
          <w:tcPr>
            <w:tcW w:type="dxa" w:w="3200"/>
            <w:shd w:fill="2A2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1200"/>
            <w:shd w:fill="2A2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100"/>
            <w:shd w:fill="2A2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needs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Rate-of-Change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pt each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claim about how fast / what direction something changed — a roughly constant rate, the "slope" of a moment in your story.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The Turning Point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pts each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Did that rate itself change — sped up, slowed down, reversed? Name it in your own words first, then translate it into math language (rate of the rate / acceleration of change).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pts each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before/after shift built on a Turning Point — stretched, compressed, reflected, shifted.</w:t>
            </w:r>
          </w:p>
        </w:tc>
      </w:tr>
    </w:tbl>
    <w:p>
      <w:pPr>
        <w:spacing w:before="300"/>
      </w:pPr>
    </w:p>
    <w:p>
      <w:pPr>
        <w:pStyle w:val="Heading2"/>
        <w:spacing w:after="100" w:before="250"/>
      </w:pPr>
      <w:r>
        <w:rPr>
          <w:b/>
          <w:bCs/>
          <w:color w:val="B8860B"/>
          <w:sz w:val="24"/>
          <w:szCs w:val="24"/>
        </w:rPr>
        <w:t xml:space="preserve">Every artifact you include must carry two things with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Model — a representation standing in for that specific change: a graph, sketch, table, equation, or diagram.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Reasoning — a few sentences explaining why the math you chose actually represents what happened, not just decoration.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5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Mix and match to reach 20 points. Four 5-point Transformations. One 5, one 3, one 3, four 1s. However your story actually breaks down — the math should follow the story, not the other way around.</w:t>
      </w:r>
    </w:p>
    <w:p>
      <w:pPr>
        <w:pBdr>
          <w:bottom w:val="single" w:color="555555" w:sz="6" w:space="1"/>
        </w:pBdr>
        <w:spacing w:after="200" w:before="200"/>
      </w:pPr>
    </w:p>
    <w:p>
      <w:pPr>
        <w:pStyle w:val="Heading2"/>
        <w:spacing w:after="100" w:before="250"/>
      </w:pPr>
      <w:r>
        <w:rPr>
          <w:b/>
          <w:bCs/>
          <w:color w:val="B8860B"/>
          <w:sz w:val="24"/>
          <w:szCs w:val="24"/>
        </w:rPr>
        <w:t xml:space="preserve">A note on assessment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specific expectation this module covers is tied to one of the five artifact types above. Those same connections form the question bank for the module's multiple-choice quizzes, which you can take up to two times.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2026-07-30T14:08:11.157Z</dcterms:created>
  <dcterms:modified xsi:type="dcterms:W3CDTF">2026-07-30T14:08:11.172Z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