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458BAA6">
      <w:pPr>
        <w:pStyle w:val="857"/>
        <w:pBdr>
          <w:top w:val="none" w:color="000000" w:sz="4" w:space="0"/>
          <w:left w:val="none" w:color="000000" w:sz="4" w:space="0"/>
          <w:bottom w:val="none" w:color="000000" w:sz="4" w:space="0"/>
          <w:right w:val="none" w:color="000000" w:sz="4" w:space="0"/>
        </w:pBdr>
        <w:spacing w:after="75" w:before="0"/>
        <w:ind w:right="0" w:firstLine="0" w:left="0"/>
        <w:jc w:val="center"/>
        <w:rPr/>
      </w:pPr>
      <w:r>
        <w:rPr>
          <w:rFonts w:ascii="Calibri" w:hAnsi="Calibri" w:eastAsia="Calibri" w:cs="Calibri"/>
          <w:b/>
          <w:color w:val="000000"/>
          <w:sz w:val="36"/>
        </w:rPr>
        <w:t xml:space="preserve">Shawn M. Crowley</w:t>
      </w:r>
      <w:r/>
    </w:p>
    <w:p w14:paraId="35BE4413">
      <w:pPr>
        <w:pBdr>
          <w:top w:val="none" w:color="000000" w:sz="4" w:space="0"/>
          <w:left w:val="none" w:color="000000" w:sz="4" w:space="0"/>
          <w:bottom w:val="none" w:color="000000" w:sz="4" w:space="0"/>
          <w:right w:val="none" w:color="000000" w:sz="4" w:space="0"/>
        </w:pBdr>
        <w:spacing w:after="75" w:before="75"/>
        <w:ind w:right="0" w:firstLine="0" w:left="0"/>
        <w:jc w:val="center"/>
        <w:rPr/>
      </w:pPr>
      <w:r>
        <w:rPr>
          <w:rFonts w:ascii="Calibri" w:hAnsi="Calibri" w:eastAsia="Calibri" w:cs="Calibri"/>
          <w:color w:val="000000"/>
          <w:sz w:val="20"/>
        </w:rPr>
        <w:t xml:space="preserve">(610) 342-7565 | shawnmcrowley@gmail.com</w:t>
        <w:br/>
        <w:t xml:space="preserve">linkedin.com/in/shawnmcrowley | github.com/shawnmcrowley</w:t>
        <w:br/>
        <w:t xml:space="preserve">West Chester, PA</w:t>
      </w:r>
      <w:r/>
    </w:p>
    <w:p w14:paraId="36E83DFD">
      <w:pPr>
        <w:pStyle w:val="858"/>
        <w:pBdr>
          <w:top w:val="none" w:color="000000" w:sz="4" w:space="0"/>
          <w:left w:val="none" w:color="000000" w:sz="4" w:space="0"/>
          <w:bottom w:val="single" w:color="000000" w:sz="6" w:space="0"/>
          <w:right w:val="none" w:color="000000" w:sz="4" w:space="0"/>
        </w:pBdr>
        <w:spacing w:after="120" w:before="225"/>
        <w:ind w:right="0" w:firstLine="0" w:left="0"/>
        <w:jc w:val="both"/>
        <w:rPr/>
      </w:pPr>
      <w:r>
        <w:rPr>
          <w:rFonts w:ascii="Calibri" w:hAnsi="Calibri" w:eastAsia="Calibri" w:cs="Calibri"/>
          <w:b/>
          <w:color w:val="000000"/>
          <w:sz w:val="24"/>
        </w:rPr>
        <w:t xml:space="preserve">Professional Summary</w:t>
      </w:r>
      <w:r/>
    </w:p>
    <w:p w14:paraId="34CCDD58">
      <w:pPr>
        <w:suppressLineNumbers w:val="false"/>
        <w:pBdr>
          <w:top w:val="none" w:color="000000" w:sz="4" w:space="0"/>
          <w:left w:val="none" w:color="000000" w:sz="4" w:space="0"/>
          <w:bottom w:val="none" w:color="000000" w:sz="4" w:space="0"/>
          <w:right w:val="none" w:color="000000" w:sz="4" w:space="0"/>
        </w:pBdr>
        <w:spacing w:after="225"/>
        <w:ind w:right="0" w:firstLine="0" w:left="0"/>
        <w:jc w:val="left"/>
        <w:rPr/>
      </w:pPr>
      <w:r>
        <w:rPr>
          <w:rFonts w:ascii="Calibri" w:hAnsi="Calibri" w:eastAsia="Calibri" w:cs="Calibri"/>
          <w:color w:val="000000"/>
          <w:sz w:val="22"/>
        </w:rPr>
        <w:t xml:space="preserve">Enterprise Technology Executive with 20+ years of expertise leading organizations in design, development, go-to-market strategies, and execution of technology solutions and services. Proven track record driving digital transformation initiatives, cloud mig</w:t>
      </w:r>
      <w:r>
        <w:rPr>
          <w:rFonts w:ascii="Calibri" w:hAnsi="Calibri" w:eastAsia="Calibri" w:cs="Calibri"/>
          <w:color w:val="000000"/>
          <w:sz w:val="22"/>
        </w:rPr>
        <w:t xml:space="preserve">ration strategies, and customer</w:t>
      </w:r>
      <w:r>
        <w:rPr>
          <w:rFonts w:ascii="Calibri" w:hAnsi="Calibri" w:eastAsia="Calibri" w:cs="Calibri"/>
          <w:color w:val="000000"/>
          <w:sz w:val="22"/>
        </w:rPr>
        <w:t xml:space="preserve"> success across Fortune 100 organizations. Specialized in enterprise architecture, integration and automation (SAP/Salesforce/ERP), systems/software design and development, devops practices, and multi-cloud environments including AWS, Azure, and Snowflake.</w:t>
      </w:r>
      <w:r/>
    </w:p>
    <w:p w14:paraId="474C1C12">
      <w:pPr>
        <w:pStyle w:val="858"/>
        <w:pBdr>
          <w:top w:val="none" w:color="000000" w:sz="4" w:space="0"/>
          <w:left w:val="none" w:color="000000" w:sz="4" w:space="0"/>
          <w:bottom w:val="single" w:color="000000" w:sz="6" w:space="0"/>
          <w:right w:val="none" w:color="000000" w:sz="4" w:space="0"/>
        </w:pBdr>
        <w:spacing w:after="120" w:before="225"/>
        <w:ind w:right="0" w:firstLine="0" w:left="0"/>
        <w:rPr/>
      </w:pPr>
      <w:r>
        <w:rPr>
          <w:rFonts w:ascii="Calibri" w:hAnsi="Calibri" w:eastAsia="Calibri" w:cs="Calibri"/>
          <w:b/>
          <w:color w:val="000000"/>
          <w:sz w:val="24"/>
        </w:rPr>
        <w:t xml:space="preserve">Core Competencies</w:t>
      </w:r>
      <w:r/>
    </w:p>
    <w:p w14:paraId="2C7C452B">
      <w:pPr>
        <w:pBdr>
          <w:top w:val="none" w:color="000000" w:sz="4" w:space="0"/>
          <w:left w:val="none" w:color="000000" w:sz="4" w:space="0"/>
          <w:bottom w:val="none" w:color="000000" w:sz="4" w:space="0"/>
          <w:right w:val="none" w:color="000000" w:sz="4" w:space="0"/>
        </w:pBdr>
        <w:spacing w:line="352" w:lineRule="atLeast"/>
        <w:ind w:right="0" w:firstLine="0" w:left="0"/>
        <w:rPr/>
      </w:pPr>
      <w:r>
        <w:rPr>
          <w:rFonts w:ascii="Calibri" w:hAnsi="Calibri" w:eastAsia="Calibri" w:cs="Calibri"/>
          <w:b/>
          <w:color w:val="000000"/>
          <w:sz w:val="22"/>
        </w:rPr>
        <w:t xml:space="preserve">Leadership &amp; Strategy:</w:t>
      </w:r>
      <w:r>
        <w:br/>
      </w:r>
      <w:r>
        <w:rPr>
          <w:rFonts w:ascii="Calibri" w:hAnsi="Calibri" w:eastAsia="Calibri" w:cs="Calibri"/>
          <w:color w:val="000000"/>
          <w:sz w:val="22"/>
        </w:rPr>
        <w:t xml:space="preserve">Chief Technology Strategist </w:t>
      </w:r>
      <w:r>
        <w:rPr>
          <w:rFonts w:ascii="Calibri" w:hAnsi="Calibri" w:eastAsia="Calibri" w:cs="Calibri"/>
          <w:color w:val="000000"/>
          <w:sz w:val="22"/>
        </w:rPr>
        <w:t xml:space="preserve">• </w:t>
      </w:r>
      <w:r>
        <w:rPr>
          <w:rFonts w:ascii="Calibri" w:hAnsi="Calibri" w:eastAsia="Calibri" w:cs="Calibri"/>
          <w:color w:val="000000"/>
          <w:sz w:val="22"/>
        </w:rPr>
        <w:t xml:space="preserve">Digital Transformation • Enterprise Architecture • Customer Success • Product Development • Market Expansion • Strategic Sales Leadership</w:t>
      </w:r>
      <w:r>
        <w:rPr>
          <w:rFonts w:ascii="Calibri" w:hAnsi="Calibri" w:eastAsia="Calibri" w:cs="Calibri"/>
          <w:sz w:val="22"/>
        </w:rPr>
      </w:r>
      <w:r/>
    </w:p>
    <w:p w14:paraId="0C887299">
      <w:pPr>
        <w:pBdr>
          <w:top w:val="none" w:color="000000" w:sz="4" w:space="0"/>
          <w:left w:val="none" w:color="000000" w:sz="4" w:space="0"/>
          <w:bottom w:val="none" w:color="000000" w:sz="4" w:space="0"/>
          <w:right w:val="none" w:color="000000" w:sz="4" w:space="0"/>
        </w:pBdr>
        <w:spacing w:line="352" w:lineRule="atLeast"/>
        <w:ind w:right="0" w:firstLine="0" w:left="0"/>
        <w:rPr/>
      </w:pPr>
      <w:r>
        <w:rPr>
          <w:rFonts w:ascii="Calibri" w:hAnsi="Calibri" w:eastAsia="Calibri" w:cs="Calibri"/>
          <w:b/>
          <w:color w:val="000000"/>
          <w:sz w:val="22"/>
        </w:rPr>
        <w:t xml:space="preserve">Cloud &amp; Infrastructure:</w:t>
      </w:r>
      <w:r>
        <w:br/>
      </w:r>
      <w:r>
        <w:rPr>
          <w:rFonts w:ascii="Calibri" w:hAnsi="Calibri" w:eastAsia="Calibri" w:cs="Calibri"/>
          <w:color w:val="000000"/>
          <w:sz w:val="22"/>
        </w:rPr>
        <w:t xml:space="preserve">AWS • Azure • Google Cloud • Snowflake • Multi-Cloud Architecture • Serverless • DevOps • CI/CD</w:t>
      </w:r>
      <w:r>
        <w:rPr>
          <w:rFonts w:ascii="Calibri" w:hAnsi="Calibri" w:eastAsia="Calibri" w:cs="Calibri"/>
          <w:sz w:val="22"/>
        </w:rPr>
        <w:t xml:space="preserve"> </w:t>
      </w:r>
      <w:r>
        <w:rPr>
          <w:rFonts w:ascii="Calibri" w:hAnsi="Calibri" w:eastAsia="Calibri" w:cs="Calibri"/>
          <w:color w:val="000000"/>
          <w:sz w:val="22"/>
        </w:rPr>
        <w:t xml:space="preserve">• </w:t>
      </w:r>
      <w:r>
        <w:rPr>
          <w:rFonts w:ascii="Calibri" w:hAnsi="Calibri" w:eastAsia="Calibri" w:cs="Calibri"/>
          <w:sz w:val="22"/>
        </w:rPr>
        <w:t xml:space="preserve">AI Agents and Automation</w:t>
      </w:r>
      <w:r>
        <w:rPr>
          <w:rFonts w:ascii="Calibri" w:hAnsi="Calibri" w:eastAsia="Calibri" w:cs="Calibri"/>
          <w:sz w:val="22"/>
        </w:rPr>
      </w:r>
      <w:r/>
    </w:p>
    <w:p w14:paraId="6B58B50C">
      <w:pPr>
        <w:pBdr>
          <w:top w:val="none" w:color="000000" w:sz="4" w:space="0"/>
          <w:left w:val="none" w:color="000000" w:sz="4" w:space="0"/>
          <w:bottom w:val="none" w:color="000000" w:sz="4" w:space="0"/>
          <w:right w:val="none" w:color="000000" w:sz="4" w:space="0"/>
        </w:pBdr>
        <w:spacing w:line="352" w:lineRule="atLeast"/>
        <w:ind w:right="0" w:firstLine="0" w:left="0"/>
        <w:rPr/>
      </w:pPr>
      <w:r>
        <w:rPr>
          <w:rFonts w:ascii="Calibri" w:hAnsi="Calibri" w:eastAsia="Calibri" w:cs="Calibri"/>
          <w:b/>
          <w:color w:val="000000"/>
          <w:sz w:val="22"/>
        </w:rPr>
        <w:t xml:space="preserve">Technologies:</w:t>
      </w:r>
      <w:r>
        <w:br/>
      </w:r>
      <w:r>
        <w:rPr>
          <w:rFonts w:ascii="Calibri" w:hAnsi="Calibri" w:eastAsia="Calibri" w:cs="Calibri"/>
          <w:color w:val="000000"/>
          <w:sz w:val="22"/>
        </w:rPr>
        <w:t xml:space="preserve">Micro-services • API Integration • SAP Integration • Nextjs/React • Node.js • AI/ML • RAG Applications • Vector Databases • AI Automation </w:t>
      </w:r>
      <w:r>
        <w:rPr>
          <w:rFonts w:ascii="Calibri" w:hAnsi="Calibri" w:eastAsia="Calibri" w:cs="Calibri"/>
          <w:color w:val="000000"/>
          <w:sz w:val="22"/>
        </w:rPr>
        <w:t xml:space="preserve">• </w:t>
      </w:r>
      <w:r>
        <w:rPr>
          <w:rFonts w:ascii="Calibri" w:hAnsi="Calibri" w:eastAsia="Calibri" w:cs="Calibri"/>
          <w:color w:val="000000"/>
          <w:sz w:val="22"/>
        </w:rPr>
        <w:t xml:space="preserve">MCP/A2A</w:t>
      </w:r>
      <w:r>
        <w:rPr>
          <w:rFonts w:ascii="Calibri" w:hAnsi="Calibri" w:eastAsia="Calibri" w:cs="Calibri"/>
          <w:color w:val="000000"/>
          <w:sz w:val="22"/>
        </w:rPr>
        <w:t xml:space="preserve"> </w:t>
      </w:r>
      <w:r>
        <w:t xml:space="preserve"> </w:t>
      </w:r>
      <w:r>
        <w:rPr>
          <w:rFonts w:ascii="Calibri" w:hAnsi="Calibri" w:eastAsia="Calibri" w:cs="Calibri"/>
          <w:sz w:val="22"/>
        </w:rPr>
      </w:r>
      <w:r/>
    </w:p>
    <w:p w14:paraId="65D846CA">
      <w:pPr>
        <w:pBdr>
          <w:top w:val="none" w:color="000000" w:sz="4" w:space="0"/>
          <w:left w:val="none" w:color="000000" w:sz="4" w:space="0"/>
          <w:bottom w:val="none" w:color="000000" w:sz="4" w:space="0"/>
          <w:right w:val="none" w:color="000000" w:sz="4" w:space="0"/>
        </w:pBdr>
        <w:spacing w:line="352" w:lineRule="atLeast"/>
        <w:ind w:right="0" w:firstLine="0" w:left="0"/>
        <w:rPr/>
      </w:pPr>
      <w:r>
        <w:rPr>
          <w:rFonts w:ascii="Calibri" w:hAnsi="Calibri" w:eastAsia="Calibri" w:cs="Calibri"/>
          <w:b/>
          <w:color w:val="000000"/>
          <w:sz w:val="22"/>
        </w:rPr>
        <w:t xml:space="preserve">Industries:</w:t>
      </w:r>
      <w:r>
        <w:br/>
      </w:r>
      <w:r>
        <w:rPr>
          <w:rFonts w:ascii="Calibri" w:hAnsi="Calibri" w:eastAsia="Calibri" w:cs="Calibri"/>
          <w:color w:val="000000"/>
          <w:sz w:val="22"/>
        </w:rPr>
        <w:t xml:space="preserve">Financial Services • Insurance • Retail/CPG • Manufacturing • Healthcare • Communications • Energy • High Tech</w:t>
      </w:r>
      <w:r>
        <w:rPr>
          <w:rFonts w:ascii="Calibri" w:hAnsi="Calibri" w:eastAsia="Calibri" w:cs="Calibri"/>
          <w:sz w:val="22"/>
        </w:rPr>
      </w:r>
      <w:r/>
    </w:p>
    <w:p w14:paraId="46726001">
      <w:pPr>
        <w:pStyle w:val="858"/>
        <w:pBdr>
          <w:top w:val="none" w:color="000000" w:sz="4" w:space="0"/>
          <w:left w:val="none" w:color="000000" w:sz="4" w:space="0"/>
          <w:bottom w:val="single" w:color="000000" w:sz="6" w:space="0"/>
          <w:right w:val="none" w:color="000000" w:sz="4" w:space="0"/>
        </w:pBdr>
        <w:spacing w:after="120" w:before="225"/>
        <w:ind w:right="0" w:firstLine="0" w:left="0"/>
        <w:rPr/>
      </w:pPr>
      <w:r>
        <w:rPr>
          <w:rFonts w:ascii="Calibri" w:hAnsi="Calibri" w:eastAsia="Calibri" w:cs="Calibri"/>
          <w:b/>
          <w:color w:val="000000"/>
          <w:sz w:val="24"/>
        </w:rPr>
        <w:t xml:space="preserve">Professional Experience</w:t>
      </w:r>
      <w:r/>
    </w:p>
    <w:p w14:paraId="1AF7C6D5">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color w:val="000000"/>
          <w:sz w:val="22"/>
        </w:rPr>
        <w:t xml:space="preserve">THE LYCRA COMPANY</w:t>
      </w:r>
      <w:r>
        <w:rPr>
          <w:rFonts w:ascii="Calibri" w:hAnsi="Calibri" w:eastAsia="Calibri" w:cs="Calibri"/>
          <w:color w:val="000000"/>
          <w:sz w:val="22"/>
        </w:rPr>
        <w:t xml:space="preserve"> | Head of Global Enterprise Architecture and Operations Technology</w:t>
      </w:r>
      <w:r/>
    </w:p>
    <w:p w14:paraId="31B16CB9">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i/>
          <w:color w:val="000000"/>
          <w:sz w:val="22"/>
        </w:rPr>
        <w:t xml:space="preserve">February 2024 - Present</w:t>
      </w:r>
      <w:r/>
    </w:p>
    <w:p w14:paraId="022B1973">
      <w:pPr>
        <w:pStyle w:val="920"/>
        <w:numPr>
          <w:ilvl w:val="0"/>
          <w:numId w:val="15"/>
        </w:numPr>
        <w:pBdr/>
        <w:spacing/>
        <w:ind/>
        <w:rPr>
          <w:rFonts w:ascii="Calibri" w:hAnsi="Calibri" w:cs="Calibri"/>
          <w14:ligatures w14:val="none"/>
        </w:rPr>
      </w:pPr>
      <w:r>
        <w:rPr>
          <w:rFonts w:ascii="Calibri" w:hAnsi="Calibri" w:eastAsia="Calibri" w:cs="Calibri"/>
        </w:rPr>
        <w:t xml:space="preserve">Direct worldwide Operations Technology organization encompassing Enterprise Architecture, Applications, and Infrastructure teams across manufacturing and corporate environments. Define enterprise-wide technology strategy, governance frameworks, and invest</w:t>
      </w:r>
      <w:r>
        <w:rPr>
          <w:rFonts w:ascii="Calibri" w:hAnsi="Calibri" w:eastAsia="Calibri" w:cs="Calibri"/>
        </w:rPr>
        <w:t xml:space="preserve">ment priorities while leading digital transformation initiatives spanning MES systems, shopfloor applications, and cloud-native modernization programs.</w:t>
      </w:r>
      <w:r>
        <w:rPr>
          <w:rFonts w:ascii="Calibri" w:hAnsi="Calibri" w:eastAsia="Calibri" w:cs="Calibri"/>
        </w:rPr>
      </w:r>
      <w:r>
        <w:rPr>
          <w:rFonts w:ascii="Calibri" w:hAnsi="Calibri" w:cs="Calibri"/>
          <w14:ligatures w14:val="none"/>
        </w:rPr>
      </w:r>
    </w:p>
    <w:p w14:paraId="3352C4E6">
      <w:pPr>
        <w:pStyle w:val="920"/>
        <w:numPr>
          <w:ilvl w:val="0"/>
          <w:numId w:val="15"/>
        </w:numPr>
        <w:pBdr/>
        <w:spacing/>
        <w:ind/>
        <w:rPr>
          <w:rFonts w:ascii="Calibri" w:hAnsi="Calibri" w:cs="Calibri"/>
          <w14:ligatures w14:val="none"/>
        </w:rPr>
      </w:pPr>
      <w:r>
        <w:rPr>
          <w:rFonts w:ascii="Calibri" w:hAnsi="Calibri" w:eastAsia="Calibri" w:cs="Calibri"/>
        </w:rPr>
        <w:t xml:space="preserve">Architect intelligent automation platforms leveraging AI agents, RAG applications, and MCP integration frameworks to transform business processes. Design unified data architectures integrating Snowflake data lakehouses with Salesforce and SAP, enabling re</w:t>
      </w:r>
      <w:r>
        <w:rPr>
          <w:rFonts w:ascii="Calibri" w:hAnsi="Calibri" w:eastAsia="Calibri" w:cs="Calibri"/>
        </w:rPr>
        <w:t xml:space="preserve">al-time analytics and AI-driven decision-making across the enterprise. Technologies: AWS, Snowflake, AI/ML workflows, MCP, REST APIs.</w:t>
      </w:r>
      <w:r>
        <w:rPr>
          <w:rFonts w:ascii="Calibri" w:hAnsi="Calibri" w:eastAsia="Calibri" w:cs="Calibri"/>
        </w:rPr>
        <w:br/>
      </w:r>
      <w:r>
        <w:rPr>
          <w:rFonts w:ascii="Calibri" w:hAnsi="Calibri" w:eastAsia="Calibri" w:cs="Calibri"/>
        </w:rPr>
      </w:r>
      <w:r>
        <w:rPr>
          <w:rFonts w:ascii="Calibri" w:hAnsi="Calibri" w:cs="Calibri"/>
          <w14:ligatures w14:val="none"/>
        </w:rPr>
      </w:r>
    </w:p>
    <w:p w14:paraId="3DD9A9DB">
      <w:pPr>
        <w:pStyle w:val="920"/>
        <w:numPr>
          <w:ilvl w:val="0"/>
          <w:numId w:val="15"/>
        </w:numPr>
        <w:pBdr/>
        <w:spacing/>
        <w:ind/>
        <w:rPr>
          <w:rFonts w:ascii="Calibri" w:hAnsi="Calibri" w:cs="Calibri"/>
          <w14:ligatures w14:val="none"/>
        </w:rPr>
      </w:pPr>
      <w:r>
        <w:rPr>
          <w:rFonts w:ascii="Calibri" w:hAnsi="Calibri" w:eastAsia="Calibri" w:cs="Calibri"/>
        </w:rPr>
        <w:t xml:space="preserve">Lead multi-cloud strategy and migration programs utilizing AWS and Azure, establishing DevOps practices, CI/CD pipelines, and Infrastructure-as-Code frameworks. Drive application rationalization initiatives, systematic technical debt reduction, and cloud-</w:t>
      </w:r>
      <w:r>
        <w:rPr>
          <w:rFonts w:ascii="Calibri" w:hAnsi="Calibri" w:eastAsia="Calibri" w:cs="Calibri"/>
        </w:rPr>
        <w:t xml:space="preserve">native refactoring that improve reliability, reduce operational costs, and accelerate time-to-market.</w:t>
        <w:br/>
      </w:r>
      <w:r>
        <w:rPr>
          <w:rFonts w:ascii="Calibri" w:hAnsi="Calibri" w:eastAsia="Calibri" w:cs="Calibri"/>
        </w:rPr>
      </w:r>
      <w:r>
        <w:rPr>
          <w:rFonts w:ascii="Calibri" w:hAnsi="Calibri" w:cs="Calibri"/>
          <w14:ligatures w14:val="none"/>
        </w:rPr>
      </w:r>
    </w:p>
    <w:p w14:paraId="50482C62">
      <w:pPr>
        <w:pStyle w:val="920"/>
        <w:numPr>
          <w:ilvl w:val="0"/>
          <w:numId w:val="15"/>
        </w:numPr>
        <w:pBdr/>
        <w:spacing/>
        <w:ind/>
        <w:rPr>
          <w:rFonts w:ascii="Calibri" w:hAnsi="Calibri" w:cs="Calibri"/>
          <w14:ligatures w14:val="none"/>
        </w:rPr>
      </w:pPr>
      <w:r>
        <w:rPr>
          <w:rFonts w:ascii="Calibri" w:hAnsi="Calibri" w:eastAsia="Calibri" w:cs="Calibri"/>
        </w:rPr>
        <w:t xml:space="preserve">Champion modern application development through Progressive Web Applications (PWA), API-first architectures, and scalable data pipelines connecting disparate enterprise systems. Build robust integration layers between core platforms (SAP, Salesforce, MES)</w:t>
      </w:r>
      <w:r>
        <w:rPr>
          <w:rFonts w:ascii="Calibri" w:hAnsi="Calibri" w:eastAsia="Calibri" w:cs="Calibri"/>
        </w:rPr>
        <w:t xml:space="preserve"> while establishing agile methodologies and engineering best practices across global development teams.</w:t>
        <w:br/>
      </w:r>
      <w:r>
        <w:rPr>
          <w:rFonts w:ascii="Calibri" w:hAnsi="Calibri" w:eastAsia="Calibri" w:cs="Calibri"/>
        </w:rPr>
      </w:r>
      <w:r>
        <w:rPr>
          <w:rFonts w:ascii="Calibri" w:hAnsi="Calibri" w:cs="Calibri"/>
          <w14:ligatures w14:val="none"/>
        </w:rPr>
      </w:r>
    </w:p>
    <w:p w14:paraId="7F05B5E6">
      <w:pPr>
        <w:pStyle w:val="920"/>
        <w:numPr>
          <w:ilvl w:val="0"/>
          <w:numId w:val="15"/>
        </w:numPr>
        <w:pBdr/>
        <w:spacing/>
        <w:ind/>
        <w:rPr>
          <w:rFonts w:ascii="Calibri" w:hAnsi="Calibri" w:cs="Calibri"/>
          <w14:ligatures w14:val="none"/>
        </w:rPr>
      </w:pPr>
      <w:r>
        <w:rPr>
          <w:rFonts w:ascii="Calibri" w:hAnsi="Calibri" w:eastAsia="Calibri" w:cs="Calibri"/>
        </w:rPr>
        <w:t xml:space="preserve">Revolutionize manufacturing operations by eliminating legacy technical debt and implementing repeatable delivery frameworks. Establish comprehensive EA governance including portfolio rationalization, technology lifecycle management, and standards that bal</w:t>
      </w:r>
      <w:r>
        <w:rPr>
          <w:rFonts w:ascii="Calibri" w:hAnsi="Calibri" w:eastAsia="Calibri" w:cs="Calibri"/>
        </w:rPr>
        <w:t xml:space="preserve">ance innovation velocity with enterprise-grade security, compliance, and operational excellence.</w:t>
        <w:br/>
      </w:r>
      <w:r>
        <w:rPr>
          <w:rFonts w:ascii="Calibri" w:hAnsi="Calibri" w:cs="Calibri"/>
        </w:rPr>
      </w:r>
      <w:r>
        <w:rPr>
          <w:rFonts w:ascii="Calibri" w:hAnsi="Calibri" w:cs="Calibri"/>
          <w14:ligatures w14:val="none"/>
        </w:rPr>
      </w:r>
    </w:p>
    <w:p w14:paraId="12D3F285">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color w:val="000000"/>
          <w:sz w:val="22"/>
        </w:rPr>
        <w:t xml:space="preserve">PRIME CONSULTING</w:t>
      </w:r>
      <w:r>
        <w:rPr>
          <w:rFonts w:ascii="Calibri" w:hAnsi="Calibri" w:eastAsia="Calibri" w:cs="Calibri"/>
          <w:color w:val="000000"/>
          <w:sz w:val="22"/>
        </w:rPr>
        <w:t xml:space="preserve"> | Founder</w:t>
      </w:r>
      <w:r/>
    </w:p>
    <w:p w14:paraId="337C3B1C">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i/>
          <w:color w:val="000000"/>
          <w:sz w:val="22"/>
        </w:rPr>
        <w:t xml:space="preserve">June 2022 - February 2024</w:t>
      </w:r>
      <w:r/>
    </w:p>
    <w:p w14:paraId="30FDA4A1">
      <w:pPr>
        <w:pStyle w:val="920"/>
        <w:numPr>
          <w:ilvl w:val="0"/>
          <w:numId w:val="2"/>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Provided advisory and consulting services for creation and enhancement of Technical Pre-Sales and Customer Success organizations for SaaS and start-up companies</w:t>
      </w:r>
      <w:r/>
    </w:p>
    <w:p w14:paraId="118F6240">
      <w:pPr>
        <w:pStyle w:val="920"/>
        <w:numPr>
          <w:ilvl w:val="0"/>
          <w:numId w:val="2"/>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Delivered technology advisory services for large enterprises on product strategy, design patterns, sustainability, and agile process adoption</w:t>
      </w:r>
      <w:r/>
    </w:p>
    <w:p w14:paraId="7C7D90A3">
      <w:pPr>
        <w:pStyle w:val="920"/>
        <w:numPr>
          <w:ilvl w:val="0"/>
          <w:numId w:val="2"/>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Guided clients on CI/CD practices, cloud migration strategies, and DevOps implementation</w:t>
      </w:r>
      <w:r/>
    </w:p>
    <w:p w14:paraId="7810AAF5">
      <w:pPr>
        <w:pStyle w:val="920"/>
        <w:numPr>
          <w:ilvl w:val="0"/>
          <w:numId w:val="2"/>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Supported multiple clients across high-tech and digital payments industries with go-to-market strategies and business development</w:t>
        <w:br/>
      </w:r>
      <w:r/>
    </w:p>
    <w:p w14:paraId="3B67E37F">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color w:val="000000"/>
          <w:sz w:val="22"/>
        </w:rPr>
        <w:t xml:space="preserve">OPENLEGACY INC.</w:t>
      </w:r>
      <w:r>
        <w:rPr>
          <w:rFonts w:ascii="Calibri" w:hAnsi="Calibri" w:eastAsia="Calibri" w:cs="Calibri"/>
          <w:color w:val="000000"/>
          <w:sz w:val="22"/>
        </w:rPr>
        <w:t xml:space="preserve"> | Head of Customer Success &amp; Sales Engineering</w:t>
      </w:r>
      <w:r/>
    </w:p>
    <w:p w14:paraId="3A05F6F4">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i/>
          <w:color w:val="000000"/>
          <w:sz w:val="22"/>
        </w:rPr>
        <w:t xml:space="preserve">January 2021 - June 2022</w:t>
      </w:r>
      <w:r/>
    </w:p>
    <w:p w14:paraId="47C53A8D">
      <w:pPr>
        <w:pStyle w:val="920"/>
        <w:numPr>
          <w:ilvl w:val="0"/>
          <w:numId w:val="3"/>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Built and led pre-sales and post-sales engineering organization to evangelize OpenLegacy's SaaS platform</w:t>
      </w:r>
      <w:r/>
    </w:p>
    <w:p w14:paraId="71365699">
      <w:pPr>
        <w:pStyle w:val="920"/>
        <w:numPr>
          <w:ilvl w:val="0"/>
          <w:numId w:val="3"/>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Served as Executive Sponsor and Program Leader for largest enterprise customers driving technical engagements and platform consumption</w:t>
      </w:r>
      <w:r/>
    </w:p>
    <w:p w14:paraId="5F135964">
      <w:pPr>
        <w:pStyle w:val="920"/>
        <w:numPr>
          <w:ilvl w:val="0"/>
          <w:numId w:val="3"/>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Hosted and presented joint partner engagements including videos and interviews with Dell Boomi, IBM, Redhat, Broadcom, and VMware executives</w:t>
      </w:r>
      <w:r/>
    </w:p>
    <w:p w14:paraId="530D02D0">
      <w:pPr>
        <w:pStyle w:val="920"/>
        <w:numPr>
          <w:ilvl w:val="0"/>
          <w:numId w:val="3"/>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Led Customer Success initiatives to promote satisfaction, education on new features, customer retention, and ARR growth</w:t>
      </w:r>
      <w:r/>
    </w:p>
    <w:p w14:paraId="498924FB">
      <w:pPr>
        <w:pStyle w:val="920"/>
        <w:numPr>
          <w:ilvl w:val="0"/>
          <w:numId w:val="3"/>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Focused on C-Level engagements within Financial Services, Insurance, Retail, and Telco industries</w:t>
      </w:r>
      <w:r/>
    </w:p>
    <w:p w14:paraId="5C625346">
      <w:pPr>
        <w:pStyle w:val="920"/>
        <w:numPr>
          <w:ilvl w:val="0"/>
          <w:numId w:val="3"/>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Helped organizations modernize legacy core systems using Cloud Native and Agile principles to decrease time-to-market</w:t>
        <w:br/>
      </w:r>
      <w:r/>
    </w:p>
    <w:p w14:paraId="75EF6D4A">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color w:val="000000"/>
          <w:sz w:val="22"/>
        </w:rPr>
        <w:t xml:space="preserve">FREEDOMPAY</w:t>
      </w:r>
      <w:r>
        <w:rPr>
          <w:rFonts w:ascii="Calibri" w:hAnsi="Calibri" w:eastAsia="Calibri" w:cs="Calibri"/>
          <w:color w:val="000000"/>
          <w:sz w:val="22"/>
        </w:rPr>
        <w:t xml:space="preserve"> | Vice President, Sales Engineering and Customer Success</w:t>
      </w:r>
      <w:r/>
    </w:p>
    <w:p w14:paraId="6815F09D">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i/>
          <w:color w:val="000000"/>
          <w:sz w:val="22"/>
        </w:rPr>
        <w:t xml:space="preserve">January 2019 - April 2020</w:t>
      </w:r>
      <w:r/>
    </w:p>
    <w:p w14:paraId="5AFB23CE">
      <w:pPr>
        <w:pStyle w:val="920"/>
        <w:numPr>
          <w:ilvl w:val="0"/>
          <w:numId w:val="4"/>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Served as Executive Sponsor and Program Leader for largest enterprise customers, driving approximately $100 million in revenue</w:t>
      </w:r>
      <w:r/>
    </w:p>
    <w:p w14:paraId="11037677">
      <w:pPr>
        <w:pStyle w:val="920"/>
        <w:numPr>
          <w:ilvl w:val="0"/>
          <w:numId w:val="4"/>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Built and led pre-sales engineering organization using enterprise architecture as growth driver</w:t>
      </w:r>
      <w:r/>
    </w:p>
    <w:p w14:paraId="4ADE42DB">
      <w:pPr>
        <w:pStyle w:val="920"/>
        <w:numPr>
          <w:ilvl w:val="0"/>
          <w:numId w:val="4"/>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Led product strategy to design, develop, and market innovative Consumer Analytics cloud platform leveraging Azure App Services</w:t>
      </w:r>
      <w:r/>
    </w:p>
    <w:p w14:paraId="41E2ACF0">
      <w:pPr>
        <w:pStyle w:val="920"/>
        <w:numPr>
          <w:ilvl w:val="0"/>
          <w:numId w:val="4"/>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Analyzed spending patterns to grow overall basket size and deliver enhanced customer functionality</w:t>
      </w:r>
      <w:r/>
    </w:p>
    <w:p w14:paraId="082EDFDE">
      <w:pPr>
        <w:pStyle w:val="920"/>
        <w:numPr>
          <w:ilvl w:val="0"/>
          <w:numId w:val="4"/>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Drove international business expansion into Europe, Asia, and Middle East</w:t>
      </w:r>
      <w:r/>
    </w:p>
    <w:p w14:paraId="23D03445">
      <w:pPr>
        <w:pStyle w:val="920"/>
        <w:numPr>
          <w:ilvl w:val="0"/>
          <w:numId w:val="4"/>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Leveraged growing partner ecosystem to expand payments globally</w:t>
      </w:r>
      <w:r/>
    </w:p>
    <w:p w14:paraId="332162D2">
      <w:pPr>
        <w:pStyle w:val="920"/>
        <w:numPr>
          <w:ilvl w:val="0"/>
          <w:numId w:val="4"/>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Championed payments and loyalty rewards strategy for world's largest hotel chain across 4,000 locations in 180 countries</w:t>
        <w:br/>
      </w:r>
      <w:r/>
    </w:p>
    <w:p w14:paraId="61A6F09C">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color w:val="000000"/>
          <w:sz w:val="22"/>
        </w:rPr>
        <w:t xml:space="preserve">ORACLE USA</w:t>
      </w:r>
      <w:r>
        <w:rPr>
          <w:rFonts w:ascii="Calibri" w:hAnsi="Calibri" w:eastAsia="Calibri" w:cs="Calibri"/>
          <w:color w:val="000000"/>
          <w:sz w:val="22"/>
        </w:rPr>
        <w:t xml:space="preserve"> | Executive Director, Industry Solutions and Strategic Engagements</w:t>
      </w:r>
      <w:r/>
    </w:p>
    <w:p w14:paraId="66B60790">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i/>
          <w:color w:val="000000"/>
          <w:sz w:val="22"/>
        </w:rPr>
        <w:t xml:space="preserve">August 2005 - January 2019</w:t>
      </w:r>
      <w:r/>
    </w:p>
    <w:p w14:paraId="0C278012">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color w:val="000000"/>
          <w:sz w:val="22"/>
        </w:rPr>
        <w:t xml:space="preserve">Executive Director, Industry Solutions and Strategic Engagements</w:t>
      </w:r>
      <w:r>
        <w:rPr>
          <w:rFonts w:ascii="Calibri" w:hAnsi="Calibri" w:eastAsia="Calibri" w:cs="Calibri"/>
          <w:color w:val="000000"/>
          <w:sz w:val="22"/>
        </w:rPr>
        <w:t xml:space="preserve"> (May 2014 - January 2019)</w:t>
      </w:r>
      <w:r/>
    </w:p>
    <w:p w14:paraId="6AAAA4A6">
      <w:pPr>
        <w:pStyle w:val="920"/>
        <w:numPr>
          <w:ilvl w:val="0"/>
          <w:numId w:val="5"/>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Built and led Executive Industry Team focused on Fortune 100 accounts across multiple industries driving $20 million per industry</w:t>
      </w:r>
      <w:r/>
    </w:p>
    <w:p w14:paraId="20EDF69B">
      <w:pPr>
        <w:pStyle w:val="920"/>
        <w:numPr>
          <w:ilvl w:val="0"/>
          <w:numId w:val="5"/>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Delivered 30% growth in Strategic License Sales across 6 lines of business generating $1.1 billion in revenue</w:t>
      </w:r>
      <w:r/>
    </w:p>
    <w:p w14:paraId="3D4A460C">
      <w:pPr>
        <w:pStyle w:val="920"/>
        <w:numPr>
          <w:ilvl w:val="0"/>
          <w:numId w:val="5"/>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Drove large transformational solutions leveraging PaaS, SaaS, and IaaS with Mobile, Big Data, and IoT focus</w:t>
      </w:r>
      <w:r/>
    </w:p>
    <w:p w14:paraId="59E16C74">
      <w:pPr>
        <w:pStyle w:val="920"/>
        <w:numPr>
          <w:ilvl w:val="0"/>
          <w:numId w:val="5"/>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Provided strategic leadership of Enterprise Agreements across North America contributing to $850 million in annual revenue</w:t>
      </w:r>
      <w:r/>
    </w:p>
    <w:p w14:paraId="34E62030">
      <w:pPr>
        <w:pStyle w:val="920"/>
        <w:numPr>
          <w:ilvl w:val="0"/>
          <w:numId w:val="5"/>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Built multi-industry solutions group for Fortune 100 customers in Financial Services, Retail/CPG, Utilities, Communications, Manufacturing, and Healthcare</w:t>
      </w:r>
      <w:r/>
    </w:p>
    <w:p w14:paraId="25684B55">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color w:val="000000"/>
          <w:sz w:val="22"/>
        </w:rPr>
        <w:t xml:space="preserve">Senior Director, Middleware Solution Development</w:t>
      </w:r>
      <w:r>
        <w:rPr>
          <w:rFonts w:ascii="Calibri" w:hAnsi="Calibri" w:eastAsia="Calibri" w:cs="Calibri"/>
          <w:color w:val="000000"/>
          <w:sz w:val="22"/>
        </w:rPr>
        <w:t xml:space="preserve"> (May 2011 - May 2014)</w:t>
      </w:r>
      <w:r/>
    </w:p>
    <w:p w14:paraId="27AA7671">
      <w:pPr>
        <w:pStyle w:val="920"/>
        <w:numPr>
          <w:ilvl w:val="0"/>
          <w:numId w:val="6"/>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Drove strategy, go-to-market, and enablement for Middleware Technology Business focusing on Cloud, Integration, Mobile, and Microservices</w:t>
      </w:r>
      <w:r/>
    </w:p>
    <w:p w14:paraId="3F75F8BD">
      <w:pPr>
        <w:pStyle w:val="920"/>
        <w:numPr>
          <w:ilvl w:val="0"/>
          <w:numId w:val="6"/>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Led C-Level engagements evangelizing digital transformation leveraging Enterprise Architecture</w:t>
      </w:r>
      <w:r/>
    </w:p>
    <w:p w14:paraId="0AE57CD6">
      <w:pPr>
        <w:pStyle w:val="920"/>
        <w:numPr>
          <w:ilvl w:val="0"/>
          <w:numId w:val="6"/>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Grew Middleware Software Business to approximately $500 million in revenue</w:t>
      </w:r>
      <w:r/>
    </w:p>
    <w:p w14:paraId="76B96F7D">
      <w:pPr>
        <w:pStyle w:val="920"/>
        <w:numPr>
          <w:ilvl w:val="0"/>
          <w:numId w:val="6"/>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Transformed on-premises delivery business to approximately 95% subscription-based distribution</w:t>
      </w:r>
      <w:r/>
    </w:p>
    <w:p w14:paraId="32588191">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color w:val="000000"/>
          <w:sz w:val="22"/>
        </w:rPr>
        <w:t xml:space="preserve">Lead Enterprise Architect</w:t>
      </w:r>
      <w:r>
        <w:rPr>
          <w:rFonts w:ascii="Calibri" w:hAnsi="Calibri" w:eastAsia="Calibri" w:cs="Calibri"/>
          <w:color w:val="000000"/>
          <w:sz w:val="22"/>
        </w:rPr>
        <w:t xml:space="preserve"> (August 2005 - May 2011)</w:t>
      </w:r>
      <w:r/>
    </w:p>
    <w:p w14:paraId="57C1B538">
      <w:pPr>
        <w:pStyle w:val="920"/>
        <w:numPr>
          <w:ilvl w:val="0"/>
          <w:numId w:val="7"/>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Led large architectural engagements focused on Oracle Applications and surrounding technology</w:t>
      </w:r>
      <w:r/>
    </w:p>
    <w:p w14:paraId="4D171F5E">
      <w:pPr>
        <w:pStyle w:val="920"/>
        <w:numPr>
          <w:ilvl w:val="0"/>
          <w:numId w:val="7"/>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Streamlined business processes and re-engineered cross-application integrations</w:t>
      </w:r>
      <w:r/>
    </w:p>
    <w:p w14:paraId="2136E381">
      <w:pPr>
        <w:pStyle w:val="920"/>
        <w:numPr>
          <w:ilvl w:val="0"/>
          <w:numId w:val="7"/>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Drove engagements resulting in approximately $100 million of Middleware Technology Sales</w:t>
      </w:r>
      <w:r/>
    </w:p>
    <w:p w14:paraId="18970B6A">
      <w:pPr>
        <w:pStyle w:val="920"/>
        <w:numPr>
          <w:ilvl w:val="0"/>
          <w:numId w:val="7"/>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Designed and developed cross-industry solutions leveraging hybrid architectural strategies</w:t>
        <w:br/>
      </w:r>
      <w:r/>
    </w:p>
    <w:p w14:paraId="36E9577F">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color w:val="000000"/>
          <w:sz w:val="22"/>
        </w:rPr>
        <w:t xml:space="preserve">GARTNER GROUP</w:t>
      </w:r>
      <w:r>
        <w:rPr>
          <w:rFonts w:ascii="Calibri" w:hAnsi="Calibri" w:eastAsia="Calibri" w:cs="Calibri"/>
          <w:color w:val="000000"/>
          <w:sz w:val="22"/>
        </w:rPr>
        <w:t xml:space="preserve"> | Director of Engineering</w:t>
      </w:r>
      <w:r/>
    </w:p>
    <w:p w14:paraId="6EB77260">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i/>
          <w:color w:val="000000"/>
          <w:sz w:val="22"/>
        </w:rPr>
        <w:t xml:space="preserve">August 1999 - July 2005</w:t>
      </w:r>
      <w:r/>
    </w:p>
    <w:p w14:paraId="474BFA1F">
      <w:pPr>
        <w:pStyle w:val="920"/>
        <w:numPr>
          <w:ilvl w:val="0"/>
          <w:numId w:val="8"/>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Transformed research supply chain from manual paper-based workstream to digital subscription-based cloud vehicle</w:t>
      </w:r>
      <w:r/>
    </w:p>
    <w:p w14:paraId="349A1A76">
      <w:pPr>
        <w:pStyle w:val="920"/>
        <w:numPr>
          <w:ilvl w:val="0"/>
          <w:numId w:val="8"/>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Responsible for design, development, and management of J2EE application portfolio including subscriptions, payments, fulfillment, and search</w:t>
      </w:r>
      <w:r/>
    </w:p>
    <w:p w14:paraId="24820C99">
      <w:pPr>
        <w:pStyle w:val="920"/>
        <w:numPr>
          <w:ilvl w:val="0"/>
          <w:numId w:val="8"/>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Led multiple teams of engineers for internal and customer-facing applications creating entire publication lifecycle</w:t>
        <w:br/>
      </w:r>
      <w:r/>
    </w:p>
    <w:p w14:paraId="5933DFD2">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b/>
          <w:color w:val="000000"/>
          <w:sz w:val="22"/>
        </w:rPr>
        <w:t xml:space="preserve">UNIVERSITY OF BUFFALO</w:t>
      </w:r>
      <w:r>
        <w:rPr>
          <w:rFonts w:ascii="Calibri" w:hAnsi="Calibri" w:eastAsia="Calibri" w:cs="Calibri"/>
          <w:color w:val="000000"/>
          <w:sz w:val="22"/>
        </w:rPr>
        <w:t xml:space="preserve"> | Faculty Instructor</w:t>
      </w:r>
      <w:r/>
    </w:p>
    <w:p w14:paraId="48CD7E38">
      <w:pPr>
        <w:pBdr>
          <w:top w:val="none" w:color="000000" w:sz="4" w:space="0"/>
          <w:left w:val="none" w:color="000000" w:sz="4" w:space="0"/>
          <w:bottom w:val="none" w:color="000000" w:sz="4" w:space="0"/>
          <w:right w:val="none" w:color="000000" w:sz="4" w:space="0"/>
        </w:pBdr>
        <w:spacing/>
        <w:ind w:right="0" w:firstLine="0" w:left="0"/>
        <w:rPr/>
      </w:pPr>
      <w:r>
        <w:rPr>
          <w:rFonts w:ascii="Calibri" w:hAnsi="Calibri" w:eastAsia="Calibri" w:cs="Calibri"/>
          <w:i/>
          <w:color w:val="000000"/>
          <w:sz w:val="22"/>
        </w:rPr>
        <w:t xml:space="preserve">January 1999 - Present</w:t>
      </w:r>
      <w:r/>
    </w:p>
    <w:p w14:paraId="6056B2DD">
      <w:pPr>
        <w:pStyle w:val="920"/>
        <w:numPr>
          <w:ilvl w:val="0"/>
          <w:numId w:val="9"/>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Adjunct Faculty Instructor teaching Android Mobile Development, NoSQL and React SPAs, Azure Functions, Oracle Database Administration, Internet Programming, Systems Administration, and Linux Essentials</w:t>
      </w:r>
      <w:r/>
    </w:p>
    <w:p w14:paraId="7B5A1E01">
      <w:pPr>
        <w:pStyle w:val="858"/>
        <w:pBdr>
          <w:top w:val="none" w:color="000000" w:sz="4" w:space="0"/>
          <w:left w:val="none" w:color="000000" w:sz="4" w:space="0"/>
          <w:bottom w:val="single" w:color="000000" w:sz="6" w:space="0"/>
          <w:right w:val="none" w:color="000000" w:sz="4" w:space="0"/>
        </w:pBdr>
        <w:spacing w:after="120" w:before="225"/>
        <w:ind w:right="0" w:firstLine="0" w:left="0"/>
        <w:rPr/>
      </w:pPr>
      <w:r>
        <w:rPr>
          <w:rFonts w:ascii="Calibri" w:hAnsi="Calibri" w:eastAsia="Calibri" w:cs="Calibri"/>
          <w:b/>
          <w:color w:val="000000"/>
          <w:sz w:val="24"/>
        </w:rPr>
        <w:t xml:space="preserve">Education</w:t>
      </w:r>
      <w:r/>
    </w:p>
    <w:p w14:paraId="28805F0F">
      <w:pPr>
        <w:pBdr>
          <w:top w:val="none" w:color="000000" w:sz="4" w:space="0"/>
          <w:left w:val="none" w:color="000000" w:sz="4" w:space="0"/>
          <w:bottom w:val="none" w:color="000000" w:sz="4" w:space="0"/>
          <w:right w:val="none" w:color="000000" w:sz="4" w:space="0"/>
        </w:pBdr>
        <w:spacing w:after="150"/>
        <w:ind w:right="0" w:firstLine="0" w:left="0"/>
        <w:rPr/>
      </w:pPr>
      <w:r>
        <w:rPr>
          <w:rFonts w:ascii="Calibri" w:hAnsi="Calibri" w:eastAsia="Calibri" w:cs="Calibri"/>
          <w:b/>
          <w:color w:val="000000"/>
          <w:sz w:val="22"/>
        </w:rPr>
        <w:t xml:space="preserve">Bachelor of Science, Management Information Systems</w:t>
        <w:br/>
      </w:r>
      <w:r>
        <w:rPr>
          <w:rFonts w:ascii="Calibri" w:hAnsi="Calibri" w:eastAsia="Calibri" w:cs="Calibri"/>
          <w:color w:val="000000"/>
          <w:sz w:val="22"/>
        </w:rPr>
        <w:t xml:space="preserve">Pennsylvania State University, State College, PA</w:t>
      </w:r>
      <w:r/>
    </w:p>
    <w:p w14:paraId="5BE71320">
      <w:pPr>
        <w:pStyle w:val="858"/>
        <w:pBdr>
          <w:top w:val="none" w:color="000000" w:sz="4" w:space="0"/>
          <w:left w:val="none" w:color="000000" w:sz="4" w:space="0"/>
          <w:bottom w:val="single" w:color="000000" w:sz="6" w:space="0"/>
          <w:right w:val="none" w:color="000000" w:sz="4" w:space="0"/>
        </w:pBdr>
        <w:spacing w:after="120" w:before="225"/>
        <w:ind w:right="0" w:firstLine="0" w:left="0"/>
        <w:rPr/>
      </w:pPr>
      <w:r>
        <w:rPr>
          <w:rFonts w:ascii="Calibri" w:hAnsi="Calibri" w:eastAsia="Calibri" w:cs="Calibri"/>
          <w:b/>
          <w:color w:val="000000"/>
          <w:sz w:val="24"/>
        </w:rPr>
        <w:t xml:space="preserve">Professional Development &amp; Certifications</w:t>
      </w:r>
      <w:r/>
    </w:p>
    <w:p w14:paraId="5664993A">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Model Context Protocol (MCP) - October 2025</w:t>
      </w:r>
      <w:r/>
    </w:p>
    <w:p w14:paraId="54626386">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OpenAI API - AI Agents - October 2025</w:t>
      </w:r>
      <w:r/>
    </w:p>
    <w:p w14:paraId="5171BEB9">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RAG Applications with Vector Databases - October 2025</w:t>
      </w:r>
      <w:r/>
    </w:p>
    <w:p w14:paraId="45942031">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Retrieval Augmented Generation - October 2025</w:t>
      </w:r>
      <w:r/>
    </w:p>
    <w:p w14:paraId="3D09D372">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Oracle Cloud Infrastructure - June 2023</w:t>
      </w:r>
      <w:r/>
    </w:p>
    <w:p w14:paraId="6ADFDA1D">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DevOps and Containerization - February 2024</w:t>
      </w:r>
      <w:r/>
    </w:p>
    <w:p w14:paraId="58B9AE46">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Essentials - February 2023</w:t>
      </w:r>
      <w:r/>
    </w:p>
    <w:p w14:paraId="737705F4">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AWS Infrastructure as Code - November 2022</w:t>
      </w:r>
      <w:r/>
    </w:p>
    <w:p w14:paraId="4AA456E0">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Google Cloud Developer and DevOps - October 2022</w:t>
      </w:r>
      <w:r/>
    </w:p>
    <w:p w14:paraId="718145BC">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Full Stack Development with React - 2022</w:t>
      </w:r>
      <w:r/>
    </w:p>
    <w:p w14:paraId="4F7C0134">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Serverless Architecture - November 2022</w:t>
      </w:r>
      <w:r/>
    </w:p>
    <w:p w14:paraId="39B63D88">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Microservices Foundations - October 2022</w:t>
      </w:r>
      <w:r/>
    </w:p>
    <w:p w14:paraId="09C36941">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TOGAF for Practitioners - October 2010</w:t>
      </w:r>
      <w:r/>
    </w:p>
    <w:p w14:paraId="1C80D16F">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Advanced Value Selling - May 2009</w:t>
      </w:r>
      <w:r/>
    </w:p>
    <w:p w14:paraId="7304D6C1">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Finance for Technical Executive, MIT Sloan - October 2010</w:t>
      </w:r>
      <w:r/>
    </w:p>
    <w:p w14:paraId="34ADD433">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Advanced J2EE/EJB Development - August 2004</w:t>
      </w:r>
      <w:r/>
    </w:p>
    <w:p w14:paraId="2676477A">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Project Management, PMI - March 2004</w:t>
      </w:r>
      <w:r/>
    </w:p>
    <w:p w14:paraId="3F1D0724">
      <w:pPr>
        <w:pStyle w:val="920"/>
        <w:numPr>
          <w:ilvl w:val="0"/>
          <w:numId w:val="10"/>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Management/Leadership/Mentoring, IMG - April 2002</w:t>
      </w:r>
      <w:r/>
    </w:p>
    <w:p w14:paraId="4DAA6F92">
      <w:pPr>
        <w:pStyle w:val="858"/>
        <w:pBdr>
          <w:top w:val="none" w:color="000000" w:sz="4" w:space="0"/>
          <w:left w:val="none" w:color="000000" w:sz="4" w:space="0"/>
          <w:bottom w:val="single" w:color="000000" w:sz="6" w:space="0"/>
          <w:right w:val="none" w:color="000000" w:sz="4" w:space="0"/>
        </w:pBdr>
        <w:spacing w:after="120" w:before="225"/>
        <w:ind w:right="0" w:firstLine="0" w:left="0"/>
        <w:rPr/>
      </w:pPr>
      <w:r>
        <w:rPr>
          <w:rFonts w:ascii="Calibri" w:hAnsi="Calibri" w:eastAsia="Calibri" w:cs="Calibri"/>
          <w:b/>
          <w:color w:val="000000"/>
          <w:sz w:val="24"/>
        </w:rPr>
        <w:t xml:space="preserve">Awards &amp; Recognition</w:t>
      </w:r>
      <w:r/>
    </w:p>
    <w:p w14:paraId="25C5CE2E">
      <w:pPr>
        <w:pStyle w:val="920"/>
        <w:numPr>
          <w:ilvl w:val="0"/>
          <w:numId w:val="11"/>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Solution Execution of the Year - June 2011</w:t>
      </w:r>
      <w:r/>
    </w:p>
    <w:p w14:paraId="2C67618B">
      <w:pPr>
        <w:pStyle w:val="920"/>
        <w:numPr>
          <w:ilvl w:val="0"/>
          <w:numId w:val="11"/>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Middleware Architect of the Year - June 2010</w:t>
      </w:r>
      <w:r/>
    </w:p>
    <w:p w14:paraId="508B7178">
      <w:pPr>
        <w:pStyle w:val="858"/>
        <w:pBdr>
          <w:top w:val="none" w:color="000000" w:sz="4" w:space="0"/>
          <w:left w:val="none" w:color="000000" w:sz="4" w:space="0"/>
          <w:bottom w:val="single" w:color="000000" w:sz="6" w:space="0"/>
          <w:right w:val="none" w:color="000000" w:sz="4" w:space="0"/>
        </w:pBdr>
        <w:spacing w:after="120" w:before="225"/>
        <w:ind w:right="0" w:firstLine="0" w:left="0"/>
        <w:rPr/>
      </w:pPr>
      <w:r>
        <w:rPr>
          <w:rFonts w:ascii="Calibri" w:hAnsi="Calibri" w:eastAsia="Calibri" w:cs="Calibri"/>
          <w:b/>
          <w:color w:val="000000"/>
          <w:sz w:val="24"/>
        </w:rPr>
        <w:t xml:space="preserve">Professional Affiliations</w:t>
      </w:r>
      <w:r/>
    </w:p>
    <w:p w14:paraId="7F7651C9">
      <w:pPr>
        <w:pStyle w:val="920"/>
        <w:numPr>
          <w:ilvl w:val="0"/>
          <w:numId w:val="12"/>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GLG Council Member</w:t>
      </w:r>
      <w:r/>
    </w:p>
    <w:p w14:paraId="21A041A1">
      <w:pPr>
        <w:pStyle w:val="920"/>
        <w:numPr>
          <w:ilvl w:val="0"/>
          <w:numId w:val="12"/>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GuidePoint Advisors - Technical Advisor</w:t>
      </w:r>
      <w:r/>
    </w:p>
    <w:p w14:paraId="1EB7B3E2">
      <w:pPr>
        <w:pStyle w:val="920"/>
        <w:numPr>
          <w:ilvl w:val="0"/>
          <w:numId w:val="12"/>
        </w:numPr>
        <w:pBdr>
          <w:top w:val="none" w:color="000000" w:sz="4" w:space="0"/>
          <w:left w:val="none" w:color="000000" w:sz="4" w:space="0"/>
          <w:bottom w:val="none" w:color="000000" w:sz="4" w:space="0"/>
          <w:right w:val="none" w:color="000000" w:sz="4" w:space="0"/>
        </w:pBdr>
        <w:spacing w:after="60"/>
        <w:ind w:right="0"/>
        <w:rPr/>
      </w:pPr>
      <w:r>
        <w:rPr>
          <w:rFonts w:ascii="Calibri" w:hAnsi="Calibri" w:eastAsia="Calibri" w:cs="Calibri"/>
          <w:color w:val="000000"/>
          <w:sz w:val="22"/>
        </w:rPr>
        <w:t xml:space="preserve">Advisory Cloud - Board Member and Technical Advisor</w:t>
      </w:r>
      <w:r/>
    </w:p>
    <w:p w14:paraId="4482F3C4">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6858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259EF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C6660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82F4E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D655A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A03CC9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BA5B9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CAD34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AEDB0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5B8AE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755B5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1E5F3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A6858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E9858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3D0960D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1">
    <w:name w:val="Table Grid"/>
    <w:basedOn w:val="91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Table Grid Light"/>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1"/>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2"/>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3"/>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4"/>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5"/>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w:basedOn w:val="91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w:basedOn w:val="9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1"/>
    <w:basedOn w:val="9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2"/>
    <w:basedOn w:val="9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3"/>
    <w:basedOn w:val="9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4"/>
    <w:basedOn w:val="9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5"/>
    <w:basedOn w:val="9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6"/>
    <w:basedOn w:val="9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1"/>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2"/>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3"/>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4"/>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5"/>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6"/>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4">
    <w:name w:val="Grid Table 6 Colorful - Accent 1"/>
    <w:basedOn w:val="9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5">
    <w:name w:val="Grid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6">
    <w:name w:val="Grid Table 6 Colorful - Accent 3"/>
    <w:basedOn w:val="9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7">
    <w:name w:val="Grid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8">
    <w:name w:val="Grid Table 6 Colorful - Accent 5"/>
    <w:basedOn w:val="9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9">
    <w:name w:val="Grid Table 6 Colorful - Accent 6"/>
    <w:basedOn w:val="9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7 Colorful"/>
    <w:basedOn w:val="9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1"/>
    <w:basedOn w:val="9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5"/>
    <w:basedOn w:val="9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6"/>
    <w:basedOn w:val="9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1"/>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2"/>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3"/>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4"/>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5"/>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6"/>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w:basedOn w:val="9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1"/>
    <w:basedOn w:val="9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2"/>
    <w:basedOn w:val="9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3"/>
    <w:basedOn w:val="9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4"/>
    <w:basedOn w:val="9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5"/>
    <w:basedOn w:val="9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6"/>
    <w:basedOn w:val="9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1"/>
    <w:basedOn w:val="9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3"/>
    <w:basedOn w:val="9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5"/>
    <w:basedOn w:val="9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6"/>
    <w:basedOn w:val="9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1"/>
    <w:basedOn w:val="9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2"/>
    <w:basedOn w:val="9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3"/>
    <w:basedOn w:val="9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4"/>
    <w:basedOn w:val="9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5"/>
    <w:basedOn w:val="9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6"/>
    <w:basedOn w:val="9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5 Dark"/>
    <w:basedOn w:val="9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1"/>
    <w:basedOn w:val="9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2"/>
    <w:basedOn w:val="9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3"/>
    <w:basedOn w:val="9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4"/>
    <w:basedOn w:val="9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5"/>
    <w:basedOn w:val="9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6"/>
    <w:basedOn w:val="9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1"/>
    <w:basedOn w:val="9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3"/>
    <w:basedOn w:val="9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5"/>
    <w:basedOn w:val="9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6"/>
    <w:basedOn w:val="9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7 Colorful"/>
    <w:basedOn w:val="9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0">
    <w:name w:val="List Table 7 Colorful - Accent 1"/>
    <w:basedOn w:val="9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1">
    <w:name w:val="List Table 7 Colorful - Accent 2"/>
    <w:basedOn w:val="9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2">
    <w:name w:val="List Table 7 Colorful - Accent 3"/>
    <w:basedOn w:val="9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3">
    <w:name w:val="List Table 7 Colorful - Accent 4"/>
    <w:basedOn w:val="9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4">
    <w:name w:val="List Table 7 Colorful - Accent 5"/>
    <w:basedOn w:val="9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5">
    <w:name w:val="List Table 7 Colorful - Accent 6"/>
    <w:basedOn w:val="9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6">
    <w:name w:val="Lined - Accent"/>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1"/>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2"/>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3"/>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4"/>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5"/>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6"/>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w:basedOn w:val="9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1"/>
    <w:basedOn w:val="9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2"/>
    <w:basedOn w:val="9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3"/>
    <w:basedOn w:val="9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4"/>
    <w:basedOn w:val="9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5"/>
    <w:basedOn w:val="9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6"/>
    <w:basedOn w:val="9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w:basedOn w:val="9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7">
    <w:name w:val="Heading 1"/>
    <w:basedOn w:val="916"/>
    <w:next w:val="916"/>
    <w:link w:val="86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8">
    <w:name w:val="Heading 2"/>
    <w:basedOn w:val="916"/>
    <w:next w:val="916"/>
    <w:link w:val="86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9">
    <w:name w:val="Heading 3"/>
    <w:basedOn w:val="916"/>
    <w:next w:val="916"/>
    <w:link w:val="86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0">
    <w:name w:val="Heading 4"/>
    <w:basedOn w:val="916"/>
    <w:next w:val="916"/>
    <w:link w:val="87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1">
    <w:name w:val="Heading 5"/>
    <w:basedOn w:val="916"/>
    <w:next w:val="916"/>
    <w:link w:val="87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2">
    <w:name w:val="Heading 6"/>
    <w:basedOn w:val="916"/>
    <w:next w:val="916"/>
    <w:link w:val="87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3">
    <w:name w:val="Heading 7"/>
    <w:basedOn w:val="916"/>
    <w:next w:val="916"/>
    <w:link w:val="87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4">
    <w:name w:val="Heading 8"/>
    <w:basedOn w:val="916"/>
    <w:next w:val="916"/>
    <w:link w:val="87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5">
    <w:name w:val="Heading 9"/>
    <w:basedOn w:val="916"/>
    <w:next w:val="916"/>
    <w:link w:val="87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6" w:default="1">
    <w:name w:val="Default Paragraph Font"/>
    <w:uiPriority w:val="1"/>
    <w:semiHidden/>
    <w:unhideWhenUsed/>
    <w:pPr>
      <w:pBdr/>
      <w:spacing/>
      <w:ind/>
    </w:pPr>
  </w:style>
  <w:style w:type="character" w:styleId="867">
    <w:name w:val="Heading 1 Char"/>
    <w:basedOn w:val="866"/>
    <w:link w:val="857"/>
    <w:uiPriority w:val="9"/>
    <w:pPr>
      <w:pBdr/>
      <w:spacing/>
      <w:ind/>
    </w:pPr>
    <w:rPr>
      <w:rFonts w:ascii="Arial" w:hAnsi="Arial" w:eastAsia="Arial" w:cs="Arial"/>
      <w:color w:val="0f4761" w:themeColor="accent1" w:themeShade="BF"/>
      <w:sz w:val="40"/>
      <w:szCs w:val="40"/>
    </w:rPr>
  </w:style>
  <w:style w:type="character" w:styleId="868">
    <w:name w:val="Heading 2 Char"/>
    <w:basedOn w:val="866"/>
    <w:link w:val="858"/>
    <w:uiPriority w:val="9"/>
    <w:pPr>
      <w:pBdr/>
      <w:spacing/>
      <w:ind/>
    </w:pPr>
    <w:rPr>
      <w:rFonts w:ascii="Arial" w:hAnsi="Arial" w:eastAsia="Arial" w:cs="Arial"/>
      <w:color w:val="0f4761" w:themeColor="accent1" w:themeShade="BF"/>
      <w:sz w:val="32"/>
      <w:szCs w:val="32"/>
    </w:rPr>
  </w:style>
  <w:style w:type="character" w:styleId="869">
    <w:name w:val="Heading 3 Char"/>
    <w:basedOn w:val="866"/>
    <w:link w:val="859"/>
    <w:uiPriority w:val="9"/>
    <w:pPr>
      <w:pBdr/>
      <w:spacing/>
      <w:ind/>
    </w:pPr>
    <w:rPr>
      <w:rFonts w:ascii="Arial" w:hAnsi="Arial" w:eastAsia="Arial" w:cs="Arial"/>
      <w:color w:val="0f4761" w:themeColor="accent1" w:themeShade="BF"/>
      <w:sz w:val="28"/>
      <w:szCs w:val="28"/>
    </w:rPr>
  </w:style>
  <w:style w:type="character" w:styleId="870">
    <w:name w:val="Heading 4 Char"/>
    <w:basedOn w:val="866"/>
    <w:link w:val="860"/>
    <w:uiPriority w:val="9"/>
    <w:pPr>
      <w:pBdr/>
      <w:spacing/>
      <w:ind/>
    </w:pPr>
    <w:rPr>
      <w:rFonts w:ascii="Arial" w:hAnsi="Arial" w:eastAsia="Arial" w:cs="Arial"/>
      <w:i/>
      <w:iCs/>
      <w:color w:val="0f4761" w:themeColor="accent1" w:themeShade="BF"/>
    </w:rPr>
  </w:style>
  <w:style w:type="character" w:styleId="871">
    <w:name w:val="Heading 5 Char"/>
    <w:basedOn w:val="866"/>
    <w:link w:val="861"/>
    <w:uiPriority w:val="9"/>
    <w:pPr>
      <w:pBdr/>
      <w:spacing/>
      <w:ind/>
    </w:pPr>
    <w:rPr>
      <w:rFonts w:ascii="Arial" w:hAnsi="Arial" w:eastAsia="Arial" w:cs="Arial"/>
      <w:color w:val="0f4761" w:themeColor="accent1" w:themeShade="BF"/>
    </w:rPr>
  </w:style>
  <w:style w:type="character" w:styleId="872">
    <w:name w:val="Heading 6 Char"/>
    <w:basedOn w:val="866"/>
    <w:link w:val="862"/>
    <w:uiPriority w:val="9"/>
    <w:pPr>
      <w:pBdr/>
      <w:spacing/>
      <w:ind/>
    </w:pPr>
    <w:rPr>
      <w:rFonts w:ascii="Arial" w:hAnsi="Arial" w:eastAsia="Arial" w:cs="Arial"/>
      <w:i/>
      <w:iCs/>
      <w:color w:val="595959" w:themeColor="text1" w:themeTint="A6"/>
    </w:rPr>
  </w:style>
  <w:style w:type="character" w:styleId="873">
    <w:name w:val="Heading 7 Char"/>
    <w:basedOn w:val="866"/>
    <w:link w:val="863"/>
    <w:uiPriority w:val="9"/>
    <w:pPr>
      <w:pBdr/>
      <w:spacing/>
      <w:ind/>
    </w:pPr>
    <w:rPr>
      <w:rFonts w:ascii="Arial" w:hAnsi="Arial" w:eastAsia="Arial" w:cs="Arial"/>
      <w:color w:val="595959" w:themeColor="text1" w:themeTint="A6"/>
    </w:rPr>
  </w:style>
  <w:style w:type="character" w:styleId="874">
    <w:name w:val="Heading 8 Char"/>
    <w:basedOn w:val="866"/>
    <w:link w:val="864"/>
    <w:uiPriority w:val="9"/>
    <w:pPr>
      <w:pBdr/>
      <w:spacing/>
      <w:ind/>
    </w:pPr>
    <w:rPr>
      <w:rFonts w:ascii="Arial" w:hAnsi="Arial" w:eastAsia="Arial" w:cs="Arial"/>
      <w:i/>
      <w:iCs/>
      <w:color w:val="272727" w:themeColor="text1" w:themeTint="D8"/>
    </w:rPr>
  </w:style>
  <w:style w:type="character" w:styleId="875">
    <w:name w:val="Heading 9 Char"/>
    <w:basedOn w:val="866"/>
    <w:link w:val="865"/>
    <w:uiPriority w:val="9"/>
    <w:pPr>
      <w:pBdr/>
      <w:spacing/>
      <w:ind/>
    </w:pPr>
    <w:rPr>
      <w:rFonts w:ascii="Arial" w:hAnsi="Arial" w:eastAsia="Arial" w:cs="Arial"/>
      <w:i/>
      <w:iCs/>
      <w:color w:val="272727" w:themeColor="text1" w:themeTint="D8"/>
    </w:rPr>
  </w:style>
  <w:style w:type="paragraph" w:styleId="876">
    <w:name w:val="Title"/>
    <w:basedOn w:val="916"/>
    <w:next w:val="916"/>
    <w:link w:val="877"/>
    <w:uiPriority w:val="10"/>
    <w:qFormat/>
    <w:pPr>
      <w:pBdr/>
      <w:spacing w:after="80" w:line="240" w:lineRule="auto"/>
      <w:ind/>
      <w:contextualSpacing w:val="true"/>
    </w:pPr>
    <w:rPr>
      <w:rFonts w:ascii="Arial" w:hAnsi="Arial" w:eastAsia="Arial" w:cs="Arial"/>
      <w:spacing w:val="-10"/>
      <w:sz w:val="56"/>
      <w:szCs w:val="56"/>
    </w:rPr>
  </w:style>
  <w:style w:type="character" w:styleId="877">
    <w:name w:val="Title Char"/>
    <w:basedOn w:val="866"/>
    <w:link w:val="876"/>
    <w:uiPriority w:val="10"/>
    <w:pPr>
      <w:pBdr/>
      <w:spacing/>
      <w:ind/>
    </w:pPr>
    <w:rPr>
      <w:rFonts w:ascii="Arial" w:hAnsi="Arial" w:eastAsia="Arial" w:cs="Arial"/>
      <w:spacing w:val="-10"/>
      <w:sz w:val="56"/>
      <w:szCs w:val="56"/>
    </w:rPr>
  </w:style>
  <w:style w:type="paragraph" w:styleId="878">
    <w:name w:val="Subtitle"/>
    <w:basedOn w:val="916"/>
    <w:next w:val="916"/>
    <w:link w:val="879"/>
    <w:uiPriority w:val="11"/>
    <w:qFormat/>
    <w:pPr>
      <w:numPr>
        <w:ilvl w:val="1"/>
      </w:numPr>
      <w:pBdr/>
      <w:spacing/>
      <w:ind/>
    </w:pPr>
    <w:rPr>
      <w:color w:val="595959" w:themeColor="text1" w:themeTint="A6"/>
      <w:spacing w:val="15"/>
      <w:sz w:val="28"/>
      <w:szCs w:val="28"/>
    </w:rPr>
  </w:style>
  <w:style w:type="character" w:styleId="879">
    <w:name w:val="Subtitle Char"/>
    <w:basedOn w:val="866"/>
    <w:link w:val="878"/>
    <w:uiPriority w:val="11"/>
    <w:pPr>
      <w:pBdr/>
      <w:spacing/>
      <w:ind/>
    </w:pPr>
    <w:rPr>
      <w:color w:val="595959" w:themeColor="text1" w:themeTint="A6"/>
      <w:spacing w:val="15"/>
      <w:sz w:val="28"/>
      <w:szCs w:val="28"/>
    </w:rPr>
  </w:style>
  <w:style w:type="paragraph" w:styleId="880">
    <w:name w:val="Quote"/>
    <w:basedOn w:val="916"/>
    <w:next w:val="916"/>
    <w:link w:val="881"/>
    <w:uiPriority w:val="29"/>
    <w:qFormat/>
    <w:pPr>
      <w:pBdr/>
      <w:spacing w:before="160"/>
      <w:ind/>
      <w:jc w:val="center"/>
    </w:pPr>
    <w:rPr>
      <w:i/>
      <w:iCs/>
      <w:color w:val="404040" w:themeColor="text1" w:themeTint="BF"/>
    </w:rPr>
  </w:style>
  <w:style w:type="character" w:styleId="881">
    <w:name w:val="Quote Char"/>
    <w:basedOn w:val="866"/>
    <w:link w:val="880"/>
    <w:uiPriority w:val="29"/>
    <w:pPr>
      <w:pBdr/>
      <w:spacing/>
      <w:ind/>
    </w:pPr>
    <w:rPr>
      <w:i/>
      <w:iCs/>
      <w:color w:val="404040" w:themeColor="text1" w:themeTint="BF"/>
    </w:rPr>
  </w:style>
  <w:style w:type="character" w:styleId="882">
    <w:name w:val="Intense Emphasis"/>
    <w:basedOn w:val="866"/>
    <w:uiPriority w:val="21"/>
    <w:qFormat/>
    <w:pPr>
      <w:pBdr/>
      <w:spacing/>
      <w:ind/>
    </w:pPr>
    <w:rPr>
      <w:i/>
      <w:iCs/>
      <w:color w:val="0f4761" w:themeColor="accent1" w:themeShade="BF"/>
    </w:rPr>
  </w:style>
  <w:style w:type="paragraph" w:styleId="883">
    <w:name w:val="Intense Quote"/>
    <w:basedOn w:val="916"/>
    <w:next w:val="916"/>
    <w:link w:val="88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4">
    <w:name w:val="Intense Quote Char"/>
    <w:basedOn w:val="866"/>
    <w:link w:val="883"/>
    <w:uiPriority w:val="30"/>
    <w:pPr>
      <w:pBdr/>
      <w:spacing/>
      <w:ind/>
    </w:pPr>
    <w:rPr>
      <w:i/>
      <w:iCs/>
      <w:color w:val="0f4761" w:themeColor="accent1" w:themeShade="BF"/>
    </w:rPr>
  </w:style>
  <w:style w:type="character" w:styleId="885">
    <w:name w:val="Intense Reference"/>
    <w:basedOn w:val="866"/>
    <w:uiPriority w:val="32"/>
    <w:qFormat/>
    <w:pPr>
      <w:pBdr/>
      <w:spacing/>
      <w:ind/>
    </w:pPr>
    <w:rPr>
      <w:b/>
      <w:bCs/>
      <w:smallCaps/>
      <w:color w:val="0f4761" w:themeColor="accent1" w:themeShade="BF"/>
      <w:spacing w:val="5"/>
    </w:rPr>
  </w:style>
  <w:style w:type="character" w:styleId="886">
    <w:name w:val="Subtle Emphasis"/>
    <w:basedOn w:val="866"/>
    <w:uiPriority w:val="19"/>
    <w:qFormat/>
    <w:pPr>
      <w:pBdr/>
      <w:spacing/>
      <w:ind/>
    </w:pPr>
    <w:rPr>
      <w:i/>
      <w:iCs/>
      <w:color w:val="404040" w:themeColor="text1" w:themeTint="BF"/>
    </w:rPr>
  </w:style>
  <w:style w:type="character" w:styleId="887">
    <w:name w:val="Emphasis"/>
    <w:basedOn w:val="866"/>
    <w:uiPriority w:val="20"/>
    <w:qFormat/>
    <w:pPr>
      <w:pBdr/>
      <w:spacing/>
      <w:ind/>
    </w:pPr>
    <w:rPr>
      <w:i/>
      <w:iCs/>
    </w:rPr>
  </w:style>
  <w:style w:type="character" w:styleId="888">
    <w:name w:val="Strong"/>
    <w:basedOn w:val="866"/>
    <w:uiPriority w:val="22"/>
    <w:qFormat/>
    <w:pPr>
      <w:pBdr/>
      <w:spacing/>
      <w:ind/>
    </w:pPr>
    <w:rPr>
      <w:b/>
      <w:bCs/>
    </w:rPr>
  </w:style>
  <w:style w:type="character" w:styleId="889">
    <w:name w:val="Subtle Reference"/>
    <w:basedOn w:val="866"/>
    <w:uiPriority w:val="31"/>
    <w:qFormat/>
    <w:pPr>
      <w:pBdr/>
      <w:spacing/>
      <w:ind/>
    </w:pPr>
    <w:rPr>
      <w:smallCaps/>
      <w:color w:val="5a5a5a" w:themeColor="text1" w:themeTint="A5"/>
    </w:rPr>
  </w:style>
  <w:style w:type="character" w:styleId="890">
    <w:name w:val="Book Title"/>
    <w:basedOn w:val="866"/>
    <w:uiPriority w:val="33"/>
    <w:qFormat/>
    <w:pPr>
      <w:pBdr/>
      <w:spacing/>
      <w:ind/>
    </w:pPr>
    <w:rPr>
      <w:b/>
      <w:bCs/>
      <w:i/>
      <w:iCs/>
      <w:spacing w:val="5"/>
    </w:rPr>
  </w:style>
  <w:style w:type="paragraph" w:styleId="891">
    <w:name w:val="Header"/>
    <w:basedOn w:val="916"/>
    <w:link w:val="892"/>
    <w:uiPriority w:val="99"/>
    <w:unhideWhenUsed/>
    <w:pPr>
      <w:pBdr/>
      <w:tabs>
        <w:tab w:val="center" w:leader="none" w:pos="4844"/>
        <w:tab w:val="right" w:leader="none" w:pos="9689"/>
      </w:tabs>
      <w:spacing w:after="0" w:line="240" w:lineRule="auto"/>
      <w:ind/>
    </w:pPr>
  </w:style>
  <w:style w:type="character" w:styleId="892">
    <w:name w:val="Header Char"/>
    <w:basedOn w:val="866"/>
    <w:link w:val="891"/>
    <w:uiPriority w:val="99"/>
    <w:pPr>
      <w:pBdr/>
      <w:spacing/>
      <w:ind/>
    </w:pPr>
  </w:style>
  <w:style w:type="paragraph" w:styleId="893">
    <w:name w:val="Footer"/>
    <w:basedOn w:val="916"/>
    <w:link w:val="894"/>
    <w:uiPriority w:val="99"/>
    <w:unhideWhenUsed/>
    <w:pPr>
      <w:pBdr/>
      <w:tabs>
        <w:tab w:val="center" w:leader="none" w:pos="4844"/>
        <w:tab w:val="right" w:leader="none" w:pos="9689"/>
      </w:tabs>
      <w:spacing w:after="0" w:line="240" w:lineRule="auto"/>
      <w:ind/>
    </w:pPr>
  </w:style>
  <w:style w:type="character" w:styleId="894">
    <w:name w:val="Footer Char"/>
    <w:basedOn w:val="866"/>
    <w:link w:val="893"/>
    <w:uiPriority w:val="99"/>
    <w:pPr>
      <w:pBdr/>
      <w:spacing/>
      <w:ind/>
    </w:pPr>
  </w:style>
  <w:style w:type="paragraph" w:styleId="895">
    <w:name w:val="Caption"/>
    <w:basedOn w:val="916"/>
    <w:next w:val="916"/>
    <w:uiPriority w:val="35"/>
    <w:unhideWhenUsed/>
    <w:qFormat/>
    <w:pPr>
      <w:pBdr/>
      <w:spacing w:after="200" w:line="240" w:lineRule="auto"/>
      <w:ind/>
    </w:pPr>
    <w:rPr>
      <w:i/>
      <w:iCs/>
      <w:color w:val="0e2841" w:themeColor="text2"/>
      <w:sz w:val="18"/>
      <w:szCs w:val="18"/>
    </w:rPr>
  </w:style>
  <w:style w:type="paragraph" w:styleId="896">
    <w:name w:val="footnote text"/>
    <w:basedOn w:val="916"/>
    <w:link w:val="897"/>
    <w:uiPriority w:val="99"/>
    <w:semiHidden/>
    <w:unhideWhenUsed/>
    <w:pPr>
      <w:pBdr/>
      <w:spacing w:after="0" w:line="240" w:lineRule="auto"/>
      <w:ind/>
    </w:pPr>
    <w:rPr>
      <w:sz w:val="20"/>
      <w:szCs w:val="20"/>
    </w:rPr>
  </w:style>
  <w:style w:type="character" w:styleId="897">
    <w:name w:val="Footnote Text Char"/>
    <w:basedOn w:val="866"/>
    <w:link w:val="896"/>
    <w:uiPriority w:val="99"/>
    <w:semiHidden/>
    <w:pPr>
      <w:pBdr/>
      <w:spacing/>
      <w:ind/>
    </w:pPr>
    <w:rPr>
      <w:sz w:val="20"/>
      <w:szCs w:val="20"/>
    </w:rPr>
  </w:style>
  <w:style w:type="character" w:styleId="898">
    <w:name w:val="footnote reference"/>
    <w:basedOn w:val="866"/>
    <w:uiPriority w:val="99"/>
    <w:semiHidden/>
    <w:unhideWhenUsed/>
    <w:pPr>
      <w:pBdr/>
      <w:spacing/>
      <w:ind/>
    </w:pPr>
    <w:rPr>
      <w:vertAlign w:val="superscript"/>
    </w:rPr>
  </w:style>
  <w:style w:type="paragraph" w:styleId="899">
    <w:name w:val="endnote text"/>
    <w:basedOn w:val="916"/>
    <w:link w:val="900"/>
    <w:uiPriority w:val="99"/>
    <w:semiHidden/>
    <w:unhideWhenUsed/>
    <w:pPr>
      <w:pBdr/>
      <w:spacing w:after="0" w:line="240" w:lineRule="auto"/>
      <w:ind/>
    </w:pPr>
    <w:rPr>
      <w:sz w:val="20"/>
      <w:szCs w:val="20"/>
    </w:rPr>
  </w:style>
  <w:style w:type="character" w:styleId="900">
    <w:name w:val="Endnote Text Char"/>
    <w:basedOn w:val="866"/>
    <w:link w:val="899"/>
    <w:uiPriority w:val="99"/>
    <w:semiHidden/>
    <w:pPr>
      <w:pBdr/>
      <w:spacing/>
      <w:ind/>
    </w:pPr>
    <w:rPr>
      <w:sz w:val="20"/>
      <w:szCs w:val="20"/>
    </w:rPr>
  </w:style>
  <w:style w:type="character" w:styleId="901">
    <w:name w:val="endnote reference"/>
    <w:basedOn w:val="866"/>
    <w:uiPriority w:val="99"/>
    <w:semiHidden/>
    <w:unhideWhenUsed/>
    <w:pPr>
      <w:pBdr/>
      <w:spacing/>
      <w:ind/>
    </w:pPr>
    <w:rPr>
      <w:vertAlign w:val="superscript"/>
    </w:rPr>
  </w:style>
  <w:style w:type="character" w:styleId="902">
    <w:name w:val="Hyperlink"/>
    <w:basedOn w:val="866"/>
    <w:uiPriority w:val="99"/>
    <w:unhideWhenUsed/>
    <w:pPr>
      <w:pBdr/>
      <w:spacing/>
      <w:ind/>
    </w:pPr>
    <w:rPr>
      <w:color w:val="0563c1" w:themeColor="hyperlink"/>
      <w:u w:val="single"/>
    </w:rPr>
  </w:style>
  <w:style w:type="character" w:styleId="903">
    <w:name w:val="FollowedHyperlink"/>
    <w:basedOn w:val="866"/>
    <w:uiPriority w:val="99"/>
    <w:semiHidden/>
    <w:unhideWhenUsed/>
    <w:pPr>
      <w:pBdr/>
      <w:spacing/>
      <w:ind/>
    </w:pPr>
    <w:rPr>
      <w:color w:val="954f72" w:themeColor="followedHyperlink"/>
      <w:u w:val="single"/>
    </w:rPr>
  </w:style>
  <w:style w:type="paragraph" w:styleId="904">
    <w:name w:val="toc 1"/>
    <w:basedOn w:val="916"/>
    <w:next w:val="916"/>
    <w:uiPriority w:val="39"/>
    <w:unhideWhenUsed/>
    <w:pPr>
      <w:pBdr/>
      <w:spacing w:after="100"/>
      <w:ind/>
    </w:pPr>
  </w:style>
  <w:style w:type="paragraph" w:styleId="905">
    <w:name w:val="toc 2"/>
    <w:basedOn w:val="916"/>
    <w:next w:val="916"/>
    <w:uiPriority w:val="39"/>
    <w:unhideWhenUsed/>
    <w:pPr>
      <w:pBdr/>
      <w:spacing w:after="100"/>
      <w:ind w:left="220"/>
    </w:pPr>
  </w:style>
  <w:style w:type="paragraph" w:styleId="906">
    <w:name w:val="toc 3"/>
    <w:basedOn w:val="916"/>
    <w:next w:val="916"/>
    <w:uiPriority w:val="39"/>
    <w:unhideWhenUsed/>
    <w:pPr>
      <w:pBdr/>
      <w:spacing w:after="100"/>
      <w:ind w:left="440"/>
    </w:pPr>
  </w:style>
  <w:style w:type="paragraph" w:styleId="907">
    <w:name w:val="toc 4"/>
    <w:basedOn w:val="916"/>
    <w:next w:val="916"/>
    <w:uiPriority w:val="39"/>
    <w:unhideWhenUsed/>
    <w:pPr>
      <w:pBdr/>
      <w:spacing w:after="100"/>
      <w:ind w:left="660"/>
    </w:pPr>
  </w:style>
  <w:style w:type="paragraph" w:styleId="908">
    <w:name w:val="toc 5"/>
    <w:basedOn w:val="916"/>
    <w:next w:val="916"/>
    <w:uiPriority w:val="39"/>
    <w:unhideWhenUsed/>
    <w:pPr>
      <w:pBdr/>
      <w:spacing w:after="100"/>
      <w:ind w:left="880"/>
    </w:pPr>
  </w:style>
  <w:style w:type="paragraph" w:styleId="909">
    <w:name w:val="toc 6"/>
    <w:basedOn w:val="916"/>
    <w:next w:val="916"/>
    <w:uiPriority w:val="39"/>
    <w:unhideWhenUsed/>
    <w:pPr>
      <w:pBdr/>
      <w:spacing w:after="100"/>
      <w:ind w:left="1100"/>
    </w:pPr>
  </w:style>
  <w:style w:type="paragraph" w:styleId="910">
    <w:name w:val="toc 7"/>
    <w:basedOn w:val="916"/>
    <w:next w:val="916"/>
    <w:uiPriority w:val="39"/>
    <w:unhideWhenUsed/>
    <w:pPr>
      <w:pBdr/>
      <w:spacing w:after="100"/>
      <w:ind w:left="1320"/>
    </w:pPr>
  </w:style>
  <w:style w:type="paragraph" w:styleId="911">
    <w:name w:val="toc 8"/>
    <w:basedOn w:val="916"/>
    <w:next w:val="916"/>
    <w:uiPriority w:val="39"/>
    <w:unhideWhenUsed/>
    <w:pPr>
      <w:pBdr/>
      <w:spacing w:after="100"/>
      <w:ind w:left="1540"/>
    </w:pPr>
  </w:style>
  <w:style w:type="paragraph" w:styleId="912">
    <w:name w:val="toc 9"/>
    <w:basedOn w:val="916"/>
    <w:next w:val="916"/>
    <w:uiPriority w:val="39"/>
    <w:unhideWhenUsed/>
    <w:pPr>
      <w:pBdr/>
      <w:spacing w:after="100"/>
      <w:ind w:left="1760"/>
    </w:pPr>
  </w:style>
  <w:style w:type="character" w:styleId="913">
    <w:name w:val="Placeholder Text"/>
    <w:basedOn w:val="866"/>
    <w:uiPriority w:val="99"/>
    <w:semiHidden/>
    <w:pPr>
      <w:pBdr/>
      <w:spacing/>
      <w:ind/>
    </w:pPr>
    <w:rPr>
      <w:color w:val="666666"/>
    </w:rPr>
  </w:style>
  <w:style w:type="paragraph" w:styleId="914">
    <w:name w:val="TOC Heading"/>
    <w:uiPriority w:val="39"/>
    <w:unhideWhenUsed/>
    <w:pPr>
      <w:pBdr/>
      <w:spacing/>
      <w:ind/>
    </w:pPr>
  </w:style>
  <w:style w:type="paragraph" w:styleId="915">
    <w:name w:val="table of figures"/>
    <w:basedOn w:val="916"/>
    <w:next w:val="916"/>
    <w:uiPriority w:val="99"/>
    <w:unhideWhenUsed/>
    <w:pPr>
      <w:pBdr/>
      <w:spacing w:after="0" w:afterAutospacing="0"/>
      <w:ind/>
    </w:pPr>
  </w:style>
  <w:style w:type="paragraph" w:styleId="916" w:default="1">
    <w:name w:val="Normal"/>
    <w:qFormat/>
    <w:pPr>
      <w:pBdr/>
      <w:spacing/>
      <w:ind/>
    </w:pPr>
  </w:style>
  <w:style w:type="table" w:styleId="91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8" w:default="1">
    <w:name w:val="No List"/>
    <w:uiPriority w:val="99"/>
    <w:semiHidden/>
    <w:unhideWhenUsed/>
    <w:pPr>
      <w:pBdr/>
      <w:spacing/>
      <w:ind/>
    </w:pPr>
  </w:style>
  <w:style w:type="paragraph" w:styleId="919">
    <w:name w:val="No Spacing"/>
    <w:basedOn w:val="916"/>
    <w:uiPriority w:val="1"/>
    <w:qFormat/>
    <w:pPr>
      <w:pBdr/>
      <w:spacing w:after="0" w:line="240" w:lineRule="auto"/>
      <w:ind/>
    </w:pPr>
  </w:style>
  <w:style w:type="paragraph" w:styleId="920">
    <w:name w:val="List Paragraph"/>
    <w:basedOn w:val="91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Administrator </cp:lastModifiedBy>
  <cp:revision>2</cp:revision>
  <dcterms:modified xsi:type="dcterms:W3CDTF">2026-01-24T21:32:16Z</dcterms:modified>
</cp:coreProperties>
</file>