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F15B" w14:textId="77777777" w:rsidR="007C5E23" w:rsidRDefault="00AC238C">
      <w:pPr>
        <w:spacing w:after="40"/>
      </w:pPr>
      <w:r>
        <w:rPr>
          <w:b/>
          <w:color w:val="0E1020"/>
          <w:sz w:val="52"/>
        </w:rPr>
        <w:t>DXC AI READINESS DIAGNOSTIC</w:t>
      </w:r>
    </w:p>
    <w:p w14:paraId="7BD00087" w14:textId="77777777" w:rsidR="007C5E23" w:rsidRDefault="00AC238C">
      <w:pPr>
        <w:spacing w:after="160"/>
      </w:pPr>
      <w:r>
        <w:rPr>
          <w:color w:val="7A7A7A"/>
          <w:sz w:val="26"/>
        </w:rPr>
        <w:t>Product Requirements Document  ·  Version 5</w:t>
      </w:r>
    </w:p>
    <w:p w14:paraId="75B13E64" w14:textId="77777777" w:rsidR="007C5E23" w:rsidRDefault="00AC238C">
      <w:pPr>
        <w:spacing w:after="0"/>
      </w:pPr>
      <w:r>
        <w:rPr>
          <w:b/>
          <w:color w:val="0E1020"/>
          <w:sz w:val="20"/>
        </w:rPr>
        <w:t xml:space="preserve">Status  </w:t>
      </w:r>
      <w:r>
        <w:rPr>
          <w:sz w:val="20"/>
        </w:rPr>
        <w:t>DRAFT V5, developer-ready master specification</w:t>
      </w:r>
    </w:p>
    <w:p w14:paraId="2BB36C34" w14:textId="77777777" w:rsidR="007C5E23" w:rsidRDefault="00AC238C">
      <w:pPr>
        <w:spacing w:after="0"/>
      </w:pPr>
      <w:r>
        <w:rPr>
          <w:b/>
          <w:color w:val="0E1020"/>
          <w:sz w:val="20"/>
        </w:rPr>
        <w:t xml:space="preserve">Date  </w:t>
      </w:r>
      <w:r>
        <w:rPr>
          <w:sz w:val="20"/>
        </w:rPr>
        <w:t>June 2026</w:t>
      </w:r>
    </w:p>
    <w:p w14:paraId="1D4AD3B2" w14:textId="77777777" w:rsidR="007C5E23" w:rsidRDefault="00AC238C">
      <w:pPr>
        <w:spacing w:after="0"/>
      </w:pPr>
      <w:r>
        <w:rPr>
          <w:b/>
          <w:color w:val="0E1020"/>
          <w:sz w:val="20"/>
        </w:rPr>
        <w:t xml:space="preserve">Authors  </w:t>
      </w:r>
      <w:r>
        <w:rPr>
          <w:sz w:val="20"/>
        </w:rPr>
        <w:t>Chris Bryson, Shawn Rajguru, Robb Shally</w:t>
      </w:r>
    </w:p>
    <w:p w14:paraId="5AA80E1B" w14:textId="77777777" w:rsidR="007C5E23" w:rsidRDefault="00AC238C">
      <w:pPr>
        <w:spacing w:after="0"/>
      </w:pPr>
      <w:r>
        <w:rPr>
          <w:b/>
          <w:color w:val="0E1020"/>
          <w:sz w:val="20"/>
        </w:rPr>
        <w:t xml:space="preserve">Supersedes  </w:t>
      </w:r>
      <w:r>
        <w:rPr>
          <w:sz w:val="20"/>
        </w:rPr>
        <w:t>PRD V4 (May 2026)</w:t>
      </w:r>
    </w:p>
    <w:p w14:paraId="7C3215B8" w14:textId="77777777" w:rsidR="007C5E23" w:rsidRDefault="00AC238C">
      <w:pPr>
        <w:spacing w:after="0"/>
      </w:pPr>
      <w:r>
        <w:rPr>
          <w:b/>
          <w:color w:val="0E1020"/>
          <w:sz w:val="20"/>
        </w:rPr>
        <w:t xml:space="preserve">Intended consumer  </w:t>
      </w:r>
      <w:r>
        <w:rPr>
          <w:sz w:val="20"/>
        </w:rPr>
        <w:t>Engineering team and Claude Code for the V0 build</w:t>
      </w:r>
    </w:p>
    <w:p w14:paraId="287833F9" w14:textId="77777777" w:rsidR="007C5E23" w:rsidRDefault="00AC238C">
      <w:pPr>
        <w:spacing w:after="0"/>
      </w:pPr>
      <w:r>
        <w:rPr>
          <w:b/>
          <w:color w:val="0E1020"/>
          <w:sz w:val="20"/>
        </w:rPr>
        <w:t xml:space="preserve">Companion documents  </w:t>
      </w:r>
      <w:r>
        <w:rPr>
          <w:sz w:val="20"/>
        </w:rPr>
        <w:t>Companion 01 through 05 (update notes in Change Log)</w:t>
      </w:r>
    </w:p>
    <w:p w14:paraId="266EA250" w14:textId="77777777" w:rsidR="007C5E23" w:rsidRDefault="007C5E23">
      <w:pPr>
        <w:pBdr>
          <w:bottom w:val="single" w:sz="10" w:space="4" w:color="FFAE41"/>
        </w:pBdr>
        <w:spacing w:before="160"/>
      </w:pPr>
    </w:p>
    <w:p w14:paraId="7D559C25" w14:textId="77777777" w:rsidR="007C5E23" w:rsidRDefault="00AC238C">
      <w:pPr>
        <w:pBdr>
          <w:bottom w:val="single" w:sz="4" w:space="4" w:color="C9C4BD"/>
        </w:pBdr>
        <w:spacing w:before="300" w:after="100"/>
      </w:pPr>
      <w:r>
        <w:rPr>
          <w:b/>
          <w:color w:val="0E1020"/>
          <w:sz w:val="32"/>
        </w:rPr>
        <w:t>Change Log</w:t>
      </w:r>
    </w:p>
    <w:p w14:paraId="58542369" w14:textId="77777777" w:rsidR="007C5E23" w:rsidRDefault="00AC238C">
      <w:pPr>
        <w:spacing w:after="140" w:line="283" w:lineRule="auto"/>
      </w:pPr>
      <w:r>
        <w:t>Version 5 extends V4 in five ways, all flowing from the Adaptive Interview Engine strategy and the APR methodology review. V4 remains the architectural base. V5 generalizes the intake, re-architects the agents, broadens one dimension, corrects the commercial model, and grounds the build in APR.</w:t>
      </w:r>
    </w:p>
    <w:p w14:paraId="2EDF699C" w14:textId="77777777" w:rsidR="007C5E23" w:rsidRDefault="00AC238C">
      <w:pPr>
        <w:pStyle w:val="ListBullet"/>
        <w:spacing w:after="60"/>
      </w:pPr>
      <w:r>
        <w:rPr>
          <w:b/>
          <w:color w:val="0E1020"/>
        </w:rPr>
        <w:t xml:space="preserve">Engine. </w:t>
      </w:r>
      <w:r>
        <w:t>The fixed intake questionnaire becomes an objective-driven Adaptive Interview Engine, voice-enabled on ElevenLabs, and built so the same engine serves other interview types and Discovery later.</w:t>
      </w:r>
    </w:p>
    <w:p w14:paraId="4BE33FD1" w14:textId="77777777" w:rsidR="007C5E23" w:rsidRDefault="00AC238C">
      <w:pPr>
        <w:pStyle w:val="ListBullet"/>
        <w:spacing w:after="60"/>
      </w:pPr>
      <w:r>
        <w:rPr>
          <w:b/>
          <w:color w:val="0E1020"/>
        </w:rPr>
        <w:t xml:space="preserve">Agents. </w:t>
      </w:r>
      <w:r>
        <w:t>The agent model is re-architected into six groups: design-time, run-time conversation, research, synthesis and scoring, output, and post-delivery.</w:t>
      </w:r>
    </w:p>
    <w:p w14:paraId="68140CF7" w14:textId="77777777" w:rsidR="007C5E23" w:rsidRDefault="00AC238C">
      <w:pPr>
        <w:pStyle w:val="ListBullet"/>
        <w:spacing w:after="60"/>
      </w:pPr>
      <w:r>
        <w:rPr>
          <w:b/>
          <w:color w:val="0E1020"/>
        </w:rPr>
        <w:t xml:space="preserve">Dimensions. </w:t>
      </w:r>
      <w:r>
        <w:t>The sixth dimension broadens. Data Foundation becomes Data and Platform, so the technology and platform layer is named. Scoring stays 0-100 across four tiers.</w:t>
      </w:r>
    </w:p>
    <w:p w14:paraId="644249FA" w14:textId="77777777" w:rsidR="007C5E23" w:rsidRDefault="00AC238C">
      <w:pPr>
        <w:pStyle w:val="ListBullet"/>
        <w:spacing w:after="60"/>
      </w:pPr>
      <w:r>
        <w:rPr>
          <w:b/>
          <w:color w:val="0E1020"/>
        </w:rPr>
        <w:t xml:space="preserve">Commercial model. </w:t>
      </w:r>
      <w:r>
        <w:t>The interview, the scorecard, and the AxisAI value proof are complimentary. Paid work begins as APR ASSESS or another entry point. This corrects V4, which placed AxisAI in Discovery scope.</w:t>
      </w:r>
    </w:p>
    <w:p w14:paraId="5E1CEB63" w14:textId="77777777" w:rsidR="007C5E23" w:rsidRDefault="00AC238C">
      <w:pPr>
        <w:pStyle w:val="ListBullet"/>
        <w:spacing w:after="60"/>
      </w:pPr>
      <w:r>
        <w:rPr>
          <w:b/>
          <w:color w:val="0E1020"/>
        </w:rPr>
        <w:t xml:space="preserve">APR grounding. </w:t>
      </w:r>
      <w:r>
        <w:t>Value-pocket definition, evidence-anchored rubric discipline, playbook-seeded patterns and quick wins, and APR ASSESS as the named paid next step.</w:t>
      </w:r>
    </w:p>
    <w:p w14:paraId="167F2091" w14:textId="77777777" w:rsidR="007C5E23" w:rsidRDefault="00AC238C">
      <w:pPr>
        <w:spacing w:after="140" w:line="283" w:lineRule="auto"/>
      </w:pPr>
      <w:r>
        <w:t>V5 also adds a dedicated Accuracy and Calibration section, the free-output design rules, and a strengths-and-gaps plus representative-quote treatment in the scorecard.</w:t>
      </w:r>
    </w:p>
    <w:p w14:paraId="261107DC" w14:textId="77777777" w:rsidR="007C5E23" w:rsidRDefault="00AC238C">
      <w:pPr>
        <w:pBdr>
          <w:bottom w:val="single" w:sz="4" w:space="4" w:color="C9C4BD"/>
        </w:pBdr>
        <w:spacing w:before="300" w:after="100"/>
      </w:pPr>
      <w:r>
        <w:rPr>
          <w:b/>
          <w:color w:val="0E1020"/>
          <w:sz w:val="32"/>
        </w:rPr>
        <w:t>Document Pack</w:t>
      </w:r>
    </w:p>
    <w:p w14:paraId="76674AB3" w14:textId="77777777" w:rsidR="007C5E23" w:rsidRDefault="00AC238C">
      <w:pPr>
        <w:spacing w:after="140" w:line="283" w:lineRule="auto"/>
      </w:pPr>
      <w:r>
        <w:t>This PRD is the master specification, passed to the engineering team alongside five companion documents. V5 requires companion updates. Companion 01 becomes the AI Readiness interview definition (objectives and rubrics, not a fixed question list). Companion 03 adds the strengths-and-gaps block and the representative-quote line to the scorecard layout. Companion 04 re-architects the agent prompts to the V5 groups. Companion 05 adds the interview-definition schema and the definition-version stamp on every res</w:t>
      </w:r>
      <w:r>
        <w:t>ult.</w:t>
      </w:r>
    </w:p>
    <w:p w14:paraId="73A9B5AD" w14:textId="77777777" w:rsidR="007C5E23" w:rsidRDefault="00AC238C">
      <w:pPr>
        <w:pBdr>
          <w:bottom w:val="single" w:sz="4" w:space="4" w:color="C9C4BD"/>
        </w:pBdr>
        <w:spacing w:before="300" w:after="100"/>
      </w:pPr>
      <w:r>
        <w:rPr>
          <w:b/>
          <w:color w:val="0E1020"/>
          <w:sz w:val="32"/>
        </w:rPr>
        <w:t>Definitions</w:t>
      </w:r>
    </w:p>
    <w:p w14:paraId="50ABA967" w14:textId="77777777" w:rsidR="007C5E23" w:rsidRDefault="00AC238C">
      <w:pPr>
        <w:spacing w:after="140" w:line="283" w:lineRule="auto"/>
      </w:pPr>
      <w:r>
        <w:rPr>
          <w:b/>
          <w:color w:val="0E1020"/>
        </w:rPr>
        <w:lastRenderedPageBreak/>
        <w:t xml:space="preserve">Diagnostic.  </w:t>
      </w:r>
      <w:r>
        <w:t>The lightweight AI-led assessment specified here. Prospect investment under 30 minutes. DXC turnaround 24 hours from submission to a partner-reviewed scorecard. Complimentary. Purpose is qualification.</w:t>
      </w:r>
    </w:p>
    <w:p w14:paraId="648EC27C" w14:textId="77777777" w:rsidR="007C5E23" w:rsidRDefault="00AC238C">
      <w:pPr>
        <w:spacing w:after="140" w:line="283" w:lineRule="auto"/>
      </w:pPr>
      <w:r>
        <w:rPr>
          <w:b/>
          <w:color w:val="0E1020"/>
        </w:rPr>
        <w:t xml:space="preserve">AI value proof.  </w:t>
      </w:r>
      <w:r>
        <w:t>The complimentary step that can follow the scorecard. DXC AxisAI runs on the client's own data to size P&amp;L impact on the client's highest-value processes.</w:t>
      </w:r>
    </w:p>
    <w:p w14:paraId="53C808BB" w14:textId="77777777" w:rsidR="007C5E23" w:rsidRDefault="00AC238C">
      <w:pPr>
        <w:spacing w:after="140" w:line="283" w:lineRule="auto"/>
      </w:pPr>
      <w:r>
        <w:rPr>
          <w:b/>
          <w:color w:val="0E1020"/>
        </w:rPr>
        <w:t xml:space="preserve">APR ASSESS.  </w:t>
      </w:r>
      <w:r>
        <w:t>The paid deeper assessment that begins paid work. Four to six weeks, practitioner-led. It is the first phase of APR, Agentic Process Reinvention, the AdvisoryX practice methodology. APR is the destination; the Diagnostic is its front door.</w:t>
      </w:r>
    </w:p>
    <w:p w14:paraId="3C03C72C" w14:textId="77777777" w:rsidR="007C5E23" w:rsidRDefault="00AC238C">
      <w:pPr>
        <w:spacing w:after="140" w:line="283" w:lineRule="auto"/>
      </w:pPr>
      <w:r>
        <w:rPr>
          <w:b/>
          <w:color w:val="0E1020"/>
        </w:rPr>
        <w:t xml:space="preserve">Interview Definition.  </w:t>
      </w:r>
      <w:r>
        <w:t>The configuration that drives the engine for one interview type: context, objectives, persona map, output schema, and guardrails. The AI Readiness definition is the first authored type.</w:t>
      </w:r>
    </w:p>
    <w:p w14:paraId="77FCC9A2" w14:textId="77777777" w:rsidR="007C5E23" w:rsidRDefault="00AC238C">
      <w:pPr>
        <w:spacing w:after="140" w:line="283" w:lineRule="auto"/>
      </w:pPr>
      <w:r>
        <w:rPr>
          <w:b/>
          <w:color w:val="0E1020"/>
        </w:rPr>
        <w:t xml:space="preserve">Objective.  </w:t>
      </w:r>
      <w:r>
        <w:t>One scored construct within a definition: intent, evidence signals, a scoring rubric with anchored exemplars, probe guidance, and applicability rules.</w:t>
      </w:r>
    </w:p>
    <w:p w14:paraId="37D04636" w14:textId="77777777" w:rsidR="007C5E23" w:rsidRDefault="00AC238C">
      <w:pPr>
        <w:spacing w:after="140" w:line="283" w:lineRule="auto"/>
      </w:pPr>
      <w:r>
        <w:rPr>
          <w:b/>
          <w:color w:val="0E1020"/>
        </w:rPr>
        <w:t xml:space="preserve">Interview Engine.  </w:t>
      </w:r>
      <w:r>
        <w:t>The run-time loop that generates and conducts an interview from a definition, plus the design-time authoring that produces definitions.</w:t>
      </w:r>
    </w:p>
    <w:p w14:paraId="4C2250EB" w14:textId="77777777" w:rsidR="007C5E23" w:rsidRDefault="00AC238C">
      <w:pPr>
        <w:spacing w:after="140" w:line="283" w:lineRule="auto"/>
      </w:pPr>
      <w:r>
        <w:rPr>
          <w:b/>
          <w:color w:val="0E1020"/>
        </w:rPr>
        <w:t xml:space="preserve">Agent.  </w:t>
      </w:r>
      <w:r>
        <w:t>An autonomous capability with one purpose, defined inputs and outputs, a latency budget, and per-output confidence reporting. Prompt specifications in Companion 04.</w:t>
      </w:r>
    </w:p>
    <w:p w14:paraId="5B873643" w14:textId="77777777" w:rsidR="007C5E23" w:rsidRDefault="00AC238C">
      <w:pPr>
        <w:spacing w:after="140" w:line="283" w:lineRule="auto"/>
      </w:pPr>
      <w:r>
        <w:rPr>
          <w:b/>
          <w:color w:val="0E1020"/>
        </w:rPr>
        <w:t xml:space="preserve">Orchestrator.  </w:t>
      </w:r>
      <w:r>
        <w:t>The workflow engine coordinating agent execution, SLA tracking, parallelization, audit logging, and consent routing.</w:t>
      </w:r>
    </w:p>
    <w:p w14:paraId="6D39A1F2" w14:textId="77777777" w:rsidR="007C5E23" w:rsidRDefault="00AC238C">
      <w:pPr>
        <w:pBdr>
          <w:bottom w:val="single" w:sz="4" w:space="4" w:color="C9C4BD"/>
        </w:pBdr>
        <w:spacing w:before="300" w:after="100"/>
      </w:pPr>
      <w:r>
        <w:rPr>
          <w:b/>
          <w:color w:val="0E1020"/>
          <w:sz w:val="32"/>
        </w:rPr>
        <w:t>Goals</w:t>
      </w:r>
    </w:p>
    <w:p w14:paraId="5706B98C" w14:textId="77777777" w:rsidR="007C5E23" w:rsidRDefault="00AC238C">
      <w:pPr>
        <w:pStyle w:val="ListBullet"/>
        <w:spacing w:after="60"/>
      </w:pPr>
      <w:r>
        <w:t>Prospect completes the assessment in under 30 minutes, single sitting, self-service, by voice or chat.</w:t>
      </w:r>
    </w:p>
    <w:p w14:paraId="38091AC8" w14:textId="77777777" w:rsidR="007C5E23" w:rsidRDefault="00AC238C">
      <w:pPr>
        <w:pStyle w:val="ListBullet"/>
        <w:spacing w:after="60"/>
      </w:pPr>
      <w:r>
        <w:t>DXC delivers a personalized AI readiness scorecard within 24 hours of submission.</w:t>
      </w:r>
    </w:p>
    <w:p w14:paraId="50554C36" w14:textId="77777777" w:rsidR="007C5E23" w:rsidRDefault="00AC238C">
      <w:pPr>
        <w:pStyle w:val="ListBullet"/>
        <w:spacing w:after="60"/>
      </w:pPr>
      <w:r>
        <w:t>Findings are personalized to the prospect's persona, company situation, and industry context.</w:t>
      </w:r>
    </w:p>
    <w:p w14:paraId="7359A07C" w14:textId="77777777" w:rsidR="007C5E23" w:rsidRDefault="00AC238C">
      <w:pPr>
        <w:pStyle w:val="ListBullet"/>
        <w:spacing w:after="60"/>
      </w:pPr>
      <w:r>
        <w:t>The interview is generated from a definition, not coded, so the same engine serves other interview types and Discovery stakeholder interviews later.</w:t>
      </w:r>
    </w:p>
    <w:p w14:paraId="506EB254" w14:textId="77777777" w:rsidR="007C5E23" w:rsidRDefault="00AC238C">
      <w:pPr>
        <w:pStyle w:val="ListBullet"/>
        <w:spacing w:after="60"/>
      </w:pPr>
      <w:r>
        <w:t>Output recommends a specific next step: the complimentary AI value proof, then APR ASSESS.</w:t>
      </w:r>
    </w:p>
    <w:p w14:paraId="41BC0EF7" w14:textId="77777777" w:rsidR="007C5E23" w:rsidRDefault="00AC238C">
      <w:pPr>
        <w:pStyle w:val="ListBullet"/>
        <w:spacing w:after="60"/>
      </w:pPr>
      <w:r>
        <w:t>Downstream DXC value is generated beyond the scorecard: benchmark library, cross-practice pipeline, internal AI feedstock.</w:t>
      </w:r>
    </w:p>
    <w:p w14:paraId="6696FA63" w14:textId="77777777" w:rsidR="007C5E23" w:rsidRDefault="00AC238C">
      <w:pPr>
        <w:pStyle w:val="ListBullet"/>
        <w:spacing w:after="60"/>
      </w:pPr>
      <w:r>
        <w:t>System operates at scale, hundreds to thousands of prospects per year, with senior partner time bounded to 15-30 minutes per scorecard review.</w:t>
      </w:r>
    </w:p>
    <w:p w14:paraId="49108DF1" w14:textId="77777777" w:rsidR="007C5E23" w:rsidRDefault="00AC238C">
      <w:pPr>
        <w:pBdr>
          <w:bottom w:val="single" w:sz="4" w:space="4" w:color="C9C4BD"/>
        </w:pBdr>
        <w:spacing w:before="300" w:after="100"/>
      </w:pPr>
      <w:r>
        <w:rPr>
          <w:b/>
          <w:color w:val="0E1020"/>
          <w:sz w:val="32"/>
        </w:rPr>
        <w:t>Non-Goals</w:t>
      </w:r>
    </w:p>
    <w:p w14:paraId="1B22388F" w14:textId="77777777" w:rsidR="007C5E23" w:rsidRDefault="00AC238C">
      <w:pPr>
        <w:pStyle w:val="ListBullet"/>
        <w:spacing w:after="60"/>
      </w:pPr>
      <w:r>
        <w:t>Process mining, multi-stream evidence collection, and AxisAI or AxisMIND deep analytical work against client processes (APR ASSESS scope).</w:t>
      </w:r>
    </w:p>
    <w:p w14:paraId="0AE08FE8" w14:textId="77777777" w:rsidR="007C5E23" w:rsidRDefault="00AC238C">
      <w:pPr>
        <w:pStyle w:val="ListBullet"/>
        <w:spacing w:after="60"/>
      </w:pPr>
      <w:r>
        <w:t>Board-ready AI reinvention plan with full sequenced actions (APR deliverable).</w:t>
      </w:r>
    </w:p>
    <w:p w14:paraId="63FD7578" w14:textId="77777777" w:rsidR="007C5E23" w:rsidRDefault="00AC238C">
      <w:pPr>
        <w:pStyle w:val="ListBullet"/>
        <w:spacing w:after="60"/>
      </w:pPr>
      <w:r>
        <w:t>Named vendor product recommendations in the scorecard. The free output stays vendor-neutral; named tools appear only in the paid stage, walled and capability-first.</w:t>
      </w:r>
    </w:p>
    <w:p w14:paraId="0D9073A9" w14:textId="77777777" w:rsidR="007C5E23" w:rsidRDefault="00AC238C">
      <w:pPr>
        <w:pStyle w:val="ListBullet"/>
        <w:spacing w:after="60"/>
      </w:pPr>
      <w:r>
        <w:lastRenderedPageBreak/>
        <w:t>General-purpose AI chatbot or AI tool inventory.</w:t>
      </w:r>
    </w:p>
    <w:p w14:paraId="79B1BF8E" w14:textId="77777777" w:rsidR="007C5E23" w:rsidRDefault="00AC238C">
      <w:pPr>
        <w:pStyle w:val="ListBullet"/>
        <w:spacing w:after="60"/>
      </w:pPr>
      <w:r>
        <w:t>Standalone product sold separately from the AdvisoryX consulting offering.</w:t>
      </w:r>
    </w:p>
    <w:p w14:paraId="330EAE63" w14:textId="77777777" w:rsidR="007C5E23" w:rsidRDefault="00AC238C">
      <w:pPr>
        <w:spacing w:after="140" w:line="283" w:lineRule="auto"/>
      </w:pPr>
      <w:r>
        <w:t>Note on voice. Voice interviewing is now in the engine, but at Diagnostic depth it is single-respondent and under 30 minutes. Multi-stakeholder voice interviews at scale remain a later build on the same engine, in APR ASSESS.</w:t>
      </w:r>
    </w:p>
    <w:p w14:paraId="5544D2EC" w14:textId="77777777" w:rsidR="007C5E23" w:rsidRDefault="00AC238C">
      <w:pPr>
        <w:pBdr>
          <w:bottom w:val="single" w:sz="4" w:space="4" w:color="C9C4BD"/>
        </w:pBdr>
        <w:spacing w:before="300" w:after="100"/>
      </w:pPr>
      <w:r>
        <w:rPr>
          <w:b/>
          <w:color w:val="0E1020"/>
          <w:sz w:val="32"/>
        </w:rPr>
        <w:t>Commercial Model</w:t>
      </w:r>
    </w:p>
    <w:p w14:paraId="4C5C8219" w14:textId="77777777" w:rsidR="007C5E23" w:rsidRDefault="00AC238C">
      <w:pPr>
        <w:spacing w:after="140" w:line="283" w:lineRule="auto"/>
      </w:pPr>
      <w:r>
        <w:t>The Diagnostic is complimentary, and so is the AI value proof that can follow it. Paid work begins only when the client commits to a deeper assessment. V5 supersedes V4 on this point.</w:t>
      </w:r>
    </w:p>
    <w:p w14:paraId="13F7D52C" w14:textId="77777777" w:rsidR="007C5E23" w:rsidRDefault="00AC238C">
      <w:pPr>
        <w:pStyle w:val="ListBullet"/>
        <w:spacing w:after="60"/>
      </w:pPr>
      <w:r>
        <w:rPr>
          <w:b/>
          <w:color w:val="0E1020"/>
        </w:rPr>
        <w:t xml:space="preserve">Complimentary. </w:t>
      </w:r>
      <w:r>
        <w:t>The AI interview, the partner-reviewed scorecard, and the AI value proof point (AxisAI on the client's own data) are all complimentary.</w:t>
      </w:r>
    </w:p>
    <w:p w14:paraId="25B9B587" w14:textId="77777777" w:rsidR="007C5E23" w:rsidRDefault="00AC238C">
      <w:pPr>
        <w:pStyle w:val="ListBullet"/>
        <w:spacing w:after="60"/>
      </w:pPr>
      <w:r>
        <w:rPr>
          <w:b/>
          <w:color w:val="0E1020"/>
        </w:rPr>
        <w:t xml:space="preserve">Paid. </w:t>
      </w:r>
      <w:r>
        <w:t>Paid work begins as APR ASSESS, a four-to-six-week practitioner-led assessment, or another entry point into delivery that the client chooses.</w:t>
      </w:r>
    </w:p>
    <w:p w14:paraId="6075CCE4" w14:textId="77777777" w:rsidR="007C5E23" w:rsidRDefault="00AC238C">
      <w:pPr>
        <w:pStyle w:val="ListBullet"/>
        <w:spacing w:after="60"/>
      </w:pPr>
      <w:r>
        <w:rPr>
          <w:b/>
          <w:color w:val="0E1020"/>
        </w:rPr>
        <w:t xml:space="preserve">Open. </w:t>
      </w:r>
      <w:r>
        <w:t>Whether the complimentary Diagnostic carries any nominal cost remains a pricing question, tracked in Open Questions.</w:t>
      </w:r>
    </w:p>
    <w:p w14:paraId="2242204B" w14:textId="77777777" w:rsidR="007C5E23" w:rsidRDefault="00AC238C">
      <w:pPr>
        <w:pBdr>
          <w:bottom w:val="single" w:sz="4" w:space="4" w:color="C9C4BD"/>
        </w:pBdr>
        <w:spacing w:before="300" w:after="100"/>
      </w:pPr>
      <w:r>
        <w:rPr>
          <w:b/>
          <w:color w:val="0E1020"/>
          <w:sz w:val="32"/>
        </w:rPr>
        <w:t>Target Users</w:t>
      </w:r>
    </w:p>
    <w:p w14:paraId="5DDDB270" w14:textId="77777777" w:rsidR="007C5E23" w:rsidRDefault="00AC238C">
      <w:pPr>
        <w:spacing w:before="200" w:after="60"/>
      </w:pPr>
      <w:r>
        <w:rPr>
          <w:b/>
          <w:color w:val="0E1020"/>
          <w:sz w:val="25"/>
        </w:rPr>
        <w:t>Prospect personas</w:t>
      </w:r>
    </w:p>
    <w:p w14:paraId="1D1360AF" w14:textId="77777777" w:rsidR="007C5E23" w:rsidRDefault="00AC238C">
      <w:pPr>
        <w:pStyle w:val="ListBullet"/>
        <w:spacing w:after="60"/>
      </w:pPr>
      <w:r>
        <w:rPr>
          <w:b/>
          <w:color w:val="0E1020"/>
        </w:rPr>
        <w:t xml:space="preserve">P1. </w:t>
      </w:r>
      <w:r>
        <w:t>Executive sponsor (CEO or COO): strategic framing, board narrative, competitive positioning.</w:t>
      </w:r>
    </w:p>
    <w:p w14:paraId="0B70E5EE" w14:textId="77777777" w:rsidR="007C5E23" w:rsidRDefault="00AC238C">
      <w:pPr>
        <w:pStyle w:val="ListBullet"/>
        <w:spacing w:after="60"/>
      </w:pPr>
      <w:r>
        <w:rPr>
          <w:b/>
          <w:color w:val="0E1020"/>
        </w:rPr>
        <w:t xml:space="preserve">P2. </w:t>
      </w:r>
      <w:r>
        <w:t>Operational owner (CIO, CDO, or CTO): technical readiness, implementation specifics, governance feasibility.</w:t>
      </w:r>
    </w:p>
    <w:p w14:paraId="05319276" w14:textId="77777777" w:rsidR="007C5E23" w:rsidRDefault="00AC238C">
      <w:pPr>
        <w:pStyle w:val="ListBullet"/>
        <w:spacing w:after="60"/>
      </w:pPr>
      <w:r>
        <w:rPr>
          <w:b/>
          <w:color w:val="0E1020"/>
        </w:rPr>
        <w:t xml:space="preserve">P3. </w:t>
      </w:r>
      <w:r>
        <w:t>Financial scrutineer (CFO): capital allocation, ROI confidence, risk-adjusted returns.</w:t>
      </w:r>
    </w:p>
    <w:p w14:paraId="59CC78C8" w14:textId="77777777" w:rsidR="007C5E23" w:rsidRDefault="00AC238C">
      <w:pPr>
        <w:spacing w:before="200" w:after="60"/>
      </w:pPr>
      <w:r>
        <w:rPr>
          <w:b/>
          <w:color w:val="0E1020"/>
          <w:sz w:val="25"/>
        </w:rPr>
        <w:t>Internal DXC users</w:t>
      </w:r>
    </w:p>
    <w:p w14:paraId="1442682D" w14:textId="77777777" w:rsidR="007C5E23" w:rsidRDefault="00AC238C">
      <w:pPr>
        <w:pStyle w:val="ListBullet"/>
        <w:spacing w:after="60"/>
      </w:pPr>
      <w:r>
        <w:rPr>
          <w:b/>
          <w:color w:val="0E1020"/>
        </w:rPr>
        <w:t xml:space="preserve">I1. </w:t>
      </w:r>
      <w:r>
        <w:t>Senior partner, reviewer: reviews the AI-generated scorecard before delivery, 15-30 minutes per scorecard.</w:t>
      </w:r>
    </w:p>
    <w:p w14:paraId="52A33FD1" w14:textId="77777777" w:rsidR="007C5E23" w:rsidRDefault="00AC238C">
      <w:pPr>
        <w:pStyle w:val="ListBullet"/>
        <w:spacing w:after="60"/>
      </w:pPr>
      <w:r>
        <w:rPr>
          <w:b/>
          <w:color w:val="0E1020"/>
        </w:rPr>
        <w:t xml:space="preserve">I2. </w:t>
      </w:r>
      <w:r>
        <w:t>BD partner, follow-up: receives the scorecard, follows up, converts to the value proof and APR ASSESS.</w:t>
      </w:r>
    </w:p>
    <w:p w14:paraId="5BD41AFA" w14:textId="77777777" w:rsidR="007C5E23" w:rsidRDefault="00AC238C">
      <w:pPr>
        <w:pStyle w:val="ListBullet"/>
        <w:spacing w:after="60"/>
      </w:pPr>
      <w:r>
        <w:rPr>
          <w:b/>
          <w:color w:val="0E1020"/>
        </w:rPr>
        <w:t xml:space="preserve">I3. </w:t>
      </w:r>
      <w:r>
        <w:t>Cross-practice account team (V1+): receives routed opportunity records from the routing agent.</w:t>
      </w:r>
    </w:p>
    <w:p w14:paraId="731BD1CB" w14:textId="77777777" w:rsidR="007C5E23" w:rsidRDefault="00AC238C">
      <w:pPr>
        <w:pBdr>
          <w:bottom w:val="single" w:sz="4" w:space="4" w:color="C9C4BD"/>
        </w:pBdr>
        <w:spacing w:before="300" w:after="100"/>
      </w:pPr>
      <w:r>
        <w:rPr>
          <w:b/>
          <w:color w:val="0E1020"/>
          <w:sz w:val="32"/>
        </w:rPr>
        <w:t>The Adaptive Interview Engine</w:t>
      </w:r>
    </w:p>
    <w:p w14:paraId="0D4C44F2" w14:textId="77777777" w:rsidR="007C5E23" w:rsidRDefault="00AC238C">
      <w:pPr>
        <w:spacing w:after="140" w:line="283" w:lineRule="auto"/>
      </w:pPr>
      <w:r>
        <w:t>The engine is the central change in V5. An interview is defined, not coded. The same agents conduct any structured interview by reading a different definition. The AI Readiness interview is the first instance of a reusable capability, not a one-off questionnaire. The framework stays constant; the intent that drives it is configuration.</w:t>
      </w:r>
    </w:p>
    <w:p w14:paraId="41FDB67B" w14:textId="77777777" w:rsidR="007C5E23" w:rsidRDefault="00AC238C">
      <w:pPr>
        <w:spacing w:before="200" w:after="60"/>
      </w:pPr>
      <w:r>
        <w:rPr>
          <w:b/>
          <w:color w:val="0E1020"/>
          <w:sz w:val="25"/>
        </w:rPr>
        <w:t>The interview definition</w:t>
      </w:r>
    </w:p>
    <w:p w14:paraId="3D4E59DC" w14:textId="77777777" w:rsidR="007C5E23" w:rsidRDefault="00AC238C">
      <w:pPr>
        <w:spacing w:after="140" w:line="283" w:lineRule="auto"/>
      </w:pPr>
      <w:r>
        <w:t>One definition drives the engine for one interview type. It holds five parts.</w:t>
      </w:r>
    </w:p>
    <w:p w14:paraId="01DA2A36" w14:textId="77777777" w:rsidR="007C5E23" w:rsidRDefault="00AC238C">
      <w:pPr>
        <w:pStyle w:val="ListBullet"/>
        <w:spacing w:after="60"/>
      </w:pPr>
      <w:r>
        <w:rPr>
          <w:b/>
          <w:color w:val="0E1020"/>
        </w:rPr>
        <w:lastRenderedPageBreak/>
        <w:t xml:space="preserve">Context. </w:t>
      </w:r>
      <w:r>
        <w:t>Context: who is being interviewed, the industry frame, and the purpose of the read.</w:t>
      </w:r>
    </w:p>
    <w:p w14:paraId="29921290" w14:textId="77777777" w:rsidR="007C5E23" w:rsidRDefault="00AC238C">
      <w:pPr>
        <w:pStyle w:val="ListBullet"/>
        <w:spacing w:after="60"/>
      </w:pPr>
      <w:r>
        <w:rPr>
          <w:b/>
          <w:color w:val="0E1020"/>
        </w:rPr>
        <w:t xml:space="preserve">Objectives. </w:t>
      </w:r>
      <w:r>
        <w:t>Objectives: the scored constructs the interview must cover, each fully specified (see below).</w:t>
      </w:r>
    </w:p>
    <w:p w14:paraId="63DEF9F3" w14:textId="77777777" w:rsidR="007C5E23" w:rsidRDefault="00AC238C">
      <w:pPr>
        <w:pStyle w:val="ListBullet"/>
        <w:spacing w:after="60"/>
      </w:pPr>
      <w:r>
        <w:rPr>
          <w:b/>
          <w:color w:val="0E1020"/>
        </w:rPr>
        <w:t xml:space="preserve">Persona map. </w:t>
      </w:r>
      <w:r>
        <w:t>Persona map: how questions and language adapt to the respondent's role.</w:t>
      </w:r>
    </w:p>
    <w:p w14:paraId="7C27D5BC" w14:textId="77777777" w:rsidR="007C5E23" w:rsidRDefault="00AC238C">
      <w:pPr>
        <w:pStyle w:val="ListBullet"/>
        <w:spacing w:after="60"/>
      </w:pPr>
      <w:r>
        <w:rPr>
          <w:b/>
          <w:color w:val="0E1020"/>
        </w:rPr>
        <w:t xml:space="preserve">Output schema. </w:t>
      </w:r>
      <w:r>
        <w:t>Output schema: the scores, findings, and artifacts the interview must produce.</w:t>
      </w:r>
    </w:p>
    <w:p w14:paraId="1F3F942C" w14:textId="77777777" w:rsidR="007C5E23" w:rsidRDefault="00AC238C">
      <w:pPr>
        <w:pStyle w:val="ListBullet"/>
        <w:spacing w:after="60"/>
      </w:pPr>
      <w:r>
        <w:rPr>
          <w:b/>
          <w:color w:val="0E1020"/>
        </w:rPr>
        <w:t xml:space="preserve">Guardrails. </w:t>
      </w:r>
      <w:r>
        <w:t>Guardrails: scope limits, sensitive-topic handling, and run-time stop conditions.</w:t>
      </w:r>
    </w:p>
    <w:p w14:paraId="65240DA9" w14:textId="77777777" w:rsidR="007C5E23" w:rsidRDefault="00AC238C">
      <w:pPr>
        <w:spacing w:before="200" w:after="60"/>
      </w:pPr>
      <w:r>
        <w:rPr>
          <w:b/>
          <w:color w:val="0E1020"/>
          <w:sz w:val="25"/>
        </w:rPr>
        <w:t>Objective anatomy</w:t>
      </w:r>
    </w:p>
    <w:p w14:paraId="332CF6A5" w14:textId="77777777" w:rsidR="007C5E23" w:rsidRDefault="00AC238C">
      <w:pPr>
        <w:spacing w:after="140" w:line="283" w:lineRule="auto"/>
      </w:pPr>
      <w:r>
        <w:t>Every objective is specified the same way, so the engine can generate questions for it and the scorer can score it consistently.</w:t>
      </w:r>
    </w:p>
    <w:p w14:paraId="5EFEE125" w14:textId="77777777" w:rsidR="007C5E23" w:rsidRDefault="00AC238C">
      <w:pPr>
        <w:pStyle w:val="ListBullet"/>
        <w:spacing w:after="60"/>
      </w:pPr>
      <w:r>
        <w:rPr>
          <w:b/>
          <w:color w:val="0E1020"/>
        </w:rPr>
        <w:t xml:space="preserve">Intent. </w:t>
      </w:r>
      <w:r>
        <w:t>Intent: the single thing this objective establishes.</w:t>
      </w:r>
    </w:p>
    <w:p w14:paraId="73103409" w14:textId="77777777" w:rsidR="007C5E23" w:rsidRDefault="00AC238C">
      <w:pPr>
        <w:pStyle w:val="ListBullet"/>
        <w:spacing w:after="60"/>
      </w:pPr>
      <w:r>
        <w:rPr>
          <w:b/>
          <w:color w:val="0E1020"/>
        </w:rPr>
        <w:t xml:space="preserve">Why. </w:t>
      </w:r>
      <w:r>
        <w:t>Why it matters: the decision the score informs.</w:t>
      </w:r>
    </w:p>
    <w:p w14:paraId="4FA9372D" w14:textId="77777777" w:rsidR="007C5E23" w:rsidRDefault="00AC238C">
      <w:pPr>
        <w:pStyle w:val="ListBullet"/>
        <w:spacing w:after="60"/>
      </w:pPr>
      <w:r>
        <w:rPr>
          <w:b/>
          <w:color w:val="0E1020"/>
        </w:rPr>
        <w:t xml:space="preserve">Evidence signals. </w:t>
      </w:r>
      <w:r>
        <w:t>Evidence signals: what an answer must contain to count as evidence, not assertion.</w:t>
      </w:r>
    </w:p>
    <w:p w14:paraId="29B6A792" w14:textId="77777777" w:rsidR="007C5E23" w:rsidRDefault="00AC238C">
      <w:pPr>
        <w:pStyle w:val="ListBullet"/>
        <w:spacing w:after="60"/>
      </w:pPr>
      <w:r>
        <w:rPr>
          <w:b/>
          <w:color w:val="0E1020"/>
        </w:rPr>
        <w:t xml:space="preserve">Rubric. </w:t>
      </w:r>
      <w:r>
        <w:t>Scoring rubric: anchored exemplars for each score band, so scoring is evidence-anchored, not impressionistic.</w:t>
      </w:r>
    </w:p>
    <w:p w14:paraId="5F4746EE" w14:textId="77777777" w:rsidR="007C5E23" w:rsidRDefault="00AC238C">
      <w:pPr>
        <w:pStyle w:val="ListBullet"/>
        <w:spacing w:after="60"/>
      </w:pPr>
      <w:r>
        <w:rPr>
          <w:b/>
          <w:color w:val="0E1020"/>
        </w:rPr>
        <w:t xml:space="preserve">Probe guidance. </w:t>
      </w:r>
      <w:r>
        <w:t>Probe guidance: when to press for more and when to move on.</w:t>
      </w:r>
    </w:p>
    <w:p w14:paraId="4C790FD2" w14:textId="77777777" w:rsidR="007C5E23" w:rsidRDefault="00AC238C">
      <w:pPr>
        <w:pStyle w:val="ListBullet"/>
        <w:spacing w:after="60"/>
      </w:pPr>
      <w:r>
        <w:rPr>
          <w:b/>
          <w:color w:val="0E1020"/>
        </w:rPr>
        <w:t xml:space="preserve">Applicability. </w:t>
      </w:r>
      <w:r>
        <w:t>Applicability: when the objective applies, by persona or industry.</w:t>
      </w:r>
    </w:p>
    <w:p w14:paraId="5B60D2B0" w14:textId="77777777" w:rsidR="007C5E23" w:rsidRDefault="00AC238C">
      <w:pPr>
        <w:spacing w:before="200" w:after="60"/>
      </w:pPr>
      <w:r>
        <w:rPr>
          <w:b/>
          <w:color w:val="0E1020"/>
          <w:sz w:val="25"/>
        </w:rPr>
        <w:t>Design time and run time</w:t>
      </w:r>
    </w:p>
    <w:p w14:paraId="2C7F9D41" w14:textId="77777777" w:rsidR="007C5E23" w:rsidRDefault="00AC238C">
      <w:pPr>
        <w:spacing w:after="140" w:line="283" w:lineRule="auto"/>
      </w:pPr>
      <w:r>
        <w:t>Two sets of agents. At design time, the Interview Designer authors and adapts definitions (a later-phase capability; in the MVP the AI Readiness definition is hand-authored and senior-curated, with the Designer as the authoring aid). At run time, the conversation agents conduct the interview live from the definition, with no human in the loop during the conversation.</w:t>
      </w:r>
    </w:p>
    <w:p w14:paraId="36C08EFF" w14:textId="77777777" w:rsidR="007C5E23" w:rsidRDefault="00AC238C">
      <w:pPr>
        <w:spacing w:before="200" w:after="60"/>
      </w:pPr>
      <w:r>
        <w:rPr>
          <w:b/>
          <w:color w:val="0E1020"/>
          <w:sz w:val="25"/>
        </w:rPr>
        <w:t>Two-pass pacing</w:t>
      </w:r>
    </w:p>
    <w:p w14:paraId="143A91F3" w14:textId="77777777" w:rsidR="007C5E23" w:rsidRDefault="00AC238C">
      <w:pPr>
        <w:spacing w:after="140" w:line="283" w:lineRule="auto"/>
      </w:pPr>
      <w:r>
        <w:t>The engine covers breadth before depth. Pass one reaches a minimum confidence on every objective. Pass two adds depth only where time remains and the signal warrants it. This protects the under-30-minute budget while keeping all six dimensions covered.</w:t>
      </w:r>
    </w:p>
    <w:p w14:paraId="25FDCB6E" w14:textId="77777777" w:rsidR="007C5E23" w:rsidRDefault="00AC238C">
      <w:pPr>
        <w:spacing w:before="200" w:after="60"/>
      </w:pPr>
      <w:r>
        <w:rPr>
          <w:b/>
          <w:color w:val="0E1020"/>
          <w:sz w:val="25"/>
        </w:rPr>
        <w:t>Construct-lock and version-stamp</w:t>
      </w:r>
    </w:p>
    <w:p w14:paraId="1471FEA0" w14:textId="77777777" w:rsidR="007C5E23" w:rsidRDefault="00AC238C">
      <w:pPr>
        <w:pStyle w:val="ListBullet"/>
        <w:spacing w:after="60"/>
      </w:pPr>
      <w:r>
        <w:rPr>
          <w:b/>
          <w:color w:val="0E1020"/>
        </w:rPr>
        <w:t xml:space="preserve">Construct-lock. </w:t>
      </w:r>
      <w:r>
        <w:t>The scored construct and its rubric are locked per interview type. Two prospects of the same type are scored against the same construct, which protects comparability and the benchmark.</w:t>
      </w:r>
    </w:p>
    <w:p w14:paraId="7441F46C" w14:textId="77777777" w:rsidR="007C5E23" w:rsidRDefault="00AC238C">
      <w:pPr>
        <w:pStyle w:val="ListBullet"/>
        <w:spacing w:after="60"/>
      </w:pPr>
      <w:r>
        <w:rPr>
          <w:b/>
          <w:color w:val="0E1020"/>
        </w:rPr>
        <w:t xml:space="preserve">Version-stamp. </w:t>
      </w:r>
      <w:r>
        <w:t>Every result is stamped with the definition version that produced it. When a definition changes, old and new results stay comparable or are knowingly separated. This protects the benchmark database.</w:t>
      </w:r>
    </w:p>
    <w:p w14:paraId="214ACB32" w14:textId="77777777" w:rsidR="007C5E23" w:rsidRDefault="00AC238C">
      <w:pPr>
        <w:pBdr>
          <w:bottom w:val="single" w:sz="4" w:space="4" w:color="C9C4BD"/>
        </w:pBdr>
        <w:spacing w:before="300" w:after="100"/>
      </w:pPr>
      <w:r>
        <w:rPr>
          <w:b/>
          <w:color w:val="0E1020"/>
          <w:sz w:val="32"/>
        </w:rPr>
        <w:t>End-to-End User Journey</w:t>
      </w:r>
    </w:p>
    <w:p w14:paraId="4D620FA9" w14:textId="77777777" w:rsidR="007C5E23" w:rsidRDefault="00AC238C">
      <w:pPr>
        <w:spacing w:after="140" w:line="283" w:lineRule="auto"/>
      </w:pPr>
      <w:r>
        <w:t>The Diagnostic runs on two clocks at once: the prospect's under-30-minute interview, and DXC's 24-hour turnaround to a reviewed scorecard.</w:t>
      </w:r>
    </w:p>
    <w:p w14:paraId="45FF9FB6" w14:textId="77777777" w:rsidR="007C5E23" w:rsidRDefault="00AC238C">
      <w:pPr>
        <w:spacing w:before="200" w:after="60"/>
      </w:pPr>
      <w:r>
        <w:rPr>
          <w:b/>
          <w:color w:val="0E1020"/>
          <w:sz w:val="25"/>
        </w:rPr>
        <w:t>Prospect-facing clock (under 30 minutes)</w:t>
      </w:r>
    </w:p>
    <w:p w14:paraId="7A9ED05F" w14:textId="77777777" w:rsidR="007C5E23" w:rsidRDefault="00AC238C">
      <w:pPr>
        <w:pStyle w:val="ListBullet"/>
        <w:spacing w:after="60"/>
      </w:pPr>
      <w:r>
        <w:lastRenderedPageBreak/>
        <w:t>Prospect lands on the web interface and provides name, role, business email, and company name.</w:t>
      </w:r>
    </w:p>
    <w:p w14:paraId="39ACC2C0" w14:textId="77777777" w:rsidR="007C5E23" w:rsidRDefault="00AC238C">
      <w:pPr>
        <w:pStyle w:val="ListBullet"/>
        <w:spacing w:after="60"/>
      </w:pPr>
      <w:r>
        <w:t>The intake agent validates the submission. Research and persona agents dispatch immediately and run behind the scenes.</w:t>
      </w:r>
    </w:p>
    <w:p w14:paraId="33B80B81" w14:textId="77777777" w:rsidR="007C5E23" w:rsidRDefault="00AC238C">
      <w:pPr>
        <w:pStyle w:val="ListBullet"/>
        <w:spacing w:after="60"/>
      </w:pPr>
      <w:r>
        <w:t>Persona is inferred within 30 seconds and shapes the interview.</w:t>
      </w:r>
    </w:p>
    <w:p w14:paraId="369E1FD7" w14:textId="77777777" w:rsidR="007C5E23" w:rsidRDefault="00AC238C">
      <w:pPr>
        <w:pStyle w:val="ListBullet"/>
        <w:spacing w:after="60"/>
      </w:pPr>
      <w:r>
        <w:t>The engine conducts the adaptive interview by voice or chat: the planner selects the next objective, the questioner asks, the probe decides follow-ups, and capture extracts evidence from each answer. Two-pass pacing governs coverage.</w:t>
      </w:r>
    </w:p>
    <w:p w14:paraId="6B385BFC" w14:textId="77777777" w:rsidR="007C5E23" w:rsidRDefault="00AC238C">
      <w:pPr>
        <w:pStyle w:val="ListBullet"/>
        <w:spacing w:after="60"/>
      </w:pPr>
      <w:r>
        <w:t>Prospect completes the interview, submits, receives confirmation and a portal link, and is notified of 24-hour delivery.</w:t>
      </w:r>
    </w:p>
    <w:p w14:paraId="6C2DCD6D" w14:textId="77777777" w:rsidR="007C5E23" w:rsidRDefault="00AC238C">
      <w:pPr>
        <w:spacing w:before="200" w:after="60"/>
      </w:pPr>
      <w:r>
        <w:rPr>
          <w:b/>
          <w:color w:val="0E1020"/>
          <w:sz w:val="25"/>
        </w:rPr>
        <w:t>DXC-side clock (within 24 hours)</w:t>
      </w:r>
    </w:p>
    <w:p w14:paraId="342ECA9B" w14:textId="77777777" w:rsidR="007C5E23" w:rsidRDefault="00AC238C">
      <w:pPr>
        <w:pStyle w:val="ListBullet"/>
        <w:spacing w:after="60"/>
      </w:pPr>
      <w:r>
        <w:t>Research agents complete in parallel, within hours of submission.</w:t>
      </w:r>
    </w:p>
    <w:p w14:paraId="021F6777" w14:textId="77777777" w:rsidR="007C5E23" w:rsidRDefault="00AC238C">
      <w:pPr>
        <w:pStyle w:val="ListBullet"/>
        <w:spacing w:after="60"/>
      </w:pPr>
      <w:r>
        <w:t>The industry pattern agent maps the industry to APR playbook patterns.</w:t>
      </w:r>
    </w:p>
    <w:p w14:paraId="09D0FAD4" w14:textId="77777777" w:rsidR="007C5E23" w:rsidRDefault="00AC238C">
      <w:pPr>
        <w:pStyle w:val="ListBullet"/>
        <w:spacing w:after="60"/>
      </w:pPr>
      <w:r>
        <w:t>The synthesis and scoring agent triangulates the interview, the research, the benchmark, and the patterns into six-dimension 0-100 scores with per-dimension confidence and findings.</w:t>
      </w:r>
    </w:p>
    <w:p w14:paraId="31334C25" w14:textId="77777777" w:rsidR="007C5E23" w:rsidRDefault="00AC238C">
      <w:pPr>
        <w:pStyle w:val="ListBullet"/>
        <w:spacing w:after="60"/>
      </w:pPr>
      <w:r>
        <w:t>The quick-wins agent selects two or three quick wins from the library.</w:t>
      </w:r>
    </w:p>
    <w:p w14:paraId="17FCE999" w14:textId="77777777" w:rsidR="007C5E23" w:rsidRDefault="00AC238C">
      <w:pPr>
        <w:pStyle w:val="ListBullet"/>
        <w:spacing w:after="60"/>
      </w:pPr>
      <w:r>
        <w:t>The output agent generates the scorecard PDF, the strengths-and-gaps block, a representative quote, the findings appendix, the value-difficulty 2x2, the quick-wins memo, and the walled recommendation.</w:t>
      </w:r>
    </w:p>
    <w:p w14:paraId="5C9A45B8" w14:textId="77777777" w:rsidR="007C5E23" w:rsidRDefault="00AC238C">
      <w:pPr>
        <w:pStyle w:val="ListBullet"/>
        <w:spacing w:after="60"/>
      </w:pPr>
      <w:r>
        <w:t>The validation agent checks outputs and flags low-confidence items for partner attention.</w:t>
      </w:r>
    </w:p>
    <w:p w14:paraId="25718FB4" w14:textId="77777777" w:rsidR="007C5E23" w:rsidRDefault="00AC238C">
      <w:pPr>
        <w:pStyle w:val="ListBullet"/>
        <w:spacing w:after="60"/>
      </w:pPr>
      <w:r>
        <w:t>The senior partner reviews, target 15-30 minutes, and adjusts, overrides, or approves.</w:t>
      </w:r>
    </w:p>
    <w:p w14:paraId="10A2C51C" w14:textId="77777777" w:rsidR="007C5E23" w:rsidRDefault="00AC238C">
      <w:pPr>
        <w:pStyle w:val="ListBullet"/>
        <w:spacing w:after="60"/>
      </w:pPr>
      <w:r>
        <w:t>The approved scorecard is delivered to the prospect by email and secure portal link.</w:t>
      </w:r>
    </w:p>
    <w:p w14:paraId="4F70790B" w14:textId="77777777" w:rsidR="007C5E23" w:rsidRDefault="00AC238C">
      <w:pPr>
        <w:pStyle w:val="ListBullet"/>
        <w:spacing w:after="60"/>
      </w:pPr>
      <w:r>
        <w:t>Post-delivery agents run based on consent flags. The BD partner is notified for follow-up.</w:t>
      </w:r>
    </w:p>
    <w:p w14:paraId="28E08BD7" w14:textId="77777777" w:rsidR="007C5E23" w:rsidRDefault="00AC238C">
      <w:pPr>
        <w:pBdr>
          <w:bottom w:val="single" w:sz="4" w:space="4" w:color="C9C4BD"/>
        </w:pBdr>
        <w:spacing w:before="300" w:after="100"/>
      </w:pPr>
      <w:r>
        <w:rPr>
          <w:b/>
          <w:color w:val="0E1020"/>
          <w:sz w:val="32"/>
        </w:rPr>
        <w:t>Agentic Architecture</w:t>
      </w:r>
    </w:p>
    <w:p w14:paraId="49617FB6" w14:textId="77777777" w:rsidR="007C5E23" w:rsidRDefault="00AC238C">
      <w:pPr>
        <w:spacing w:after="140" w:line="283" w:lineRule="auto"/>
      </w:pPr>
      <w:r>
        <w:t>V5 re-architects the agent model around the engine. The model keeps agent specialization but reorganizes into six groups that follow the work: design-time authoring, the run-time conversation loop, parallel research, synthesis and scoring, output, and post-delivery. The net effect is a clearer pipeline. The single fixed-questionnaire agent in V4 becomes the four-agent conversation loop, and one design-time agent is added.</w:t>
      </w:r>
    </w:p>
    <w:p w14:paraId="3C6D4355" w14:textId="77777777" w:rsidR="007C5E23" w:rsidRDefault="00AC238C">
      <w:pPr>
        <w:spacing w:before="200" w:after="60"/>
      </w:pPr>
      <w:r>
        <w:rPr>
          <w:b/>
          <w:color w:val="0E1020"/>
          <w:sz w:val="25"/>
        </w:rPr>
        <w:t>Principles</w:t>
      </w:r>
    </w:p>
    <w:p w14:paraId="46BCE207" w14:textId="77777777" w:rsidR="007C5E23" w:rsidRDefault="00AC238C">
      <w:pPr>
        <w:pStyle w:val="ListBullet"/>
        <w:spacing w:after="60"/>
      </w:pPr>
      <w:r>
        <w:t>Agent specialization. Each agent does one thing. No general-purpose agents.</w:t>
      </w:r>
    </w:p>
    <w:p w14:paraId="573811B0" w14:textId="77777777" w:rsidR="007C5E23" w:rsidRDefault="00AC238C">
      <w:pPr>
        <w:pStyle w:val="ListBullet"/>
        <w:spacing w:after="60"/>
      </w:pPr>
      <w:r>
        <w:t>Parallelization. Research agents run in parallel after submission. Synthesis and output are serial downstream.</w:t>
      </w:r>
    </w:p>
    <w:p w14:paraId="1D0B8367" w14:textId="77777777" w:rsidR="007C5E23" w:rsidRDefault="00AC238C">
      <w:pPr>
        <w:pStyle w:val="ListBullet"/>
        <w:spacing w:after="60"/>
      </w:pPr>
      <w:r>
        <w:t>Confidence reporting. Every agent reports per-output confidence from 0.0 to 1.0. Below 0.6 triggers partner attention.</w:t>
      </w:r>
    </w:p>
    <w:p w14:paraId="5DBCC090" w14:textId="77777777" w:rsidR="007C5E23" w:rsidRDefault="00AC238C">
      <w:pPr>
        <w:pStyle w:val="ListBullet"/>
        <w:spacing w:after="60"/>
      </w:pPr>
      <w:r>
        <w:t>Reasoning before score. The scorer states its evidence and reasoning before it emits a number, which improves consistency and auditability.</w:t>
      </w:r>
    </w:p>
    <w:p w14:paraId="2D342C5B" w14:textId="77777777" w:rsidR="007C5E23" w:rsidRDefault="00AC238C">
      <w:pPr>
        <w:pStyle w:val="ListBullet"/>
        <w:spacing w:after="60"/>
      </w:pPr>
      <w:r>
        <w:t>No human in the loop during the interview. The human gate is after the interview, on the output.</w:t>
      </w:r>
    </w:p>
    <w:p w14:paraId="459662F2" w14:textId="77777777" w:rsidR="007C5E23" w:rsidRDefault="00AC238C">
      <w:pPr>
        <w:pStyle w:val="ListBullet"/>
        <w:spacing w:after="60"/>
      </w:pPr>
      <w:r>
        <w:t>LLM agnostic. V0 primary is Anthropic Claude. An abstraction layer supports a swap to Mistral or an on-premise model for sovereign AI in V1.5.</w:t>
      </w:r>
    </w:p>
    <w:p w14:paraId="355EA71F" w14:textId="77777777" w:rsidR="007C5E23" w:rsidRDefault="00AC238C">
      <w:pPr>
        <w:pStyle w:val="ListBullet"/>
        <w:spacing w:after="60"/>
      </w:pPr>
      <w:r>
        <w:lastRenderedPageBreak/>
        <w:t>Auditable and governed. Every call, input, output, and reasoning trace is logged. Per-prospect cost tracking, usage monitoring, and kill switches are in place.</w:t>
      </w:r>
    </w:p>
    <w:p w14:paraId="0B3E1580" w14:textId="77777777" w:rsidR="007C5E23" w:rsidRDefault="00AC238C">
      <w:pPr>
        <w:spacing w:before="200" w:after="60"/>
      </w:pPr>
      <w:r>
        <w:rPr>
          <w:b/>
          <w:color w:val="0E1020"/>
          <w:sz w:val="25"/>
        </w:rPr>
        <w:t>Agent inventory</w:t>
      </w:r>
    </w:p>
    <w:tbl>
      <w:tblPr>
        <w:tblStyle w:val="TableGrid"/>
        <w:tblW w:w="0" w:type="auto"/>
        <w:tblLook w:val="04A0" w:firstRow="1" w:lastRow="0" w:firstColumn="1" w:lastColumn="0" w:noHBand="0" w:noVBand="1"/>
      </w:tblPr>
      <w:tblGrid>
        <w:gridCol w:w="807"/>
        <w:gridCol w:w="1790"/>
        <w:gridCol w:w="1362"/>
        <w:gridCol w:w="3852"/>
        <w:gridCol w:w="792"/>
        <w:gridCol w:w="747"/>
      </w:tblGrid>
      <w:tr w:rsidR="007C5E23" w14:paraId="0A33C58F" w14:textId="77777777">
        <w:tc>
          <w:tcPr>
            <w:tcW w:w="720" w:type="dxa"/>
            <w:shd w:val="clear" w:color="auto" w:fill="0E1020"/>
          </w:tcPr>
          <w:p w14:paraId="67CB7CAE" w14:textId="77777777" w:rsidR="007C5E23" w:rsidRDefault="00AC238C">
            <w:r>
              <w:rPr>
                <w:b/>
                <w:color w:val="FFFFFF"/>
                <w:sz w:val="18"/>
              </w:rPr>
              <w:t>ID</w:t>
            </w:r>
          </w:p>
        </w:tc>
        <w:tc>
          <w:tcPr>
            <w:tcW w:w="1800" w:type="dxa"/>
            <w:shd w:val="clear" w:color="auto" w:fill="0E1020"/>
          </w:tcPr>
          <w:p w14:paraId="047B0D5C" w14:textId="77777777" w:rsidR="007C5E23" w:rsidRDefault="00AC238C">
            <w:r>
              <w:rPr>
                <w:b/>
                <w:color w:val="FFFFFF"/>
                <w:sz w:val="18"/>
              </w:rPr>
              <w:t>Agent</w:t>
            </w:r>
          </w:p>
        </w:tc>
        <w:tc>
          <w:tcPr>
            <w:tcW w:w="1368" w:type="dxa"/>
            <w:shd w:val="clear" w:color="auto" w:fill="0E1020"/>
          </w:tcPr>
          <w:p w14:paraId="7FBC3658" w14:textId="77777777" w:rsidR="007C5E23" w:rsidRDefault="00AC238C">
            <w:r>
              <w:rPr>
                <w:b/>
                <w:color w:val="FFFFFF"/>
                <w:sz w:val="18"/>
              </w:rPr>
              <w:t>Group</w:t>
            </w:r>
          </w:p>
        </w:tc>
        <w:tc>
          <w:tcPr>
            <w:tcW w:w="3888" w:type="dxa"/>
            <w:shd w:val="clear" w:color="auto" w:fill="0E1020"/>
          </w:tcPr>
          <w:p w14:paraId="727DC973" w14:textId="77777777" w:rsidR="007C5E23" w:rsidRDefault="00AC238C">
            <w:r>
              <w:rPr>
                <w:b/>
                <w:color w:val="FFFFFF"/>
                <w:sz w:val="18"/>
              </w:rPr>
              <w:t>Purpose</w:t>
            </w:r>
          </w:p>
        </w:tc>
        <w:tc>
          <w:tcPr>
            <w:tcW w:w="792" w:type="dxa"/>
            <w:shd w:val="clear" w:color="auto" w:fill="0E1020"/>
          </w:tcPr>
          <w:p w14:paraId="5EA627CD" w14:textId="77777777" w:rsidR="007C5E23" w:rsidRDefault="00AC238C">
            <w:r>
              <w:rPr>
                <w:b/>
                <w:color w:val="FFFFFF"/>
                <w:sz w:val="18"/>
              </w:rPr>
              <w:t>Model</w:t>
            </w:r>
          </w:p>
        </w:tc>
        <w:tc>
          <w:tcPr>
            <w:tcW w:w="648" w:type="dxa"/>
            <w:shd w:val="clear" w:color="auto" w:fill="0E1020"/>
          </w:tcPr>
          <w:p w14:paraId="2751DA63" w14:textId="77777777" w:rsidR="007C5E23" w:rsidRDefault="00AC238C">
            <w:r>
              <w:rPr>
                <w:b/>
                <w:color w:val="FFFFFF"/>
                <w:sz w:val="18"/>
              </w:rPr>
              <w:t>Phase</w:t>
            </w:r>
          </w:p>
        </w:tc>
      </w:tr>
      <w:tr w:rsidR="007C5E23" w14:paraId="6A578814" w14:textId="77777777">
        <w:tc>
          <w:tcPr>
            <w:tcW w:w="720" w:type="dxa"/>
          </w:tcPr>
          <w:p w14:paraId="7F2EBE43" w14:textId="77777777" w:rsidR="007C5E23" w:rsidRDefault="00AC238C">
            <w:r>
              <w:rPr>
                <w:b/>
                <w:sz w:val="18"/>
              </w:rPr>
              <w:t>DES1</w:t>
            </w:r>
          </w:p>
        </w:tc>
        <w:tc>
          <w:tcPr>
            <w:tcW w:w="1800" w:type="dxa"/>
          </w:tcPr>
          <w:p w14:paraId="3F45FCD6" w14:textId="77777777" w:rsidR="007C5E23" w:rsidRDefault="00AC238C">
            <w:r>
              <w:rPr>
                <w:sz w:val="18"/>
              </w:rPr>
              <w:t>Interview Designer</w:t>
            </w:r>
          </w:p>
        </w:tc>
        <w:tc>
          <w:tcPr>
            <w:tcW w:w="1368" w:type="dxa"/>
          </w:tcPr>
          <w:p w14:paraId="7B01782D" w14:textId="77777777" w:rsidR="007C5E23" w:rsidRDefault="00AC238C">
            <w:r>
              <w:rPr>
                <w:sz w:val="18"/>
              </w:rPr>
              <w:t>Design-time</w:t>
            </w:r>
          </w:p>
        </w:tc>
        <w:tc>
          <w:tcPr>
            <w:tcW w:w="3888" w:type="dxa"/>
          </w:tcPr>
          <w:p w14:paraId="026C5FC5" w14:textId="77777777" w:rsidR="007C5E23" w:rsidRDefault="00AC238C">
            <w:r>
              <w:rPr>
                <w:sz w:val="18"/>
              </w:rPr>
              <w:t>Authors and adapts interview definitions: objectives, rubrics, persona map, schema, guardrails. Authoring aid in V0.</w:t>
            </w:r>
          </w:p>
        </w:tc>
        <w:tc>
          <w:tcPr>
            <w:tcW w:w="792" w:type="dxa"/>
          </w:tcPr>
          <w:p w14:paraId="12A2C124" w14:textId="77777777" w:rsidR="007C5E23" w:rsidRDefault="00AC238C">
            <w:r>
              <w:rPr>
                <w:sz w:val="18"/>
              </w:rPr>
              <w:t>Opus</w:t>
            </w:r>
          </w:p>
        </w:tc>
        <w:tc>
          <w:tcPr>
            <w:tcW w:w="648" w:type="dxa"/>
          </w:tcPr>
          <w:p w14:paraId="08D83AE1" w14:textId="77777777" w:rsidR="007C5E23" w:rsidRDefault="00AC238C">
            <w:r>
              <w:rPr>
                <w:sz w:val="18"/>
              </w:rPr>
              <w:t>V1</w:t>
            </w:r>
          </w:p>
        </w:tc>
      </w:tr>
      <w:tr w:rsidR="007C5E23" w14:paraId="01225DC6" w14:textId="77777777">
        <w:tc>
          <w:tcPr>
            <w:tcW w:w="720" w:type="dxa"/>
            <w:shd w:val="clear" w:color="auto" w:fill="FFF3A0"/>
          </w:tcPr>
          <w:p w14:paraId="3B0C45E7" w14:textId="77777777" w:rsidR="007C5E23" w:rsidRDefault="00AC238C">
            <w:r>
              <w:rPr>
                <w:b/>
                <w:sz w:val="18"/>
              </w:rPr>
              <w:t>RUN1</w:t>
            </w:r>
          </w:p>
        </w:tc>
        <w:tc>
          <w:tcPr>
            <w:tcW w:w="1800" w:type="dxa"/>
            <w:shd w:val="clear" w:color="auto" w:fill="FFF3A0"/>
          </w:tcPr>
          <w:p w14:paraId="60E27234" w14:textId="77777777" w:rsidR="007C5E23" w:rsidRDefault="00AC238C">
            <w:r>
              <w:rPr>
                <w:sz w:val="18"/>
              </w:rPr>
              <w:t>Intake and Consent</w:t>
            </w:r>
          </w:p>
        </w:tc>
        <w:tc>
          <w:tcPr>
            <w:tcW w:w="1368" w:type="dxa"/>
            <w:shd w:val="clear" w:color="auto" w:fill="FFF3A0"/>
          </w:tcPr>
          <w:p w14:paraId="6A441313" w14:textId="77777777" w:rsidR="007C5E23" w:rsidRDefault="00AC238C">
            <w:r>
              <w:rPr>
                <w:sz w:val="18"/>
              </w:rPr>
              <w:t>Run-time</w:t>
            </w:r>
          </w:p>
        </w:tc>
        <w:tc>
          <w:tcPr>
            <w:tcW w:w="3888" w:type="dxa"/>
            <w:shd w:val="clear" w:color="auto" w:fill="FFF3A0"/>
          </w:tcPr>
          <w:p w14:paraId="509CA61B" w14:textId="77777777" w:rsidR="007C5E23" w:rsidRDefault="00AC238C">
            <w:r>
              <w:rPr>
                <w:sz w:val="18"/>
              </w:rPr>
              <w:t>Validates the submission and captures consent.</w:t>
            </w:r>
          </w:p>
        </w:tc>
        <w:tc>
          <w:tcPr>
            <w:tcW w:w="792" w:type="dxa"/>
            <w:shd w:val="clear" w:color="auto" w:fill="FFF3A0"/>
          </w:tcPr>
          <w:p w14:paraId="249D2A5C" w14:textId="77777777" w:rsidR="007C5E23" w:rsidRDefault="00AC238C">
            <w:r>
              <w:rPr>
                <w:sz w:val="18"/>
              </w:rPr>
              <w:t>Haiku</w:t>
            </w:r>
          </w:p>
        </w:tc>
        <w:tc>
          <w:tcPr>
            <w:tcW w:w="648" w:type="dxa"/>
            <w:shd w:val="clear" w:color="auto" w:fill="FFF3A0"/>
          </w:tcPr>
          <w:p w14:paraId="3C6EC903" w14:textId="77777777" w:rsidR="007C5E23" w:rsidRDefault="00AC238C">
            <w:r>
              <w:rPr>
                <w:sz w:val="18"/>
              </w:rPr>
              <w:t>V0</w:t>
            </w:r>
          </w:p>
        </w:tc>
      </w:tr>
      <w:tr w:rsidR="007C5E23" w14:paraId="2983ECB1" w14:textId="77777777">
        <w:tc>
          <w:tcPr>
            <w:tcW w:w="720" w:type="dxa"/>
            <w:shd w:val="clear" w:color="auto" w:fill="FFF3A0"/>
          </w:tcPr>
          <w:p w14:paraId="1E7414B4" w14:textId="77777777" w:rsidR="007C5E23" w:rsidRDefault="00AC238C">
            <w:r>
              <w:rPr>
                <w:b/>
                <w:sz w:val="18"/>
              </w:rPr>
              <w:t>RUN2</w:t>
            </w:r>
          </w:p>
        </w:tc>
        <w:tc>
          <w:tcPr>
            <w:tcW w:w="1800" w:type="dxa"/>
            <w:shd w:val="clear" w:color="auto" w:fill="FFF3A0"/>
          </w:tcPr>
          <w:p w14:paraId="664AF177" w14:textId="77777777" w:rsidR="007C5E23" w:rsidRDefault="00AC238C">
            <w:r>
              <w:rPr>
                <w:sz w:val="18"/>
              </w:rPr>
              <w:t>Persona Inference</w:t>
            </w:r>
          </w:p>
        </w:tc>
        <w:tc>
          <w:tcPr>
            <w:tcW w:w="1368" w:type="dxa"/>
            <w:shd w:val="clear" w:color="auto" w:fill="FFF3A0"/>
          </w:tcPr>
          <w:p w14:paraId="641E50C9" w14:textId="77777777" w:rsidR="007C5E23" w:rsidRDefault="00AC238C">
            <w:r>
              <w:rPr>
                <w:sz w:val="18"/>
              </w:rPr>
              <w:t>Run-time</w:t>
            </w:r>
          </w:p>
        </w:tc>
        <w:tc>
          <w:tcPr>
            <w:tcW w:w="3888" w:type="dxa"/>
            <w:shd w:val="clear" w:color="auto" w:fill="FFF3A0"/>
          </w:tcPr>
          <w:p w14:paraId="7A0E1C69" w14:textId="77777777" w:rsidR="007C5E23" w:rsidRDefault="00AC238C">
            <w:r>
              <w:rPr>
                <w:sz w:val="18"/>
              </w:rPr>
              <w:t>Infers persona within 30 seconds.</w:t>
            </w:r>
          </w:p>
        </w:tc>
        <w:tc>
          <w:tcPr>
            <w:tcW w:w="792" w:type="dxa"/>
            <w:shd w:val="clear" w:color="auto" w:fill="FFF3A0"/>
          </w:tcPr>
          <w:p w14:paraId="0A64EFD8" w14:textId="77777777" w:rsidR="007C5E23" w:rsidRDefault="00AC238C">
            <w:r>
              <w:rPr>
                <w:sz w:val="18"/>
              </w:rPr>
              <w:t>Sonnet</w:t>
            </w:r>
          </w:p>
        </w:tc>
        <w:tc>
          <w:tcPr>
            <w:tcW w:w="648" w:type="dxa"/>
            <w:shd w:val="clear" w:color="auto" w:fill="FFF3A0"/>
          </w:tcPr>
          <w:p w14:paraId="5D51E325" w14:textId="77777777" w:rsidR="007C5E23" w:rsidRDefault="00AC238C">
            <w:r>
              <w:rPr>
                <w:sz w:val="18"/>
              </w:rPr>
              <w:t>V0</w:t>
            </w:r>
          </w:p>
        </w:tc>
      </w:tr>
      <w:tr w:rsidR="007C5E23" w14:paraId="31B13941" w14:textId="77777777">
        <w:tc>
          <w:tcPr>
            <w:tcW w:w="720" w:type="dxa"/>
            <w:shd w:val="clear" w:color="auto" w:fill="FFF3A0"/>
          </w:tcPr>
          <w:p w14:paraId="451C0B81" w14:textId="77777777" w:rsidR="007C5E23" w:rsidRDefault="00AC238C">
            <w:r>
              <w:rPr>
                <w:b/>
                <w:sz w:val="18"/>
              </w:rPr>
              <w:t>RUN3</w:t>
            </w:r>
          </w:p>
        </w:tc>
        <w:tc>
          <w:tcPr>
            <w:tcW w:w="1800" w:type="dxa"/>
            <w:shd w:val="clear" w:color="auto" w:fill="FFF3A0"/>
          </w:tcPr>
          <w:p w14:paraId="5FF23F75" w14:textId="77777777" w:rsidR="007C5E23" w:rsidRDefault="00AC238C">
            <w:r>
              <w:rPr>
                <w:sz w:val="18"/>
              </w:rPr>
              <w:t>Planner</w:t>
            </w:r>
          </w:p>
        </w:tc>
        <w:tc>
          <w:tcPr>
            <w:tcW w:w="1368" w:type="dxa"/>
            <w:shd w:val="clear" w:color="auto" w:fill="FFF3A0"/>
          </w:tcPr>
          <w:p w14:paraId="6B796569" w14:textId="77777777" w:rsidR="007C5E23" w:rsidRDefault="00AC238C">
            <w:r>
              <w:rPr>
                <w:sz w:val="18"/>
              </w:rPr>
              <w:t>Run-time</w:t>
            </w:r>
          </w:p>
        </w:tc>
        <w:tc>
          <w:tcPr>
            <w:tcW w:w="3888" w:type="dxa"/>
            <w:shd w:val="clear" w:color="auto" w:fill="FFF3A0"/>
          </w:tcPr>
          <w:p w14:paraId="2B345B4A" w14:textId="77777777" w:rsidR="007C5E23" w:rsidRDefault="00AC238C">
            <w:r>
              <w:rPr>
                <w:sz w:val="18"/>
              </w:rPr>
              <w:t>Selects the next objective by coverage and confidence; two-pass pacing.</w:t>
            </w:r>
          </w:p>
        </w:tc>
        <w:tc>
          <w:tcPr>
            <w:tcW w:w="792" w:type="dxa"/>
            <w:shd w:val="clear" w:color="auto" w:fill="FFF3A0"/>
          </w:tcPr>
          <w:p w14:paraId="129F0053" w14:textId="77777777" w:rsidR="007C5E23" w:rsidRDefault="00AC238C">
            <w:r>
              <w:rPr>
                <w:sz w:val="18"/>
              </w:rPr>
              <w:t>Sonnet</w:t>
            </w:r>
          </w:p>
        </w:tc>
        <w:tc>
          <w:tcPr>
            <w:tcW w:w="648" w:type="dxa"/>
            <w:shd w:val="clear" w:color="auto" w:fill="FFF3A0"/>
          </w:tcPr>
          <w:p w14:paraId="78DC2CD7" w14:textId="77777777" w:rsidR="007C5E23" w:rsidRDefault="00AC238C">
            <w:r>
              <w:rPr>
                <w:sz w:val="18"/>
              </w:rPr>
              <w:t>V0</w:t>
            </w:r>
          </w:p>
        </w:tc>
      </w:tr>
      <w:tr w:rsidR="007C5E23" w14:paraId="403D2DF7" w14:textId="77777777">
        <w:tc>
          <w:tcPr>
            <w:tcW w:w="720" w:type="dxa"/>
            <w:shd w:val="clear" w:color="auto" w:fill="FFF3A0"/>
          </w:tcPr>
          <w:p w14:paraId="76EE43E8" w14:textId="77777777" w:rsidR="007C5E23" w:rsidRDefault="00AC238C">
            <w:r>
              <w:rPr>
                <w:b/>
                <w:sz w:val="18"/>
              </w:rPr>
              <w:t>RUN4</w:t>
            </w:r>
          </w:p>
        </w:tc>
        <w:tc>
          <w:tcPr>
            <w:tcW w:w="1800" w:type="dxa"/>
            <w:shd w:val="clear" w:color="auto" w:fill="FFF3A0"/>
          </w:tcPr>
          <w:p w14:paraId="2DB01E8F" w14:textId="77777777" w:rsidR="007C5E23" w:rsidRDefault="00AC238C">
            <w:r>
              <w:rPr>
                <w:sz w:val="18"/>
              </w:rPr>
              <w:t>Questioner</w:t>
            </w:r>
          </w:p>
        </w:tc>
        <w:tc>
          <w:tcPr>
            <w:tcW w:w="1368" w:type="dxa"/>
            <w:shd w:val="clear" w:color="auto" w:fill="FFF3A0"/>
          </w:tcPr>
          <w:p w14:paraId="5891106A" w14:textId="77777777" w:rsidR="007C5E23" w:rsidRDefault="00AC238C">
            <w:r>
              <w:rPr>
                <w:sz w:val="18"/>
              </w:rPr>
              <w:t>Run-time</w:t>
            </w:r>
          </w:p>
        </w:tc>
        <w:tc>
          <w:tcPr>
            <w:tcW w:w="3888" w:type="dxa"/>
            <w:shd w:val="clear" w:color="auto" w:fill="FFF3A0"/>
          </w:tcPr>
          <w:p w14:paraId="502FA2C0" w14:textId="77777777" w:rsidR="007C5E23" w:rsidRDefault="00AC238C">
            <w:r>
              <w:rPr>
                <w:sz w:val="18"/>
              </w:rPr>
              <w:t>Generates the next question from the active objective, persona, and industry; voice or chat.</w:t>
            </w:r>
          </w:p>
        </w:tc>
        <w:tc>
          <w:tcPr>
            <w:tcW w:w="792" w:type="dxa"/>
            <w:shd w:val="clear" w:color="auto" w:fill="FFF3A0"/>
          </w:tcPr>
          <w:p w14:paraId="4E837D56" w14:textId="77777777" w:rsidR="007C5E23" w:rsidRDefault="00AC238C">
            <w:r>
              <w:rPr>
                <w:sz w:val="18"/>
              </w:rPr>
              <w:t>Sonnet</w:t>
            </w:r>
          </w:p>
        </w:tc>
        <w:tc>
          <w:tcPr>
            <w:tcW w:w="648" w:type="dxa"/>
            <w:shd w:val="clear" w:color="auto" w:fill="FFF3A0"/>
          </w:tcPr>
          <w:p w14:paraId="256C2110" w14:textId="77777777" w:rsidR="007C5E23" w:rsidRDefault="00AC238C">
            <w:r>
              <w:rPr>
                <w:sz w:val="18"/>
              </w:rPr>
              <w:t>V0</w:t>
            </w:r>
          </w:p>
        </w:tc>
      </w:tr>
      <w:tr w:rsidR="007C5E23" w14:paraId="1F2D4B2E" w14:textId="77777777">
        <w:tc>
          <w:tcPr>
            <w:tcW w:w="720" w:type="dxa"/>
            <w:shd w:val="clear" w:color="auto" w:fill="FFF3A0"/>
          </w:tcPr>
          <w:p w14:paraId="06193DB1" w14:textId="77777777" w:rsidR="007C5E23" w:rsidRDefault="00AC238C">
            <w:r>
              <w:rPr>
                <w:b/>
                <w:sz w:val="18"/>
              </w:rPr>
              <w:t>RUN5</w:t>
            </w:r>
          </w:p>
        </w:tc>
        <w:tc>
          <w:tcPr>
            <w:tcW w:w="1800" w:type="dxa"/>
            <w:shd w:val="clear" w:color="auto" w:fill="FFF3A0"/>
          </w:tcPr>
          <w:p w14:paraId="1160646E" w14:textId="77777777" w:rsidR="007C5E23" w:rsidRDefault="00AC238C">
            <w:r>
              <w:rPr>
                <w:sz w:val="18"/>
              </w:rPr>
              <w:t>Probe</w:t>
            </w:r>
          </w:p>
        </w:tc>
        <w:tc>
          <w:tcPr>
            <w:tcW w:w="1368" w:type="dxa"/>
            <w:shd w:val="clear" w:color="auto" w:fill="FFF3A0"/>
          </w:tcPr>
          <w:p w14:paraId="39F97B1F" w14:textId="77777777" w:rsidR="007C5E23" w:rsidRDefault="00AC238C">
            <w:r>
              <w:rPr>
                <w:sz w:val="18"/>
              </w:rPr>
              <w:t>Run-time</w:t>
            </w:r>
          </w:p>
        </w:tc>
        <w:tc>
          <w:tcPr>
            <w:tcW w:w="3888" w:type="dxa"/>
            <w:shd w:val="clear" w:color="auto" w:fill="FFF3A0"/>
          </w:tcPr>
          <w:p w14:paraId="32F51FB7" w14:textId="77777777" w:rsidR="007C5E23" w:rsidRDefault="00AC238C">
            <w:r>
              <w:rPr>
                <w:sz w:val="18"/>
              </w:rPr>
              <w:t>Decides follow-up versus advance; presses where evidence is thin.</w:t>
            </w:r>
          </w:p>
        </w:tc>
        <w:tc>
          <w:tcPr>
            <w:tcW w:w="792" w:type="dxa"/>
            <w:shd w:val="clear" w:color="auto" w:fill="FFF3A0"/>
          </w:tcPr>
          <w:p w14:paraId="00CE85F4" w14:textId="77777777" w:rsidR="007C5E23" w:rsidRDefault="00AC238C">
            <w:r>
              <w:rPr>
                <w:sz w:val="18"/>
              </w:rPr>
              <w:t>Sonnet</w:t>
            </w:r>
          </w:p>
        </w:tc>
        <w:tc>
          <w:tcPr>
            <w:tcW w:w="648" w:type="dxa"/>
            <w:shd w:val="clear" w:color="auto" w:fill="FFF3A0"/>
          </w:tcPr>
          <w:p w14:paraId="0DF58649" w14:textId="77777777" w:rsidR="007C5E23" w:rsidRDefault="00AC238C">
            <w:r>
              <w:rPr>
                <w:sz w:val="18"/>
              </w:rPr>
              <w:t>V0</w:t>
            </w:r>
          </w:p>
        </w:tc>
      </w:tr>
      <w:tr w:rsidR="007C5E23" w14:paraId="1B7A8022" w14:textId="77777777">
        <w:tc>
          <w:tcPr>
            <w:tcW w:w="720" w:type="dxa"/>
            <w:shd w:val="clear" w:color="auto" w:fill="FFF3A0"/>
          </w:tcPr>
          <w:p w14:paraId="27A9EC95" w14:textId="77777777" w:rsidR="007C5E23" w:rsidRDefault="00AC238C">
            <w:r>
              <w:rPr>
                <w:b/>
                <w:sz w:val="18"/>
              </w:rPr>
              <w:t>RUN6</w:t>
            </w:r>
          </w:p>
        </w:tc>
        <w:tc>
          <w:tcPr>
            <w:tcW w:w="1800" w:type="dxa"/>
            <w:shd w:val="clear" w:color="auto" w:fill="FFF3A0"/>
          </w:tcPr>
          <w:p w14:paraId="3CE5C930" w14:textId="77777777" w:rsidR="007C5E23" w:rsidRDefault="00AC238C">
            <w:r>
              <w:rPr>
                <w:sz w:val="18"/>
              </w:rPr>
              <w:t>Capture</w:t>
            </w:r>
          </w:p>
        </w:tc>
        <w:tc>
          <w:tcPr>
            <w:tcW w:w="1368" w:type="dxa"/>
            <w:shd w:val="clear" w:color="auto" w:fill="FFF3A0"/>
          </w:tcPr>
          <w:p w14:paraId="56640958" w14:textId="77777777" w:rsidR="007C5E23" w:rsidRDefault="00AC238C">
            <w:r>
              <w:rPr>
                <w:sz w:val="18"/>
              </w:rPr>
              <w:t>Run-time</w:t>
            </w:r>
          </w:p>
        </w:tc>
        <w:tc>
          <w:tcPr>
            <w:tcW w:w="3888" w:type="dxa"/>
            <w:shd w:val="clear" w:color="auto" w:fill="FFF3A0"/>
          </w:tcPr>
          <w:p w14:paraId="56C76177" w14:textId="77777777" w:rsidR="007C5E23" w:rsidRDefault="00AC238C">
            <w:r>
              <w:rPr>
                <w:sz w:val="18"/>
              </w:rPr>
              <w:t>Extracts evidence signals and stated position from each answer; transcription to structured capture.</w:t>
            </w:r>
          </w:p>
        </w:tc>
        <w:tc>
          <w:tcPr>
            <w:tcW w:w="792" w:type="dxa"/>
            <w:shd w:val="clear" w:color="auto" w:fill="FFF3A0"/>
          </w:tcPr>
          <w:p w14:paraId="39F2ECAB" w14:textId="77777777" w:rsidR="007C5E23" w:rsidRDefault="00AC238C">
            <w:r>
              <w:rPr>
                <w:sz w:val="18"/>
              </w:rPr>
              <w:t>Sonnet</w:t>
            </w:r>
          </w:p>
        </w:tc>
        <w:tc>
          <w:tcPr>
            <w:tcW w:w="648" w:type="dxa"/>
            <w:shd w:val="clear" w:color="auto" w:fill="FFF3A0"/>
          </w:tcPr>
          <w:p w14:paraId="376E3F2D" w14:textId="77777777" w:rsidR="007C5E23" w:rsidRDefault="00AC238C">
            <w:r>
              <w:rPr>
                <w:sz w:val="18"/>
              </w:rPr>
              <w:t>V0</w:t>
            </w:r>
          </w:p>
        </w:tc>
      </w:tr>
      <w:tr w:rsidR="007C5E23" w14:paraId="090AAD46" w14:textId="77777777">
        <w:tc>
          <w:tcPr>
            <w:tcW w:w="720" w:type="dxa"/>
            <w:shd w:val="clear" w:color="auto" w:fill="FFF3A0"/>
          </w:tcPr>
          <w:p w14:paraId="45926993" w14:textId="77777777" w:rsidR="007C5E23" w:rsidRDefault="00AC238C">
            <w:r>
              <w:rPr>
                <w:b/>
                <w:sz w:val="18"/>
              </w:rPr>
              <w:t>RES1</w:t>
            </w:r>
          </w:p>
        </w:tc>
        <w:tc>
          <w:tcPr>
            <w:tcW w:w="1800" w:type="dxa"/>
            <w:shd w:val="clear" w:color="auto" w:fill="FFF3A0"/>
          </w:tcPr>
          <w:p w14:paraId="1CE90259" w14:textId="77777777" w:rsidR="007C5E23" w:rsidRDefault="00AC238C">
            <w:r>
              <w:rPr>
                <w:sz w:val="18"/>
              </w:rPr>
              <w:t>Filings and Financials</w:t>
            </w:r>
          </w:p>
        </w:tc>
        <w:tc>
          <w:tcPr>
            <w:tcW w:w="1368" w:type="dxa"/>
            <w:shd w:val="clear" w:color="auto" w:fill="FFF3A0"/>
          </w:tcPr>
          <w:p w14:paraId="320BD0EC" w14:textId="77777777" w:rsidR="007C5E23" w:rsidRDefault="00AC238C">
            <w:r>
              <w:rPr>
                <w:sz w:val="18"/>
              </w:rPr>
              <w:t>Research</w:t>
            </w:r>
          </w:p>
        </w:tc>
        <w:tc>
          <w:tcPr>
            <w:tcW w:w="3888" w:type="dxa"/>
            <w:shd w:val="clear" w:color="auto" w:fill="FFF3A0"/>
          </w:tcPr>
          <w:p w14:paraId="0A5AB73E" w14:textId="77777777" w:rsidR="007C5E23" w:rsidRDefault="00AC238C">
            <w:r>
              <w:rPr>
                <w:sz w:val="18"/>
              </w:rPr>
              <w:t>SEC EDGAR ingestion of public filings.</w:t>
            </w:r>
          </w:p>
        </w:tc>
        <w:tc>
          <w:tcPr>
            <w:tcW w:w="792" w:type="dxa"/>
            <w:shd w:val="clear" w:color="auto" w:fill="FFF3A0"/>
          </w:tcPr>
          <w:p w14:paraId="55348044" w14:textId="77777777" w:rsidR="007C5E23" w:rsidRDefault="00AC238C">
            <w:r>
              <w:rPr>
                <w:sz w:val="18"/>
              </w:rPr>
              <w:t>Sonnet</w:t>
            </w:r>
          </w:p>
        </w:tc>
        <w:tc>
          <w:tcPr>
            <w:tcW w:w="648" w:type="dxa"/>
            <w:shd w:val="clear" w:color="auto" w:fill="FFF3A0"/>
          </w:tcPr>
          <w:p w14:paraId="5A299A20" w14:textId="77777777" w:rsidR="007C5E23" w:rsidRDefault="00AC238C">
            <w:r>
              <w:rPr>
                <w:sz w:val="18"/>
              </w:rPr>
              <w:t>V0</w:t>
            </w:r>
          </w:p>
        </w:tc>
      </w:tr>
      <w:tr w:rsidR="007C5E23" w14:paraId="6B709E08" w14:textId="77777777">
        <w:tc>
          <w:tcPr>
            <w:tcW w:w="720" w:type="dxa"/>
            <w:shd w:val="clear" w:color="auto" w:fill="FFF3A0"/>
          </w:tcPr>
          <w:p w14:paraId="79A5FC44" w14:textId="77777777" w:rsidR="007C5E23" w:rsidRDefault="00AC238C">
            <w:r>
              <w:rPr>
                <w:b/>
                <w:sz w:val="18"/>
              </w:rPr>
              <w:t>RES2</w:t>
            </w:r>
          </w:p>
        </w:tc>
        <w:tc>
          <w:tcPr>
            <w:tcW w:w="1800" w:type="dxa"/>
            <w:shd w:val="clear" w:color="auto" w:fill="FFF3A0"/>
          </w:tcPr>
          <w:p w14:paraId="6FCBB27D" w14:textId="77777777" w:rsidR="007C5E23" w:rsidRDefault="00AC238C">
            <w:r>
              <w:rPr>
                <w:sz w:val="18"/>
              </w:rPr>
              <w:t>News and Events</w:t>
            </w:r>
          </w:p>
        </w:tc>
        <w:tc>
          <w:tcPr>
            <w:tcW w:w="1368" w:type="dxa"/>
            <w:shd w:val="clear" w:color="auto" w:fill="FFF3A0"/>
          </w:tcPr>
          <w:p w14:paraId="748B53ED" w14:textId="77777777" w:rsidR="007C5E23" w:rsidRDefault="00AC238C">
            <w:r>
              <w:rPr>
                <w:sz w:val="18"/>
              </w:rPr>
              <w:t>Research</w:t>
            </w:r>
          </w:p>
        </w:tc>
        <w:tc>
          <w:tcPr>
            <w:tcW w:w="3888" w:type="dxa"/>
            <w:shd w:val="clear" w:color="auto" w:fill="FFF3A0"/>
          </w:tcPr>
          <w:p w14:paraId="201FA84E" w14:textId="77777777" w:rsidR="007C5E23" w:rsidRDefault="00AC238C">
            <w:r>
              <w:rPr>
                <w:sz w:val="18"/>
              </w:rPr>
              <w:t>GDELT and news ingestion.</w:t>
            </w:r>
          </w:p>
        </w:tc>
        <w:tc>
          <w:tcPr>
            <w:tcW w:w="792" w:type="dxa"/>
            <w:shd w:val="clear" w:color="auto" w:fill="FFF3A0"/>
          </w:tcPr>
          <w:p w14:paraId="79887FE4" w14:textId="77777777" w:rsidR="007C5E23" w:rsidRDefault="00AC238C">
            <w:r>
              <w:rPr>
                <w:sz w:val="18"/>
              </w:rPr>
              <w:t>Sonnet</w:t>
            </w:r>
          </w:p>
        </w:tc>
        <w:tc>
          <w:tcPr>
            <w:tcW w:w="648" w:type="dxa"/>
            <w:shd w:val="clear" w:color="auto" w:fill="FFF3A0"/>
          </w:tcPr>
          <w:p w14:paraId="049F3994" w14:textId="77777777" w:rsidR="007C5E23" w:rsidRDefault="00AC238C">
            <w:r>
              <w:rPr>
                <w:sz w:val="18"/>
              </w:rPr>
              <w:t>V0</w:t>
            </w:r>
          </w:p>
        </w:tc>
      </w:tr>
      <w:tr w:rsidR="007C5E23" w14:paraId="7993729A" w14:textId="77777777">
        <w:tc>
          <w:tcPr>
            <w:tcW w:w="720" w:type="dxa"/>
            <w:shd w:val="clear" w:color="auto" w:fill="FFF3A0"/>
          </w:tcPr>
          <w:p w14:paraId="5A6B8CBE" w14:textId="77777777" w:rsidR="007C5E23" w:rsidRDefault="00AC238C">
            <w:r>
              <w:rPr>
                <w:b/>
                <w:sz w:val="18"/>
              </w:rPr>
              <w:t>RES3</w:t>
            </w:r>
          </w:p>
        </w:tc>
        <w:tc>
          <w:tcPr>
            <w:tcW w:w="1800" w:type="dxa"/>
            <w:shd w:val="clear" w:color="auto" w:fill="FFF3A0"/>
          </w:tcPr>
          <w:p w14:paraId="6B034E54" w14:textId="77777777" w:rsidR="007C5E23" w:rsidRDefault="00AC238C">
            <w:r>
              <w:rPr>
                <w:sz w:val="18"/>
              </w:rPr>
              <w:t>Tech-stack Inference</w:t>
            </w:r>
          </w:p>
        </w:tc>
        <w:tc>
          <w:tcPr>
            <w:tcW w:w="1368" w:type="dxa"/>
            <w:shd w:val="clear" w:color="auto" w:fill="FFF3A0"/>
          </w:tcPr>
          <w:p w14:paraId="78E0EFA3" w14:textId="77777777" w:rsidR="007C5E23" w:rsidRDefault="00AC238C">
            <w:r>
              <w:rPr>
                <w:sz w:val="18"/>
              </w:rPr>
              <w:t>Research</w:t>
            </w:r>
          </w:p>
        </w:tc>
        <w:tc>
          <w:tcPr>
            <w:tcW w:w="3888" w:type="dxa"/>
            <w:shd w:val="clear" w:color="auto" w:fill="FFF3A0"/>
          </w:tcPr>
          <w:p w14:paraId="68563B9F" w14:textId="77777777" w:rsidR="007C5E23" w:rsidRDefault="00AC238C">
            <w:r>
              <w:rPr>
                <w:sz w:val="18"/>
              </w:rPr>
              <w:t>Infers the technology stack from public signals.</w:t>
            </w:r>
          </w:p>
        </w:tc>
        <w:tc>
          <w:tcPr>
            <w:tcW w:w="792" w:type="dxa"/>
            <w:shd w:val="clear" w:color="auto" w:fill="FFF3A0"/>
          </w:tcPr>
          <w:p w14:paraId="4F3A22E5" w14:textId="77777777" w:rsidR="007C5E23" w:rsidRDefault="00AC238C">
            <w:r>
              <w:rPr>
                <w:sz w:val="18"/>
              </w:rPr>
              <w:t>Sonnet</w:t>
            </w:r>
          </w:p>
        </w:tc>
        <w:tc>
          <w:tcPr>
            <w:tcW w:w="648" w:type="dxa"/>
            <w:shd w:val="clear" w:color="auto" w:fill="FFF3A0"/>
          </w:tcPr>
          <w:p w14:paraId="045986C2" w14:textId="77777777" w:rsidR="007C5E23" w:rsidRDefault="00AC238C">
            <w:r>
              <w:rPr>
                <w:sz w:val="18"/>
              </w:rPr>
              <w:t>V0</w:t>
            </w:r>
          </w:p>
        </w:tc>
      </w:tr>
      <w:tr w:rsidR="007C5E23" w14:paraId="1AB6D3CF" w14:textId="77777777">
        <w:tc>
          <w:tcPr>
            <w:tcW w:w="720" w:type="dxa"/>
          </w:tcPr>
          <w:p w14:paraId="28A06BA4" w14:textId="77777777" w:rsidR="007C5E23" w:rsidRDefault="00AC238C">
            <w:r>
              <w:rPr>
                <w:b/>
                <w:sz w:val="18"/>
              </w:rPr>
              <w:t>RES4</w:t>
            </w:r>
          </w:p>
        </w:tc>
        <w:tc>
          <w:tcPr>
            <w:tcW w:w="1800" w:type="dxa"/>
          </w:tcPr>
          <w:p w14:paraId="2D4E496C" w14:textId="77777777" w:rsidR="007C5E23" w:rsidRDefault="00AC238C">
            <w:r>
              <w:rPr>
                <w:sz w:val="18"/>
              </w:rPr>
              <w:t>Competitor Intelligence</w:t>
            </w:r>
          </w:p>
        </w:tc>
        <w:tc>
          <w:tcPr>
            <w:tcW w:w="1368" w:type="dxa"/>
          </w:tcPr>
          <w:p w14:paraId="2F637BB8" w14:textId="77777777" w:rsidR="007C5E23" w:rsidRDefault="00AC238C">
            <w:r>
              <w:rPr>
                <w:sz w:val="18"/>
              </w:rPr>
              <w:t>Research</w:t>
            </w:r>
          </w:p>
        </w:tc>
        <w:tc>
          <w:tcPr>
            <w:tcW w:w="3888" w:type="dxa"/>
          </w:tcPr>
          <w:p w14:paraId="168E0043" w14:textId="77777777" w:rsidR="007C5E23" w:rsidRDefault="00AC238C">
            <w:r>
              <w:rPr>
                <w:sz w:val="18"/>
              </w:rPr>
              <w:t>Public competitor AI signals.</w:t>
            </w:r>
          </w:p>
        </w:tc>
        <w:tc>
          <w:tcPr>
            <w:tcW w:w="792" w:type="dxa"/>
          </w:tcPr>
          <w:p w14:paraId="60ACC994" w14:textId="77777777" w:rsidR="007C5E23" w:rsidRDefault="00AC238C">
            <w:r>
              <w:rPr>
                <w:sz w:val="18"/>
              </w:rPr>
              <w:t>Sonnet</w:t>
            </w:r>
          </w:p>
        </w:tc>
        <w:tc>
          <w:tcPr>
            <w:tcW w:w="648" w:type="dxa"/>
          </w:tcPr>
          <w:p w14:paraId="5FBE184B" w14:textId="77777777" w:rsidR="007C5E23" w:rsidRDefault="00AC238C">
            <w:r>
              <w:rPr>
                <w:sz w:val="18"/>
              </w:rPr>
              <w:t>V1</w:t>
            </w:r>
          </w:p>
        </w:tc>
      </w:tr>
      <w:tr w:rsidR="007C5E23" w14:paraId="7EB2825D" w14:textId="77777777">
        <w:tc>
          <w:tcPr>
            <w:tcW w:w="720" w:type="dxa"/>
            <w:shd w:val="clear" w:color="auto" w:fill="F6F3F0"/>
          </w:tcPr>
          <w:p w14:paraId="72E86884" w14:textId="77777777" w:rsidR="007C5E23" w:rsidRDefault="00AC238C">
            <w:r>
              <w:rPr>
                <w:b/>
                <w:sz w:val="18"/>
              </w:rPr>
              <w:t>RES5</w:t>
            </w:r>
          </w:p>
        </w:tc>
        <w:tc>
          <w:tcPr>
            <w:tcW w:w="1800" w:type="dxa"/>
            <w:shd w:val="clear" w:color="auto" w:fill="F6F3F0"/>
          </w:tcPr>
          <w:p w14:paraId="58FE7242" w14:textId="77777777" w:rsidR="007C5E23" w:rsidRDefault="00AC238C">
            <w:r>
              <w:rPr>
                <w:sz w:val="18"/>
              </w:rPr>
              <w:t>Regulatory Context</w:t>
            </w:r>
          </w:p>
        </w:tc>
        <w:tc>
          <w:tcPr>
            <w:tcW w:w="1368" w:type="dxa"/>
            <w:shd w:val="clear" w:color="auto" w:fill="F6F3F0"/>
          </w:tcPr>
          <w:p w14:paraId="347233CE" w14:textId="77777777" w:rsidR="007C5E23" w:rsidRDefault="00AC238C">
            <w:r>
              <w:rPr>
                <w:sz w:val="18"/>
              </w:rPr>
              <w:t>Research</w:t>
            </w:r>
          </w:p>
        </w:tc>
        <w:tc>
          <w:tcPr>
            <w:tcW w:w="3888" w:type="dxa"/>
            <w:shd w:val="clear" w:color="auto" w:fill="F6F3F0"/>
          </w:tcPr>
          <w:p w14:paraId="1C3A39E8" w14:textId="77777777" w:rsidR="007C5E23" w:rsidRDefault="00AC238C">
            <w:r>
              <w:rPr>
                <w:sz w:val="18"/>
              </w:rPr>
              <w:t>Maps the regulatory environment.</w:t>
            </w:r>
          </w:p>
        </w:tc>
        <w:tc>
          <w:tcPr>
            <w:tcW w:w="792" w:type="dxa"/>
            <w:shd w:val="clear" w:color="auto" w:fill="F6F3F0"/>
          </w:tcPr>
          <w:p w14:paraId="00CC4B7B" w14:textId="77777777" w:rsidR="007C5E23" w:rsidRDefault="00AC238C">
            <w:r>
              <w:rPr>
                <w:sz w:val="18"/>
              </w:rPr>
              <w:t>Sonnet</w:t>
            </w:r>
          </w:p>
        </w:tc>
        <w:tc>
          <w:tcPr>
            <w:tcW w:w="648" w:type="dxa"/>
            <w:shd w:val="clear" w:color="auto" w:fill="F6F3F0"/>
          </w:tcPr>
          <w:p w14:paraId="38786B20" w14:textId="77777777" w:rsidR="007C5E23" w:rsidRDefault="00AC238C">
            <w:r>
              <w:rPr>
                <w:sz w:val="18"/>
              </w:rPr>
              <w:t>V1.5</w:t>
            </w:r>
          </w:p>
        </w:tc>
      </w:tr>
      <w:tr w:rsidR="007C5E23" w14:paraId="420C0BDD" w14:textId="77777777">
        <w:tc>
          <w:tcPr>
            <w:tcW w:w="720" w:type="dxa"/>
            <w:shd w:val="clear" w:color="auto" w:fill="FFF3A0"/>
          </w:tcPr>
          <w:p w14:paraId="214029FD" w14:textId="77777777" w:rsidR="007C5E23" w:rsidRDefault="00AC238C">
            <w:r>
              <w:rPr>
                <w:b/>
                <w:sz w:val="18"/>
              </w:rPr>
              <w:t>SYN1</w:t>
            </w:r>
          </w:p>
        </w:tc>
        <w:tc>
          <w:tcPr>
            <w:tcW w:w="1800" w:type="dxa"/>
            <w:shd w:val="clear" w:color="auto" w:fill="FFF3A0"/>
          </w:tcPr>
          <w:p w14:paraId="3597A0A8" w14:textId="77777777" w:rsidR="007C5E23" w:rsidRDefault="00AC238C">
            <w:r>
              <w:rPr>
                <w:sz w:val="18"/>
              </w:rPr>
              <w:t>Industry Pattern</w:t>
            </w:r>
          </w:p>
        </w:tc>
        <w:tc>
          <w:tcPr>
            <w:tcW w:w="1368" w:type="dxa"/>
            <w:shd w:val="clear" w:color="auto" w:fill="FFF3A0"/>
          </w:tcPr>
          <w:p w14:paraId="14FB2D64" w14:textId="77777777" w:rsidR="007C5E23" w:rsidRDefault="00AC238C">
            <w:r>
              <w:rPr>
                <w:sz w:val="18"/>
              </w:rPr>
              <w:t>Synthesis</w:t>
            </w:r>
          </w:p>
        </w:tc>
        <w:tc>
          <w:tcPr>
            <w:tcW w:w="3888" w:type="dxa"/>
            <w:shd w:val="clear" w:color="auto" w:fill="FFF3A0"/>
          </w:tcPr>
          <w:p w14:paraId="03091F70" w14:textId="77777777" w:rsidR="007C5E23" w:rsidRDefault="00AC238C">
            <w:r>
              <w:rPr>
                <w:sz w:val="18"/>
              </w:rPr>
              <w:t>Maps industry to APR playbook patterns. Placeholder in V0, content V0.5.</w:t>
            </w:r>
          </w:p>
        </w:tc>
        <w:tc>
          <w:tcPr>
            <w:tcW w:w="792" w:type="dxa"/>
            <w:shd w:val="clear" w:color="auto" w:fill="FFF3A0"/>
          </w:tcPr>
          <w:p w14:paraId="1007B174" w14:textId="77777777" w:rsidR="007C5E23" w:rsidRDefault="00AC238C">
            <w:r>
              <w:rPr>
                <w:sz w:val="18"/>
              </w:rPr>
              <w:t>Sonnet</w:t>
            </w:r>
          </w:p>
        </w:tc>
        <w:tc>
          <w:tcPr>
            <w:tcW w:w="648" w:type="dxa"/>
            <w:shd w:val="clear" w:color="auto" w:fill="FFF3A0"/>
          </w:tcPr>
          <w:p w14:paraId="122F779A" w14:textId="77777777" w:rsidR="007C5E23" w:rsidRDefault="00AC238C">
            <w:r>
              <w:rPr>
                <w:sz w:val="18"/>
              </w:rPr>
              <w:t>V0</w:t>
            </w:r>
          </w:p>
        </w:tc>
      </w:tr>
      <w:tr w:rsidR="007C5E23" w14:paraId="6D62D093" w14:textId="77777777">
        <w:tc>
          <w:tcPr>
            <w:tcW w:w="720" w:type="dxa"/>
            <w:shd w:val="clear" w:color="auto" w:fill="FFF3A0"/>
          </w:tcPr>
          <w:p w14:paraId="632FEA9C" w14:textId="77777777" w:rsidR="007C5E23" w:rsidRDefault="00AC238C">
            <w:r>
              <w:rPr>
                <w:b/>
                <w:sz w:val="18"/>
              </w:rPr>
              <w:t>SYN2</w:t>
            </w:r>
          </w:p>
        </w:tc>
        <w:tc>
          <w:tcPr>
            <w:tcW w:w="1800" w:type="dxa"/>
            <w:shd w:val="clear" w:color="auto" w:fill="FFF3A0"/>
          </w:tcPr>
          <w:p w14:paraId="40484DE5" w14:textId="77777777" w:rsidR="007C5E23" w:rsidRDefault="00AC238C">
            <w:r>
              <w:rPr>
                <w:sz w:val="18"/>
              </w:rPr>
              <w:t>Synthesis and Scoring</w:t>
            </w:r>
          </w:p>
        </w:tc>
        <w:tc>
          <w:tcPr>
            <w:tcW w:w="1368" w:type="dxa"/>
            <w:shd w:val="clear" w:color="auto" w:fill="FFF3A0"/>
          </w:tcPr>
          <w:p w14:paraId="30E12142" w14:textId="77777777" w:rsidR="007C5E23" w:rsidRDefault="00AC238C">
            <w:r>
              <w:rPr>
                <w:sz w:val="18"/>
              </w:rPr>
              <w:t>Synthesis</w:t>
            </w:r>
          </w:p>
        </w:tc>
        <w:tc>
          <w:tcPr>
            <w:tcW w:w="3888" w:type="dxa"/>
            <w:shd w:val="clear" w:color="auto" w:fill="FFF3A0"/>
          </w:tcPr>
          <w:p w14:paraId="47C5BD5D" w14:textId="77777777" w:rsidR="007C5E23" w:rsidRDefault="00AC238C">
            <w:r>
              <w:rPr>
                <w:sz w:val="18"/>
              </w:rPr>
              <w:t>Triangulates interview, research, benchmark, and patterns into six-dimension 0-100 scores, findings, and per-dimension confidence. Reasoning before score.</w:t>
            </w:r>
          </w:p>
        </w:tc>
        <w:tc>
          <w:tcPr>
            <w:tcW w:w="792" w:type="dxa"/>
            <w:shd w:val="clear" w:color="auto" w:fill="FFF3A0"/>
          </w:tcPr>
          <w:p w14:paraId="07FE7134" w14:textId="77777777" w:rsidR="007C5E23" w:rsidRDefault="00AC238C">
            <w:r>
              <w:rPr>
                <w:sz w:val="18"/>
              </w:rPr>
              <w:t>Opus</w:t>
            </w:r>
          </w:p>
        </w:tc>
        <w:tc>
          <w:tcPr>
            <w:tcW w:w="648" w:type="dxa"/>
            <w:shd w:val="clear" w:color="auto" w:fill="FFF3A0"/>
          </w:tcPr>
          <w:p w14:paraId="47499841" w14:textId="77777777" w:rsidR="007C5E23" w:rsidRDefault="00AC238C">
            <w:r>
              <w:rPr>
                <w:sz w:val="18"/>
              </w:rPr>
              <w:t>V0</w:t>
            </w:r>
          </w:p>
        </w:tc>
      </w:tr>
      <w:tr w:rsidR="007C5E23" w14:paraId="41E590ED" w14:textId="77777777">
        <w:tc>
          <w:tcPr>
            <w:tcW w:w="720" w:type="dxa"/>
            <w:shd w:val="clear" w:color="auto" w:fill="FFF3A0"/>
          </w:tcPr>
          <w:p w14:paraId="02E884E0" w14:textId="77777777" w:rsidR="007C5E23" w:rsidRDefault="00AC238C">
            <w:r>
              <w:rPr>
                <w:b/>
                <w:sz w:val="18"/>
              </w:rPr>
              <w:t>SYN3</w:t>
            </w:r>
          </w:p>
        </w:tc>
        <w:tc>
          <w:tcPr>
            <w:tcW w:w="1800" w:type="dxa"/>
            <w:shd w:val="clear" w:color="auto" w:fill="FFF3A0"/>
          </w:tcPr>
          <w:p w14:paraId="2D3E4763" w14:textId="77777777" w:rsidR="007C5E23" w:rsidRDefault="00AC238C">
            <w:r>
              <w:rPr>
                <w:sz w:val="18"/>
              </w:rPr>
              <w:t>Quick Wins</w:t>
            </w:r>
          </w:p>
        </w:tc>
        <w:tc>
          <w:tcPr>
            <w:tcW w:w="1368" w:type="dxa"/>
            <w:shd w:val="clear" w:color="auto" w:fill="FFF3A0"/>
          </w:tcPr>
          <w:p w14:paraId="49457BC8" w14:textId="77777777" w:rsidR="007C5E23" w:rsidRDefault="00AC238C">
            <w:r>
              <w:rPr>
                <w:sz w:val="18"/>
              </w:rPr>
              <w:t>Synthesis</w:t>
            </w:r>
          </w:p>
        </w:tc>
        <w:tc>
          <w:tcPr>
            <w:tcW w:w="3888" w:type="dxa"/>
            <w:shd w:val="clear" w:color="auto" w:fill="FFF3A0"/>
          </w:tcPr>
          <w:p w14:paraId="09AA77D5" w14:textId="77777777" w:rsidR="007C5E23" w:rsidRDefault="00AC238C">
            <w:r>
              <w:rPr>
                <w:sz w:val="18"/>
              </w:rPr>
              <w:t>Selects two or three quick wins from the APR-seeded library; tags by archetype. Library-gated.</w:t>
            </w:r>
          </w:p>
        </w:tc>
        <w:tc>
          <w:tcPr>
            <w:tcW w:w="792" w:type="dxa"/>
            <w:shd w:val="clear" w:color="auto" w:fill="FFF3A0"/>
          </w:tcPr>
          <w:p w14:paraId="6BC3E77D" w14:textId="77777777" w:rsidR="007C5E23" w:rsidRDefault="00AC238C">
            <w:r>
              <w:rPr>
                <w:sz w:val="18"/>
              </w:rPr>
              <w:t>Opus</w:t>
            </w:r>
          </w:p>
        </w:tc>
        <w:tc>
          <w:tcPr>
            <w:tcW w:w="648" w:type="dxa"/>
            <w:shd w:val="clear" w:color="auto" w:fill="FFF3A0"/>
          </w:tcPr>
          <w:p w14:paraId="5594A0B1" w14:textId="77777777" w:rsidR="007C5E23" w:rsidRDefault="00AC238C">
            <w:r>
              <w:rPr>
                <w:sz w:val="18"/>
              </w:rPr>
              <w:t>V0</w:t>
            </w:r>
          </w:p>
        </w:tc>
      </w:tr>
      <w:tr w:rsidR="007C5E23" w14:paraId="18061B36" w14:textId="77777777">
        <w:tc>
          <w:tcPr>
            <w:tcW w:w="720" w:type="dxa"/>
            <w:shd w:val="clear" w:color="auto" w:fill="FFF3A0"/>
          </w:tcPr>
          <w:p w14:paraId="1EF599C9" w14:textId="77777777" w:rsidR="007C5E23" w:rsidRDefault="00AC238C">
            <w:r>
              <w:rPr>
                <w:b/>
                <w:sz w:val="18"/>
              </w:rPr>
              <w:t>OUT1</w:t>
            </w:r>
          </w:p>
        </w:tc>
        <w:tc>
          <w:tcPr>
            <w:tcW w:w="1800" w:type="dxa"/>
            <w:shd w:val="clear" w:color="auto" w:fill="FFF3A0"/>
          </w:tcPr>
          <w:p w14:paraId="4F1964A6" w14:textId="77777777" w:rsidR="007C5E23" w:rsidRDefault="00AC238C">
            <w:r>
              <w:rPr>
                <w:sz w:val="18"/>
              </w:rPr>
              <w:t>Output Generation</w:t>
            </w:r>
          </w:p>
        </w:tc>
        <w:tc>
          <w:tcPr>
            <w:tcW w:w="1368" w:type="dxa"/>
            <w:shd w:val="clear" w:color="auto" w:fill="FFF3A0"/>
          </w:tcPr>
          <w:p w14:paraId="1C3709BA" w14:textId="77777777" w:rsidR="007C5E23" w:rsidRDefault="00AC238C">
            <w:r>
              <w:rPr>
                <w:sz w:val="18"/>
              </w:rPr>
              <w:t>Output</w:t>
            </w:r>
          </w:p>
        </w:tc>
        <w:tc>
          <w:tcPr>
            <w:tcW w:w="3888" w:type="dxa"/>
            <w:shd w:val="clear" w:color="auto" w:fill="FFF3A0"/>
          </w:tcPr>
          <w:p w14:paraId="067CDABF" w14:textId="77777777" w:rsidR="007C5E23" w:rsidRDefault="00AC238C">
            <w:r>
              <w:rPr>
                <w:sz w:val="18"/>
              </w:rPr>
              <w:t>Scorecard PDF, radar, strengths and gaps, representative quote, findings appendix, value-difficulty 2x2, quick-wins memo, walled recommendation.</w:t>
            </w:r>
          </w:p>
        </w:tc>
        <w:tc>
          <w:tcPr>
            <w:tcW w:w="792" w:type="dxa"/>
            <w:shd w:val="clear" w:color="auto" w:fill="FFF3A0"/>
          </w:tcPr>
          <w:p w14:paraId="7EE0915F" w14:textId="77777777" w:rsidR="007C5E23" w:rsidRDefault="00AC238C">
            <w:r>
              <w:rPr>
                <w:sz w:val="18"/>
              </w:rPr>
              <w:t>Sonnet</w:t>
            </w:r>
          </w:p>
        </w:tc>
        <w:tc>
          <w:tcPr>
            <w:tcW w:w="648" w:type="dxa"/>
            <w:shd w:val="clear" w:color="auto" w:fill="FFF3A0"/>
          </w:tcPr>
          <w:p w14:paraId="0835EE5D" w14:textId="77777777" w:rsidR="007C5E23" w:rsidRDefault="00AC238C">
            <w:r>
              <w:rPr>
                <w:sz w:val="18"/>
              </w:rPr>
              <w:t>V0</w:t>
            </w:r>
          </w:p>
        </w:tc>
      </w:tr>
      <w:tr w:rsidR="007C5E23" w14:paraId="30537CE7" w14:textId="77777777">
        <w:tc>
          <w:tcPr>
            <w:tcW w:w="720" w:type="dxa"/>
            <w:shd w:val="clear" w:color="auto" w:fill="FFF3A0"/>
          </w:tcPr>
          <w:p w14:paraId="3D4EADA6" w14:textId="77777777" w:rsidR="007C5E23" w:rsidRDefault="00AC238C">
            <w:r>
              <w:rPr>
                <w:b/>
                <w:sz w:val="18"/>
              </w:rPr>
              <w:t>OUT2</w:t>
            </w:r>
          </w:p>
        </w:tc>
        <w:tc>
          <w:tcPr>
            <w:tcW w:w="1800" w:type="dxa"/>
            <w:shd w:val="clear" w:color="auto" w:fill="FFF3A0"/>
          </w:tcPr>
          <w:p w14:paraId="0E689AA4" w14:textId="77777777" w:rsidR="007C5E23" w:rsidRDefault="00AC238C">
            <w:r>
              <w:rPr>
                <w:sz w:val="18"/>
              </w:rPr>
              <w:t>Validation and QA</w:t>
            </w:r>
          </w:p>
        </w:tc>
        <w:tc>
          <w:tcPr>
            <w:tcW w:w="1368" w:type="dxa"/>
            <w:shd w:val="clear" w:color="auto" w:fill="FFF3A0"/>
          </w:tcPr>
          <w:p w14:paraId="5E01372E" w14:textId="77777777" w:rsidR="007C5E23" w:rsidRDefault="00AC238C">
            <w:r>
              <w:rPr>
                <w:sz w:val="18"/>
              </w:rPr>
              <w:t>Output</w:t>
            </w:r>
          </w:p>
        </w:tc>
        <w:tc>
          <w:tcPr>
            <w:tcW w:w="3888" w:type="dxa"/>
            <w:shd w:val="clear" w:color="auto" w:fill="FFF3A0"/>
          </w:tcPr>
          <w:p w14:paraId="6FAEC2FD" w14:textId="77777777" w:rsidR="007C5E23" w:rsidRDefault="00AC238C">
            <w:r>
              <w:rPr>
                <w:sz w:val="18"/>
              </w:rPr>
              <w:t>Flags low-confidence items; brand, voice, vendor-neutral, and consistency checks.</w:t>
            </w:r>
          </w:p>
        </w:tc>
        <w:tc>
          <w:tcPr>
            <w:tcW w:w="792" w:type="dxa"/>
            <w:shd w:val="clear" w:color="auto" w:fill="FFF3A0"/>
          </w:tcPr>
          <w:p w14:paraId="1E7B579A" w14:textId="77777777" w:rsidR="007C5E23" w:rsidRDefault="00AC238C">
            <w:r>
              <w:rPr>
                <w:sz w:val="18"/>
              </w:rPr>
              <w:t>Opus</w:t>
            </w:r>
          </w:p>
        </w:tc>
        <w:tc>
          <w:tcPr>
            <w:tcW w:w="648" w:type="dxa"/>
            <w:shd w:val="clear" w:color="auto" w:fill="FFF3A0"/>
          </w:tcPr>
          <w:p w14:paraId="7CDC73CD" w14:textId="77777777" w:rsidR="007C5E23" w:rsidRDefault="00AC238C">
            <w:r>
              <w:rPr>
                <w:sz w:val="18"/>
              </w:rPr>
              <w:t>V0</w:t>
            </w:r>
          </w:p>
        </w:tc>
      </w:tr>
      <w:tr w:rsidR="007C5E23" w14:paraId="3D958BC0" w14:textId="77777777">
        <w:tc>
          <w:tcPr>
            <w:tcW w:w="720" w:type="dxa"/>
            <w:shd w:val="clear" w:color="auto" w:fill="F6F3F0"/>
          </w:tcPr>
          <w:p w14:paraId="0DEB8675" w14:textId="77777777" w:rsidR="007C5E23" w:rsidRDefault="00AC238C">
            <w:r>
              <w:rPr>
                <w:b/>
                <w:sz w:val="18"/>
              </w:rPr>
              <w:t>POST1</w:t>
            </w:r>
          </w:p>
        </w:tc>
        <w:tc>
          <w:tcPr>
            <w:tcW w:w="1800" w:type="dxa"/>
            <w:shd w:val="clear" w:color="auto" w:fill="F6F3F0"/>
          </w:tcPr>
          <w:p w14:paraId="1F91F67F" w14:textId="77777777" w:rsidR="007C5E23" w:rsidRDefault="00AC238C">
            <w:r>
              <w:rPr>
                <w:sz w:val="18"/>
              </w:rPr>
              <w:t>Cross-practice Routing</w:t>
            </w:r>
          </w:p>
        </w:tc>
        <w:tc>
          <w:tcPr>
            <w:tcW w:w="1368" w:type="dxa"/>
            <w:shd w:val="clear" w:color="auto" w:fill="F6F3F0"/>
          </w:tcPr>
          <w:p w14:paraId="3DAA1E42" w14:textId="77777777" w:rsidR="007C5E23" w:rsidRDefault="00AC238C">
            <w:r>
              <w:rPr>
                <w:sz w:val="18"/>
              </w:rPr>
              <w:t>Post-delivery</w:t>
            </w:r>
          </w:p>
        </w:tc>
        <w:tc>
          <w:tcPr>
            <w:tcW w:w="3888" w:type="dxa"/>
            <w:shd w:val="clear" w:color="auto" w:fill="F6F3F0"/>
          </w:tcPr>
          <w:p w14:paraId="4257A5B0" w14:textId="77777777" w:rsidR="007C5E23" w:rsidRDefault="00AC238C">
            <w:r>
              <w:rPr>
                <w:sz w:val="18"/>
              </w:rPr>
              <w:t>Routes opportunity records to DXC practices.</w:t>
            </w:r>
          </w:p>
        </w:tc>
        <w:tc>
          <w:tcPr>
            <w:tcW w:w="792" w:type="dxa"/>
            <w:shd w:val="clear" w:color="auto" w:fill="F6F3F0"/>
          </w:tcPr>
          <w:p w14:paraId="377C375E" w14:textId="77777777" w:rsidR="007C5E23" w:rsidRDefault="00AC238C">
            <w:r>
              <w:rPr>
                <w:sz w:val="18"/>
              </w:rPr>
              <w:t>Sonnet</w:t>
            </w:r>
          </w:p>
        </w:tc>
        <w:tc>
          <w:tcPr>
            <w:tcW w:w="648" w:type="dxa"/>
            <w:shd w:val="clear" w:color="auto" w:fill="F6F3F0"/>
          </w:tcPr>
          <w:p w14:paraId="3364D03D" w14:textId="77777777" w:rsidR="007C5E23" w:rsidRDefault="00AC238C">
            <w:r>
              <w:rPr>
                <w:sz w:val="18"/>
              </w:rPr>
              <w:t>V1</w:t>
            </w:r>
          </w:p>
        </w:tc>
      </w:tr>
      <w:tr w:rsidR="007C5E23" w14:paraId="42308FB7" w14:textId="77777777">
        <w:tc>
          <w:tcPr>
            <w:tcW w:w="720" w:type="dxa"/>
          </w:tcPr>
          <w:p w14:paraId="2D1F2B8E" w14:textId="77777777" w:rsidR="007C5E23" w:rsidRDefault="00AC238C">
            <w:r>
              <w:rPr>
                <w:b/>
                <w:sz w:val="18"/>
              </w:rPr>
              <w:t>POST2</w:t>
            </w:r>
          </w:p>
        </w:tc>
        <w:tc>
          <w:tcPr>
            <w:tcW w:w="1800" w:type="dxa"/>
          </w:tcPr>
          <w:p w14:paraId="1FD6A228" w14:textId="77777777" w:rsidR="007C5E23" w:rsidRDefault="00AC238C">
            <w:r>
              <w:rPr>
                <w:sz w:val="18"/>
              </w:rPr>
              <w:t>Benchmark Contribution</w:t>
            </w:r>
          </w:p>
        </w:tc>
        <w:tc>
          <w:tcPr>
            <w:tcW w:w="1368" w:type="dxa"/>
          </w:tcPr>
          <w:p w14:paraId="08179B85" w14:textId="77777777" w:rsidR="007C5E23" w:rsidRDefault="00AC238C">
            <w:r>
              <w:rPr>
                <w:sz w:val="18"/>
              </w:rPr>
              <w:t>Post-delivery</w:t>
            </w:r>
          </w:p>
        </w:tc>
        <w:tc>
          <w:tcPr>
            <w:tcW w:w="3888" w:type="dxa"/>
          </w:tcPr>
          <w:p w14:paraId="0CB5FFA2" w14:textId="77777777" w:rsidR="007C5E23" w:rsidRDefault="00AC238C">
            <w:r>
              <w:rPr>
                <w:sz w:val="18"/>
              </w:rPr>
              <w:t>Contributes anonymized results to the benchmark database.</w:t>
            </w:r>
          </w:p>
        </w:tc>
        <w:tc>
          <w:tcPr>
            <w:tcW w:w="792" w:type="dxa"/>
          </w:tcPr>
          <w:p w14:paraId="3D1C93D0" w14:textId="77777777" w:rsidR="007C5E23" w:rsidRDefault="00AC238C">
            <w:r>
              <w:rPr>
                <w:sz w:val="18"/>
              </w:rPr>
              <w:t>Sonnet</w:t>
            </w:r>
          </w:p>
        </w:tc>
        <w:tc>
          <w:tcPr>
            <w:tcW w:w="648" w:type="dxa"/>
          </w:tcPr>
          <w:p w14:paraId="0C5F619E" w14:textId="77777777" w:rsidR="007C5E23" w:rsidRDefault="00AC238C">
            <w:r>
              <w:rPr>
                <w:sz w:val="18"/>
              </w:rPr>
              <w:t>V1</w:t>
            </w:r>
          </w:p>
        </w:tc>
      </w:tr>
      <w:tr w:rsidR="007C5E23" w14:paraId="315EF205" w14:textId="77777777">
        <w:tc>
          <w:tcPr>
            <w:tcW w:w="720" w:type="dxa"/>
            <w:shd w:val="clear" w:color="auto" w:fill="F6F3F0"/>
          </w:tcPr>
          <w:p w14:paraId="5C06247D" w14:textId="77777777" w:rsidR="007C5E23" w:rsidRDefault="00AC238C">
            <w:r>
              <w:rPr>
                <w:b/>
                <w:sz w:val="18"/>
              </w:rPr>
              <w:t>POST3</w:t>
            </w:r>
          </w:p>
        </w:tc>
        <w:tc>
          <w:tcPr>
            <w:tcW w:w="1800" w:type="dxa"/>
            <w:shd w:val="clear" w:color="auto" w:fill="F6F3F0"/>
          </w:tcPr>
          <w:p w14:paraId="72B2B469" w14:textId="77777777" w:rsidR="007C5E23" w:rsidRDefault="00AC238C">
            <w:r>
              <w:rPr>
                <w:sz w:val="18"/>
              </w:rPr>
              <w:t>Internal AI Feedstock</w:t>
            </w:r>
          </w:p>
        </w:tc>
        <w:tc>
          <w:tcPr>
            <w:tcW w:w="1368" w:type="dxa"/>
            <w:shd w:val="clear" w:color="auto" w:fill="F6F3F0"/>
          </w:tcPr>
          <w:p w14:paraId="4CC01AA7" w14:textId="77777777" w:rsidR="007C5E23" w:rsidRDefault="00AC238C">
            <w:r>
              <w:rPr>
                <w:sz w:val="18"/>
              </w:rPr>
              <w:t>Post-delivery</w:t>
            </w:r>
          </w:p>
        </w:tc>
        <w:tc>
          <w:tcPr>
            <w:tcW w:w="3888" w:type="dxa"/>
            <w:shd w:val="clear" w:color="auto" w:fill="F6F3F0"/>
          </w:tcPr>
          <w:p w14:paraId="00CB51E9" w14:textId="77777777" w:rsidR="007C5E23" w:rsidRDefault="00AC238C">
            <w:r>
              <w:rPr>
                <w:sz w:val="18"/>
              </w:rPr>
              <w:t>Feeds anonymized signal to internal DXC AI tools.</w:t>
            </w:r>
          </w:p>
        </w:tc>
        <w:tc>
          <w:tcPr>
            <w:tcW w:w="792" w:type="dxa"/>
            <w:shd w:val="clear" w:color="auto" w:fill="F6F3F0"/>
          </w:tcPr>
          <w:p w14:paraId="131217F0" w14:textId="77777777" w:rsidR="007C5E23" w:rsidRDefault="00AC238C">
            <w:r>
              <w:rPr>
                <w:sz w:val="18"/>
              </w:rPr>
              <w:t>Sonnet</w:t>
            </w:r>
          </w:p>
        </w:tc>
        <w:tc>
          <w:tcPr>
            <w:tcW w:w="648" w:type="dxa"/>
            <w:shd w:val="clear" w:color="auto" w:fill="F6F3F0"/>
          </w:tcPr>
          <w:p w14:paraId="382CFFD2" w14:textId="77777777" w:rsidR="007C5E23" w:rsidRDefault="00AC238C">
            <w:r>
              <w:rPr>
                <w:sz w:val="18"/>
              </w:rPr>
              <w:t>V1</w:t>
            </w:r>
          </w:p>
        </w:tc>
      </w:tr>
    </w:tbl>
    <w:p w14:paraId="227779FE" w14:textId="77777777" w:rsidR="007C5E23" w:rsidRDefault="007C5E23">
      <w:pPr>
        <w:spacing w:after="40"/>
      </w:pPr>
    </w:p>
    <w:p w14:paraId="5C8FC662" w14:textId="77777777" w:rsidR="007C5E23" w:rsidRDefault="00AC238C">
      <w:pPr>
        <w:spacing w:after="140" w:line="283" w:lineRule="auto"/>
      </w:pPr>
      <w:r>
        <w:t>Phase column: V0 is the MVP. The agents marked V0 are the MVP build; V1, V1.5, and V2 are later phases.</w:t>
      </w:r>
    </w:p>
    <w:p w14:paraId="12BA97E3" w14:textId="77777777" w:rsidR="007C5E23" w:rsidRDefault="00AC238C">
      <w:pPr>
        <w:spacing w:before="200" w:after="60"/>
      </w:pPr>
      <w:r>
        <w:rPr>
          <w:b/>
          <w:color w:val="0E1020"/>
          <w:sz w:val="25"/>
        </w:rPr>
        <w:t>Mapping from V4</w:t>
      </w:r>
    </w:p>
    <w:p w14:paraId="1B61A3BA" w14:textId="77777777" w:rsidR="007C5E23" w:rsidRDefault="00AC238C">
      <w:pPr>
        <w:pStyle w:val="ListBullet"/>
        <w:spacing w:after="60"/>
      </w:pPr>
      <w:r>
        <w:t>V4 A1 and A2 become RUN1 and RUN2.</w:t>
      </w:r>
    </w:p>
    <w:p w14:paraId="0BD2DC42" w14:textId="77777777" w:rsidR="007C5E23" w:rsidRDefault="00AC238C">
      <w:pPr>
        <w:pStyle w:val="ListBullet"/>
        <w:spacing w:after="60"/>
      </w:pPr>
      <w:r>
        <w:lastRenderedPageBreak/>
        <w:t>V4 A3, the fixed questionnaire, becomes the run-time conversation loop: RUN3 Planner, RUN4 Questioner, RUN5 Probe, and RUN6 Capture.</w:t>
      </w:r>
    </w:p>
    <w:p w14:paraId="3358809B" w14:textId="77777777" w:rsidR="007C5E23" w:rsidRDefault="00AC238C">
      <w:pPr>
        <w:pStyle w:val="ListBullet"/>
        <w:spacing w:after="60"/>
      </w:pPr>
      <w:r>
        <w:t>V4 B1 through B5 become RES1 through RES5. V4 C1, C2, C3 become SYN1, SYN2, SYN3. V4 D1, D2 become OUT1, OUT2. V4 E1, E2, E3 become POST1, POST2, POST3.</w:t>
      </w:r>
    </w:p>
    <w:p w14:paraId="654A8FBA" w14:textId="77777777" w:rsidR="007C5E23" w:rsidRDefault="00AC238C">
      <w:pPr>
        <w:pStyle w:val="ListBullet"/>
        <w:spacing w:after="60"/>
      </w:pPr>
      <w:r>
        <w:t>DES1, the Interview Designer, is new. It makes the engine reusable across interview types.</w:t>
      </w:r>
    </w:p>
    <w:p w14:paraId="7878AF1B" w14:textId="77777777" w:rsidR="007C5E23" w:rsidRDefault="00AC238C">
      <w:pPr>
        <w:spacing w:before="200" w:after="60"/>
      </w:pPr>
      <w:r>
        <w:rPr>
          <w:b/>
          <w:color w:val="0E1020"/>
          <w:sz w:val="25"/>
        </w:rPr>
        <w:t>Orchestration</w:t>
      </w:r>
    </w:p>
    <w:p w14:paraId="48E28529" w14:textId="77777777" w:rsidR="007C5E23" w:rsidRDefault="00AC238C">
      <w:pPr>
        <w:spacing w:after="140" w:line="283" w:lineRule="auto"/>
      </w:pPr>
      <w:r>
        <w:t>A central orchestrator manages the pipeline. The run-time conversation loop (planner, questioner, probe, capture) is a tight, low-latency cycle that must keep voice turns natural. Research agents run in parallel after submission. Synthesis and output are serial downstream. The orchestrator tracks the SLA, parallelizes, logs every call, and routes consent. Candidates remain Temporal, LangGraph, Airflow, or equivalent, decided in working-group week one.</w:t>
      </w:r>
    </w:p>
    <w:p w14:paraId="351B5488" w14:textId="77777777" w:rsidR="007C5E23" w:rsidRDefault="00AC238C">
      <w:pPr>
        <w:spacing w:before="200" w:after="60"/>
      </w:pPr>
      <w:r>
        <w:rPr>
          <w:b/>
          <w:color w:val="0E1020"/>
          <w:sz w:val="25"/>
        </w:rPr>
        <w:t>Model assignments</w:t>
      </w:r>
    </w:p>
    <w:p w14:paraId="7486A8B0" w14:textId="77777777" w:rsidR="007C5E23" w:rsidRDefault="00AC238C">
      <w:pPr>
        <w:spacing w:after="140" w:line="283" w:lineRule="auto"/>
      </w:pPr>
      <w:r>
        <w:t>Opus for the analytical and authoring agents: DES1, SYN2, SYN3, and OUT2. Sonnet for the conversation loop, the research agents, output generation, and post-delivery. Haiku for the structural intake, RUN1. The LLM abstraction layer is required from V0 so the V1.5 sovereign-AI swap is a configuration change, not a rebuild.</w:t>
      </w:r>
    </w:p>
    <w:p w14:paraId="6D026C7C" w14:textId="77777777" w:rsidR="007C5E23" w:rsidRDefault="00AC238C">
      <w:pPr>
        <w:spacing w:before="200" w:after="60"/>
      </w:pPr>
      <w:r>
        <w:rPr>
          <w:b/>
          <w:color w:val="0E1020"/>
          <w:sz w:val="25"/>
        </w:rPr>
        <w:t>SLA budget decomposition (24-hour target)</w:t>
      </w:r>
    </w:p>
    <w:p w14:paraId="1108B754" w14:textId="77777777" w:rsidR="007C5E23" w:rsidRDefault="00AC238C">
      <w:pPr>
        <w:spacing w:after="140" w:line="283" w:lineRule="auto"/>
      </w:pPr>
      <w:r>
        <w:t>The clock decomposes into four parts. The prospect interview runs in real time inside the 30-minute budget. Research completes within hours of submission. Synthesis and output complete within the remaining budget. Senior partner review runs at 15 to 30 minutes. Any per-output confidence below 0.6 routes to partner attention and may extend review.</w:t>
      </w:r>
    </w:p>
    <w:p w14:paraId="166DC2BF" w14:textId="77777777" w:rsidR="007C5E23" w:rsidRDefault="00AC238C">
      <w:pPr>
        <w:pBdr>
          <w:bottom w:val="single" w:sz="4" w:space="4" w:color="C9C4BD"/>
        </w:pBdr>
        <w:spacing w:before="300" w:after="100"/>
      </w:pPr>
      <w:r>
        <w:rPr>
          <w:b/>
          <w:color w:val="0E1020"/>
          <w:sz w:val="32"/>
        </w:rPr>
        <w:t>Technical Requirements</w:t>
      </w:r>
    </w:p>
    <w:p w14:paraId="0BD4D9D4" w14:textId="77777777" w:rsidR="007C5E23" w:rsidRDefault="00AC238C">
      <w:pPr>
        <w:spacing w:after="140" w:line="283" w:lineRule="auto"/>
      </w:pPr>
      <w:r>
        <w:t>This section sets the technical and non-functional requirements for the build. The technology-stack picks are recommended defaults for the working group to confirm in week one. Everything else is a requirement, not a suggestion.</w:t>
      </w:r>
    </w:p>
    <w:p w14:paraId="7FB55594" w14:textId="77777777" w:rsidR="007C5E23" w:rsidRDefault="00AC238C">
      <w:pPr>
        <w:spacing w:before="200" w:after="60"/>
      </w:pPr>
      <w:r>
        <w:rPr>
          <w:b/>
          <w:color w:val="0E1020"/>
          <w:sz w:val="25"/>
        </w:rPr>
        <w:t>Technology stack (recommended defaults to confirm)</w:t>
      </w:r>
    </w:p>
    <w:tbl>
      <w:tblPr>
        <w:tblStyle w:val="TableGrid"/>
        <w:tblW w:w="0" w:type="auto"/>
        <w:tblLook w:val="04A0" w:firstRow="1" w:lastRow="0" w:firstColumn="1" w:lastColumn="0" w:noHBand="0" w:noVBand="1"/>
      </w:tblPr>
      <w:tblGrid>
        <w:gridCol w:w="2015"/>
        <w:gridCol w:w="3596"/>
        <w:gridCol w:w="3739"/>
      </w:tblGrid>
      <w:tr w:rsidR="007C5E23" w14:paraId="3CADF433" w14:textId="77777777">
        <w:tc>
          <w:tcPr>
            <w:tcW w:w="2016" w:type="dxa"/>
            <w:shd w:val="clear" w:color="auto" w:fill="0E1020"/>
          </w:tcPr>
          <w:p w14:paraId="6AA11E7A" w14:textId="77777777" w:rsidR="007C5E23" w:rsidRDefault="00AC238C">
            <w:r>
              <w:rPr>
                <w:b/>
                <w:color w:val="FFFFFF"/>
                <w:sz w:val="18"/>
              </w:rPr>
              <w:t>Layer</w:t>
            </w:r>
          </w:p>
        </w:tc>
        <w:tc>
          <w:tcPr>
            <w:tcW w:w="3600" w:type="dxa"/>
            <w:shd w:val="clear" w:color="auto" w:fill="0E1020"/>
          </w:tcPr>
          <w:p w14:paraId="421B1725" w14:textId="77777777" w:rsidR="007C5E23" w:rsidRDefault="00AC238C">
            <w:r>
              <w:rPr>
                <w:b/>
                <w:color w:val="FFFFFF"/>
                <w:sz w:val="18"/>
              </w:rPr>
              <w:t>Recommendation</w:t>
            </w:r>
          </w:p>
        </w:tc>
        <w:tc>
          <w:tcPr>
            <w:tcW w:w="3744" w:type="dxa"/>
            <w:shd w:val="clear" w:color="auto" w:fill="0E1020"/>
          </w:tcPr>
          <w:p w14:paraId="2453C4B4" w14:textId="77777777" w:rsidR="007C5E23" w:rsidRDefault="00AC238C">
            <w:r>
              <w:rPr>
                <w:b/>
                <w:color w:val="FFFFFF"/>
                <w:sz w:val="18"/>
              </w:rPr>
              <w:t>Note</w:t>
            </w:r>
          </w:p>
        </w:tc>
      </w:tr>
      <w:tr w:rsidR="007C5E23" w14:paraId="289E2303" w14:textId="77777777">
        <w:tc>
          <w:tcPr>
            <w:tcW w:w="2016" w:type="dxa"/>
          </w:tcPr>
          <w:p w14:paraId="787E14F3" w14:textId="77777777" w:rsidR="007C5E23" w:rsidRDefault="00AC238C">
            <w:r>
              <w:rPr>
                <w:b/>
                <w:sz w:val="18"/>
              </w:rPr>
              <w:t>Language and runtime</w:t>
            </w:r>
          </w:p>
        </w:tc>
        <w:tc>
          <w:tcPr>
            <w:tcW w:w="3600" w:type="dxa"/>
          </w:tcPr>
          <w:p w14:paraId="17F6B8F9" w14:textId="77777777" w:rsidR="007C5E23" w:rsidRDefault="00AC238C">
            <w:r>
              <w:rPr>
                <w:sz w:val="18"/>
              </w:rPr>
              <w:t>TypeScript on Node for the services and web</w:t>
            </w:r>
          </w:p>
        </w:tc>
        <w:tc>
          <w:tcPr>
            <w:tcW w:w="3744" w:type="dxa"/>
          </w:tcPr>
          <w:p w14:paraId="6F22E452" w14:textId="77777777" w:rsidR="007C5E23" w:rsidRDefault="00AC238C">
            <w:r>
              <w:rPr>
                <w:sz w:val="18"/>
              </w:rPr>
              <w:t>Reuses the Companion 05 interfaces as shared types. Python permitted for research and data utilities.</w:t>
            </w:r>
          </w:p>
        </w:tc>
      </w:tr>
      <w:tr w:rsidR="007C5E23" w14:paraId="38ECFB32" w14:textId="77777777">
        <w:tc>
          <w:tcPr>
            <w:tcW w:w="2016" w:type="dxa"/>
            <w:shd w:val="clear" w:color="auto" w:fill="F6F3F0"/>
          </w:tcPr>
          <w:p w14:paraId="55B2026E" w14:textId="77777777" w:rsidR="007C5E23" w:rsidRDefault="00AC238C">
            <w:r>
              <w:rPr>
                <w:b/>
                <w:sz w:val="18"/>
              </w:rPr>
              <w:t>Orchestration</w:t>
            </w:r>
          </w:p>
        </w:tc>
        <w:tc>
          <w:tcPr>
            <w:tcW w:w="3600" w:type="dxa"/>
            <w:shd w:val="clear" w:color="auto" w:fill="F6F3F0"/>
          </w:tcPr>
          <w:p w14:paraId="291415B9" w14:textId="77777777" w:rsidR="007C5E23" w:rsidRDefault="00AC238C">
            <w:r>
              <w:rPr>
                <w:sz w:val="18"/>
              </w:rPr>
              <w:t>Temporal</w:t>
            </w:r>
          </w:p>
        </w:tc>
        <w:tc>
          <w:tcPr>
            <w:tcW w:w="3744" w:type="dxa"/>
            <w:shd w:val="clear" w:color="auto" w:fill="F6F3F0"/>
          </w:tcPr>
          <w:p w14:paraId="029212EF" w14:textId="77777777" w:rsidR="007C5E23" w:rsidRDefault="00AC238C">
            <w:r>
              <w:rPr>
                <w:sz w:val="18"/>
              </w:rPr>
              <w:t>Durable workflows, retries, SLA tracking. LangGraph acceptable for the in-interview agent loop.</w:t>
            </w:r>
          </w:p>
        </w:tc>
      </w:tr>
      <w:tr w:rsidR="007C5E23" w14:paraId="46FB4BC5" w14:textId="77777777">
        <w:tc>
          <w:tcPr>
            <w:tcW w:w="2016" w:type="dxa"/>
          </w:tcPr>
          <w:p w14:paraId="766D729F" w14:textId="77777777" w:rsidR="007C5E23" w:rsidRDefault="00AC238C">
            <w:r>
              <w:rPr>
                <w:b/>
                <w:sz w:val="18"/>
              </w:rPr>
              <w:t>LLM access</w:t>
            </w:r>
          </w:p>
        </w:tc>
        <w:tc>
          <w:tcPr>
            <w:tcW w:w="3600" w:type="dxa"/>
          </w:tcPr>
          <w:p w14:paraId="5FD33D37" w14:textId="77777777" w:rsidR="007C5E23" w:rsidRDefault="00AC238C">
            <w:r>
              <w:rPr>
                <w:sz w:val="18"/>
              </w:rPr>
              <w:t>Anthropic Claude via the abstraction layer</w:t>
            </w:r>
          </w:p>
        </w:tc>
        <w:tc>
          <w:tcPr>
            <w:tcW w:w="3744" w:type="dxa"/>
          </w:tcPr>
          <w:p w14:paraId="45E03FC5" w14:textId="77777777" w:rsidR="007C5E23" w:rsidRDefault="00AC238C">
            <w:r>
              <w:rPr>
                <w:sz w:val="18"/>
              </w:rPr>
              <w:t>Provider-swappable for the V1.5 sovereign path (Mistral or on-premise).</w:t>
            </w:r>
          </w:p>
        </w:tc>
      </w:tr>
      <w:tr w:rsidR="007C5E23" w14:paraId="28B686CE" w14:textId="77777777">
        <w:tc>
          <w:tcPr>
            <w:tcW w:w="2016" w:type="dxa"/>
            <w:shd w:val="clear" w:color="auto" w:fill="F6F3F0"/>
          </w:tcPr>
          <w:p w14:paraId="3196B14A" w14:textId="77777777" w:rsidR="007C5E23" w:rsidRDefault="00AC238C">
            <w:r>
              <w:rPr>
                <w:b/>
                <w:sz w:val="18"/>
              </w:rPr>
              <w:t>Voice</w:t>
            </w:r>
          </w:p>
        </w:tc>
        <w:tc>
          <w:tcPr>
            <w:tcW w:w="3600" w:type="dxa"/>
            <w:shd w:val="clear" w:color="auto" w:fill="F6F3F0"/>
          </w:tcPr>
          <w:p w14:paraId="7D1C2CDC" w14:textId="77777777" w:rsidR="007C5E23" w:rsidRDefault="00AC238C">
            <w:r>
              <w:rPr>
                <w:sz w:val="18"/>
              </w:rPr>
              <w:t>ElevenLabs, streaming</w:t>
            </w:r>
          </w:p>
        </w:tc>
        <w:tc>
          <w:tcPr>
            <w:tcW w:w="3744" w:type="dxa"/>
            <w:shd w:val="clear" w:color="auto" w:fill="F6F3F0"/>
          </w:tcPr>
          <w:p w14:paraId="3CF1F0FA" w14:textId="77777777" w:rsidR="007C5E23" w:rsidRDefault="00AC238C">
            <w:r>
              <w:rPr>
                <w:sz w:val="18"/>
              </w:rPr>
              <w:t>Conversational voice for RUN4 with a chat fallback.</w:t>
            </w:r>
          </w:p>
        </w:tc>
      </w:tr>
      <w:tr w:rsidR="007C5E23" w14:paraId="2C3F33CD" w14:textId="77777777">
        <w:tc>
          <w:tcPr>
            <w:tcW w:w="2016" w:type="dxa"/>
          </w:tcPr>
          <w:p w14:paraId="7D5E5A75" w14:textId="77777777" w:rsidR="007C5E23" w:rsidRDefault="00AC238C">
            <w:r>
              <w:rPr>
                <w:b/>
                <w:sz w:val="18"/>
              </w:rPr>
              <w:t>Datastore</w:t>
            </w:r>
          </w:p>
        </w:tc>
        <w:tc>
          <w:tcPr>
            <w:tcW w:w="3600" w:type="dxa"/>
          </w:tcPr>
          <w:p w14:paraId="27C1419A" w14:textId="77777777" w:rsidR="007C5E23" w:rsidRDefault="00AC238C">
            <w:r>
              <w:rPr>
                <w:sz w:val="18"/>
              </w:rPr>
              <w:t>PostgreSQL (RDS), JSONB for captures</w:t>
            </w:r>
          </w:p>
        </w:tc>
        <w:tc>
          <w:tcPr>
            <w:tcW w:w="3744" w:type="dxa"/>
          </w:tcPr>
          <w:p w14:paraId="3BFE779A" w14:textId="77777777" w:rsidR="007C5E23" w:rsidRDefault="00AC238C">
            <w:r>
              <w:rPr>
                <w:sz w:val="18"/>
              </w:rPr>
              <w:t>Object storage (S3) for transcripts and rendered PDFs.</w:t>
            </w:r>
          </w:p>
        </w:tc>
      </w:tr>
      <w:tr w:rsidR="007C5E23" w14:paraId="4D49250A" w14:textId="77777777">
        <w:tc>
          <w:tcPr>
            <w:tcW w:w="2016" w:type="dxa"/>
            <w:shd w:val="clear" w:color="auto" w:fill="F6F3F0"/>
          </w:tcPr>
          <w:p w14:paraId="0FB305AF" w14:textId="77777777" w:rsidR="007C5E23" w:rsidRDefault="00AC238C">
            <w:r>
              <w:rPr>
                <w:b/>
                <w:sz w:val="18"/>
              </w:rPr>
              <w:t>Document render</w:t>
            </w:r>
          </w:p>
        </w:tc>
        <w:tc>
          <w:tcPr>
            <w:tcW w:w="3600" w:type="dxa"/>
            <w:shd w:val="clear" w:color="auto" w:fill="F6F3F0"/>
          </w:tcPr>
          <w:p w14:paraId="61EDC59E" w14:textId="77777777" w:rsidR="007C5E23" w:rsidRDefault="00AC238C">
            <w:r>
              <w:rPr>
                <w:sz w:val="18"/>
              </w:rPr>
              <w:t>HTML with print CSS via a headless renderer</w:t>
            </w:r>
          </w:p>
        </w:tc>
        <w:tc>
          <w:tcPr>
            <w:tcW w:w="3744" w:type="dxa"/>
            <w:shd w:val="clear" w:color="auto" w:fill="F6F3F0"/>
          </w:tcPr>
          <w:p w14:paraId="79C31D54" w14:textId="77777777" w:rsidR="007C5E23" w:rsidRDefault="00AC238C">
            <w:r>
              <w:rPr>
                <w:sz w:val="18"/>
              </w:rPr>
              <w:t>Matches the scorecard build method already proven on the sample.</w:t>
            </w:r>
          </w:p>
        </w:tc>
      </w:tr>
      <w:tr w:rsidR="007C5E23" w14:paraId="14FE9786" w14:textId="77777777">
        <w:tc>
          <w:tcPr>
            <w:tcW w:w="2016" w:type="dxa"/>
          </w:tcPr>
          <w:p w14:paraId="0A1EBE7D" w14:textId="77777777" w:rsidR="007C5E23" w:rsidRDefault="00AC238C">
            <w:r>
              <w:rPr>
                <w:b/>
                <w:sz w:val="18"/>
              </w:rPr>
              <w:t>Hosting</w:t>
            </w:r>
          </w:p>
        </w:tc>
        <w:tc>
          <w:tcPr>
            <w:tcW w:w="3600" w:type="dxa"/>
          </w:tcPr>
          <w:p w14:paraId="587E6A52" w14:textId="77777777" w:rsidR="007C5E23" w:rsidRDefault="00AC238C">
            <w:r>
              <w:rPr>
                <w:sz w:val="18"/>
              </w:rPr>
              <w:t>AWS, containerized (ECS or EKS)</w:t>
            </w:r>
          </w:p>
        </w:tc>
        <w:tc>
          <w:tcPr>
            <w:tcW w:w="3744" w:type="dxa"/>
          </w:tcPr>
          <w:p w14:paraId="04C1AC60" w14:textId="77777777" w:rsidR="007C5E23" w:rsidRDefault="00AC238C">
            <w:r>
              <w:rPr>
                <w:sz w:val="18"/>
              </w:rPr>
              <w:t>Secrets in AWS Secrets Manager. Infrastructure as code.</w:t>
            </w:r>
          </w:p>
        </w:tc>
      </w:tr>
    </w:tbl>
    <w:p w14:paraId="0607AF73" w14:textId="77777777" w:rsidR="007C5E23" w:rsidRDefault="007C5E23">
      <w:pPr>
        <w:spacing w:after="40"/>
      </w:pPr>
    </w:p>
    <w:p w14:paraId="6FE271FE" w14:textId="77777777" w:rsidR="007C5E23" w:rsidRDefault="00AC238C">
      <w:pPr>
        <w:spacing w:before="200" w:after="60"/>
      </w:pPr>
      <w:r>
        <w:rPr>
          <w:b/>
          <w:color w:val="0E1020"/>
          <w:sz w:val="25"/>
        </w:rPr>
        <w:t>Non-functional requirements</w:t>
      </w:r>
    </w:p>
    <w:p w14:paraId="5D3C0559" w14:textId="77777777" w:rsidR="007C5E23" w:rsidRDefault="00AC238C">
      <w:pPr>
        <w:spacing w:after="140" w:line="283" w:lineRule="auto"/>
      </w:pPr>
      <w:r>
        <w:t>The figures below are initial targets, set to give the team concrete goals. They are confirmed and tuned as the build proceeds. The under-30-minute interview limit is the one firm product constraint; the rest are targets.</w:t>
      </w:r>
    </w:p>
    <w:p w14:paraId="62A60CB5" w14:textId="77777777" w:rsidR="007C5E23" w:rsidRDefault="00AC238C">
      <w:pPr>
        <w:pStyle w:val="ListBullet"/>
        <w:spacing w:after="60"/>
      </w:pPr>
      <w:r>
        <w:rPr>
          <w:b/>
          <w:color w:val="0E1020"/>
        </w:rPr>
        <w:t xml:space="preserve">Latency. </w:t>
      </w:r>
      <w:r>
        <w:t>Voice turn latency under a natural target, around 1.5 seconds perceived, with chat responses under about 3 seconds. Targets, to confirm in build.</w:t>
      </w:r>
    </w:p>
    <w:p w14:paraId="174272BE" w14:textId="77777777" w:rsidR="007C5E23" w:rsidRDefault="00AC238C">
      <w:pPr>
        <w:pStyle w:val="ListBullet"/>
        <w:spacing w:after="60"/>
      </w:pPr>
      <w:r>
        <w:rPr>
          <w:b/>
          <w:color w:val="0E1020"/>
        </w:rPr>
        <w:t xml:space="preserve">Interview duration. </w:t>
      </w:r>
      <w:r>
        <w:t>The interview completes in under 30 minutes end to end. This is a hard product constraint, enforced by two-pass pacing.</w:t>
      </w:r>
    </w:p>
    <w:p w14:paraId="6B38A795" w14:textId="77777777" w:rsidR="007C5E23" w:rsidRDefault="00AC238C">
      <w:pPr>
        <w:pStyle w:val="ListBullet"/>
        <w:spacing w:after="60"/>
      </w:pPr>
      <w:r>
        <w:rPr>
          <w:b/>
          <w:color w:val="0E1020"/>
        </w:rPr>
        <w:t xml:space="preserve">Turnaround. </w:t>
      </w:r>
      <w:r>
        <w:t>Scorecard delivered within 24 hours of submission. Reliability targets of 95% by V1 and 98% at volume by V2, to confirm.</w:t>
      </w:r>
    </w:p>
    <w:p w14:paraId="7781E0AF" w14:textId="77777777" w:rsidR="007C5E23" w:rsidRDefault="00AC238C">
      <w:pPr>
        <w:pStyle w:val="ListBullet"/>
        <w:spacing w:after="60"/>
      </w:pPr>
      <w:r>
        <w:rPr>
          <w:b/>
          <w:color w:val="0E1020"/>
        </w:rPr>
        <w:t xml:space="preserve">Concurrency and throughput. </w:t>
      </w:r>
      <w:r>
        <w:t>Initial targets, to confirm: at least 25 concurrent interviews and 50 scorecards per day in the pipeline by V1, scaling to hundreds per quarter by V2. The V0 demo target is set first.</w:t>
      </w:r>
    </w:p>
    <w:p w14:paraId="4C958698" w14:textId="77777777" w:rsidR="007C5E23" w:rsidRDefault="00AC238C">
      <w:pPr>
        <w:pStyle w:val="ListBullet"/>
        <w:spacing w:after="60"/>
      </w:pPr>
      <w:r>
        <w:rPr>
          <w:b/>
          <w:color w:val="0E1020"/>
        </w:rPr>
        <w:t xml:space="preserve">Cost. </w:t>
      </w:r>
      <w:r>
        <w:t>A model-cost ceiling per scorecard, set as an initial target and confirmed as real run costs come in, tracked with per-prospect attribution and enforced by a kill switch on overrun.</w:t>
      </w:r>
    </w:p>
    <w:p w14:paraId="1F595A26" w14:textId="77777777" w:rsidR="007C5E23" w:rsidRDefault="00AC238C">
      <w:pPr>
        <w:pStyle w:val="ListBullet"/>
        <w:spacing w:after="60"/>
      </w:pPr>
      <w:r>
        <w:rPr>
          <w:b/>
          <w:color w:val="0E1020"/>
        </w:rPr>
        <w:t xml:space="preserve">Error handling. </w:t>
      </w:r>
      <w:r>
        <w:t>Every agent call retries with backoff. Partial failures degrade gracefully: a research agent failure must not block the interview or the scorecard. Steps are idempotent.</w:t>
      </w:r>
    </w:p>
    <w:p w14:paraId="41E430FB" w14:textId="77777777" w:rsidR="007C5E23" w:rsidRDefault="00AC238C">
      <w:pPr>
        <w:pStyle w:val="ListBullet"/>
        <w:spacing w:after="60"/>
      </w:pPr>
      <w:r>
        <w:rPr>
          <w:b/>
          <w:color w:val="0E1020"/>
        </w:rPr>
        <w:t xml:space="preserve">Observability. </w:t>
      </w:r>
      <w:r>
        <w:t>Structured logging of every agent call, input, output, reasoning trace, latency, and cost, with dashboards for SLA, confidence distribution, and cost.</w:t>
      </w:r>
    </w:p>
    <w:p w14:paraId="6A37EA78" w14:textId="77777777" w:rsidR="007C5E23" w:rsidRDefault="00AC238C">
      <w:pPr>
        <w:spacing w:before="200" w:after="60"/>
      </w:pPr>
      <w:r>
        <w:rPr>
          <w:b/>
          <w:color w:val="0E1020"/>
          <w:sz w:val="25"/>
        </w:rPr>
        <w:t>Security and data handling</w:t>
      </w:r>
    </w:p>
    <w:p w14:paraId="7E2ADCE6" w14:textId="77777777" w:rsidR="007C5E23" w:rsidRDefault="00AC238C">
      <w:pPr>
        <w:pStyle w:val="ListBullet"/>
        <w:spacing w:after="60"/>
      </w:pPr>
      <w:r>
        <w:rPr>
          <w:b/>
          <w:color w:val="0E1020"/>
        </w:rPr>
        <w:t xml:space="preserve">Encryption. </w:t>
      </w:r>
      <w:r>
        <w:t>Encryption in transit (TLS) and at rest for all prospect data, transcripts, and scorecards.</w:t>
      </w:r>
    </w:p>
    <w:p w14:paraId="4D69658E" w14:textId="77777777" w:rsidR="007C5E23" w:rsidRDefault="00AC238C">
      <w:pPr>
        <w:pStyle w:val="ListBullet"/>
        <w:spacing w:after="60"/>
      </w:pPr>
      <w:r>
        <w:rPr>
          <w:b/>
          <w:color w:val="0E1020"/>
        </w:rPr>
        <w:t xml:space="preserve">Access. </w:t>
      </w:r>
      <w:r>
        <w:t>Internal users and partner reviewers authenticated through SSO (Entra ID), with role-based access. Prospect portal links are signed and expiring.</w:t>
      </w:r>
    </w:p>
    <w:p w14:paraId="5F69D81E" w14:textId="77777777" w:rsidR="007C5E23" w:rsidRDefault="00AC238C">
      <w:pPr>
        <w:pStyle w:val="ListBullet"/>
        <w:spacing w:after="60"/>
      </w:pPr>
      <w:r>
        <w:rPr>
          <w:b/>
          <w:color w:val="0E1020"/>
        </w:rPr>
        <w:t xml:space="preserve">Isolation. </w:t>
      </w:r>
      <w:r>
        <w:t>Prospect data is segregated, with least-privilege access to data stores.</w:t>
      </w:r>
    </w:p>
    <w:p w14:paraId="7A94E770" w14:textId="77777777" w:rsidR="007C5E23" w:rsidRDefault="00AC238C">
      <w:pPr>
        <w:pStyle w:val="ListBullet"/>
        <w:spacing w:after="60"/>
      </w:pPr>
      <w:r>
        <w:rPr>
          <w:b/>
          <w:color w:val="0E1020"/>
        </w:rPr>
        <w:t xml:space="preserve">Data minimization. </w:t>
      </w:r>
      <w:r>
        <w:t>No special-category personal data is collected; business contact data is minimized; processing is consent-gated. Data-residency options for the UK and EU align with the V1.5 sovereign path.</w:t>
      </w:r>
    </w:p>
    <w:p w14:paraId="3D7FAD26" w14:textId="77777777" w:rsidR="007C5E23" w:rsidRDefault="00AC238C">
      <w:pPr>
        <w:pStyle w:val="ListBullet"/>
        <w:spacing w:after="60"/>
      </w:pPr>
      <w:r>
        <w:rPr>
          <w:b/>
          <w:color w:val="0E1020"/>
        </w:rPr>
        <w:t xml:space="preserve">Retention. </w:t>
      </w:r>
      <w:r>
        <w:t>Defined retention for transcripts and results, deletion on request, and reasoning traces scrubbed of secrets. Consent records are immutable; underlying data remains deletable.</w:t>
      </w:r>
    </w:p>
    <w:p w14:paraId="66224F36" w14:textId="77777777" w:rsidR="007C5E23" w:rsidRDefault="00AC238C">
      <w:pPr>
        <w:pStyle w:val="ListBullet"/>
        <w:spacing w:after="60"/>
      </w:pPr>
      <w:r>
        <w:rPr>
          <w:b/>
          <w:color w:val="0E1020"/>
        </w:rPr>
        <w:t xml:space="preserve">Secrets and audit. </w:t>
      </w:r>
      <w:r>
        <w:t>API keys live in a managed secrets store, never in code or logs. An immutable audit log records agent calls and partner review actions.</w:t>
      </w:r>
    </w:p>
    <w:p w14:paraId="4D45C49A" w14:textId="77777777" w:rsidR="007C5E23" w:rsidRDefault="00AC238C">
      <w:pPr>
        <w:spacing w:before="200" w:after="60"/>
      </w:pPr>
      <w:r>
        <w:rPr>
          <w:b/>
          <w:color w:val="0E1020"/>
          <w:sz w:val="25"/>
        </w:rPr>
        <w:t>Integration requirements</w:t>
      </w:r>
    </w:p>
    <w:tbl>
      <w:tblPr>
        <w:tblStyle w:val="TableGrid"/>
        <w:tblW w:w="0" w:type="auto"/>
        <w:tblLook w:val="04A0" w:firstRow="1" w:lastRow="0" w:firstColumn="1" w:lastColumn="0" w:noHBand="0" w:noVBand="1"/>
      </w:tblPr>
      <w:tblGrid>
        <w:gridCol w:w="3021"/>
        <w:gridCol w:w="4171"/>
        <w:gridCol w:w="2158"/>
      </w:tblGrid>
      <w:tr w:rsidR="007C5E23" w14:paraId="18038E85" w14:textId="77777777">
        <w:tc>
          <w:tcPr>
            <w:tcW w:w="3024" w:type="dxa"/>
            <w:shd w:val="clear" w:color="auto" w:fill="0E1020"/>
          </w:tcPr>
          <w:p w14:paraId="089416B3" w14:textId="77777777" w:rsidR="007C5E23" w:rsidRDefault="00AC238C">
            <w:r>
              <w:rPr>
                <w:b/>
                <w:color w:val="FFFFFF"/>
                <w:sz w:val="18"/>
              </w:rPr>
              <w:t>System</w:t>
            </w:r>
          </w:p>
        </w:tc>
        <w:tc>
          <w:tcPr>
            <w:tcW w:w="4176" w:type="dxa"/>
            <w:shd w:val="clear" w:color="auto" w:fill="0E1020"/>
          </w:tcPr>
          <w:p w14:paraId="343780D5" w14:textId="77777777" w:rsidR="007C5E23" w:rsidRDefault="00AC238C">
            <w:r>
              <w:rPr>
                <w:b/>
                <w:color w:val="FFFFFF"/>
                <w:sz w:val="18"/>
              </w:rPr>
              <w:t>Use</w:t>
            </w:r>
          </w:p>
        </w:tc>
        <w:tc>
          <w:tcPr>
            <w:tcW w:w="2160" w:type="dxa"/>
            <w:shd w:val="clear" w:color="auto" w:fill="0E1020"/>
          </w:tcPr>
          <w:p w14:paraId="505640DF" w14:textId="77777777" w:rsidR="007C5E23" w:rsidRDefault="00AC238C">
            <w:r>
              <w:rPr>
                <w:b/>
                <w:color w:val="FFFFFF"/>
                <w:sz w:val="18"/>
              </w:rPr>
              <w:t>Direction</w:t>
            </w:r>
          </w:p>
        </w:tc>
      </w:tr>
      <w:tr w:rsidR="007C5E23" w14:paraId="74F40146" w14:textId="77777777">
        <w:tc>
          <w:tcPr>
            <w:tcW w:w="3024" w:type="dxa"/>
          </w:tcPr>
          <w:p w14:paraId="5B7F402F" w14:textId="77777777" w:rsidR="007C5E23" w:rsidRDefault="00AC238C">
            <w:r>
              <w:rPr>
                <w:b/>
                <w:sz w:val="18"/>
              </w:rPr>
              <w:t>SEC EDGAR API</w:t>
            </w:r>
          </w:p>
        </w:tc>
        <w:tc>
          <w:tcPr>
            <w:tcW w:w="4176" w:type="dxa"/>
          </w:tcPr>
          <w:p w14:paraId="3BCE29EF" w14:textId="77777777" w:rsidR="007C5E23" w:rsidRDefault="00AC238C">
            <w:r>
              <w:rPr>
                <w:sz w:val="18"/>
              </w:rPr>
              <w:t>Filings research (RES1)</w:t>
            </w:r>
          </w:p>
        </w:tc>
        <w:tc>
          <w:tcPr>
            <w:tcW w:w="2160" w:type="dxa"/>
          </w:tcPr>
          <w:p w14:paraId="6F2B8E03" w14:textId="77777777" w:rsidR="007C5E23" w:rsidRDefault="00AC238C">
            <w:r>
              <w:rPr>
                <w:sz w:val="18"/>
              </w:rPr>
              <w:t>Inbound, public, rate-limited</w:t>
            </w:r>
          </w:p>
        </w:tc>
      </w:tr>
      <w:tr w:rsidR="007C5E23" w14:paraId="4B397756" w14:textId="77777777">
        <w:tc>
          <w:tcPr>
            <w:tcW w:w="3024" w:type="dxa"/>
            <w:shd w:val="clear" w:color="auto" w:fill="F6F3F0"/>
          </w:tcPr>
          <w:p w14:paraId="4FE1C1C1" w14:textId="77777777" w:rsidR="007C5E23" w:rsidRDefault="00AC238C">
            <w:r>
              <w:rPr>
                <w:b/>
                <w:sz w:val="18"/>
              </w:rPr>
              <w:t>GDELT or news API</w:t>
            </w:r>
          </w:p>
        </w:tc>
        <w:tc>
          <w:tcPr>
            <w:tcW w:w="4176" w:type="dxa"/>
            <w:shd w:val="clear" w:color="auto" w:fill="F6F3F0"/>
          </w:tcPr>
          <w:p w14:paraId="22D2F589" w14:textId="77777777" w:rsidR="007C5E23" w:rsidRDefault="00AC238C">
            <w:r>
              <w:rPr>
                <w:sz w:val="18"/>
              </w:rPr>
              <w:t>News research (RES2), vendor TBD</w:t>
            </w:r>
          </w:p>
        </w:tc>
        <w:tc>
          <w:tcPr>
            <w:tcW w:w="2160" w:type="dxa"/>
            <w:shd w:val="clear" w:color="auto" w:fill="F6F3F0"/>
          </w:tcPr>
          <w:p w14:paraId="12225C3E" w14:textId="77777777" w:rsidR="007C5E23" w:rsidRDefault="00AC238C">
            <w:r>
              <w:rPr>
                <w:sz w:val="18"/>
              </w:rPr>
              <w:t>Inbound</w:t>
            </w:r>
          </w:p>
        </w:tc>
      </w:tr>
      <w:tr w:rsidR="007C5E23" w14:paraId="7FB2783F" w14:textId="77777777">
        <w:tc>
          <w:tcPr>
            <w:tcW w:w="3024" w:type="dxa"/>
          </w:tcPr>
          <w:p w14:paraId="76A3FCA6" w14:textId="77777777" w:rsidR="007C5E23" w:rsidRDefault="00AC238C">
            <w:r>
              <w:rPr>
                <w:b/>
                <w:sz w:val="18"/>
              </w:rPr>
              <w:t>Tech-stack and job-postings aggregator</w:t>
            </w:r>
          </w:p>
        </w:tc>
        <w:tc>
          <w:tcPr>
            <w:tcW w:w="4176" w:type="dxa"/>
          </w:tcPr>
          <w:p w14:paraId="0C20676A" w14:textId="77777777" w:rsidR="007C5E23" w:rsidRDefault="00AC238C">
            <w:r>
              <w:rPr>
                <w:sz w:val="18"/>
              </w:rPr>
              <w:t>Tech-stack signals (RES3, Tier 2)</w:t>
            </w:r>
          </w:p>
        </w:tc>
        <w:tc>
          <w:tcPr>
            <w:tcW w:w="2160" w:type="dxa"/>
          </w:tcPr>
          <w:p w14:paraId="522C11C4" w14:textId="77777777" w:rsidR="007C5E23" w:rsidRDefault="00AC238C">
            <w:r>
              <w:rPr>
                <w:sz w:val="18"/>
              </w:rPr>
              <w:t>Inbound, licensed</w:t>
            </w:r>
          </w:p>
        </w:tc>
      </w:tr>
      <w:tr w:rsidR="007C5E23" w14:paraId="2FDDC31B" w14:textId="77777777">
        <w:tc>
          <w:tcPr>
            <w:tcW w:w="3024" w:type="dxa"/>
            <w:shd w:val="clear" w:color="auto" w:fill="F6F3F0"/>
          </w:tcPr>
          <w:p w14:paraId="7CBC063D" w14:textId="77777777" w:rsidR="007C5E23" w:rsidRDefault="00AC238C">
            <w:r>
              <w:rPr>
                <w:b/>
                <w:sz w:val="18"/>
              </w:rPr>
              <w:t>Anthropic API</w:t>
            </w:r>
          </w:p>
        </w:tc>
        <w:tc>
          <w:tcPr>
            <w:tcW w:w="4176" w:type="dxa"/>
            <w:shd w:val="clear" w:color="auto" w:fill="F6F3F0"/>
          </w:tcPr>
          <w:p w14:paraId="54484E04" w14:textId="77777777" w:rsidR="007C5E23" w:rsidRDefault="00AC238C">
            <w:r>
              <w:rPr>
                <w:sz w:val="18"/>
              </w:rPr>
              <w:t>All LLM agents, via the abstraction layer</w:t>
            </w:r>
          </w:p>
        </w:tc>
        <w:tc>
          <w:tcPr>
            <w:tcW w:w="2160" w:type="dxa"/>
            <w:shd w:val="clear" w:color="auto" w:fill="F6F3F0"/>
          </w:tcPr>
          <w:p w14:paraId="74E5D308" w14:textId="77777777" w:rsidR="007C5E23" w:rsidRDefault="00AC238C">
            <w:r>
              <w:rPr>
                <w:sz w:val="18"/>
              </w:rPr>
              <w:t>Bidirectional</w:t>
            </w:r>
          </w:p>
        </w:tc>
      </w:tr>
      <w:tr w:rsidR="007C5E23" w14:paraId="75D25D46" w14:textId="77777777">
        <w:tc>
          <w:tcPr>
            <w:tcW w:w="3024" w:type="dxa"/>
          </w:tcPr>
          <w:p w14:paraId="6992BD8B" w14:textId="77777777" w:rsidR="007C5E23" w:rsidRDefault="00AC238C">
            <w:r>
              <w:rPr>
                <w:b/>
                <w:sz w:val="18"/>
              </w:rPr>
              <w:t>ElevenLabs</w:t>
            </w:r>
          </w:p>
        </w:tc>
        <w:tc>
          <w:tcPr>
            <w:tcW w:w="4176" w:type="dxa"/>
          </w:tcPr>
          <w:p w14:paraId="3D7E7C6D" w14:textId="77777777" w:rsidR="007C5E23" w:rsidRDefault="00AC238C">
            <w:r>
              <w:rPr>
                <w:sz w:val="18"/>
              </w:rPr>
              <w:t>Voice interview (RUN4)</w:t>
            </w:r>
          </w:p>
        </w:tc>
        <w:tc>
          <w:tcPr>
            <w:tcW w:w="2160" w:type="dxa"/>
          </w:tcPr>
          <w:p w14:paraId="38782FE6" w14:textId="77777777" w:rsidR="007C5E23" w:rsidRDefault="00AC238C">
            <w:r>
              <w:rPr>
                <w:sz w:val="18"/>
              </w:rPr>
              <w:t>Bidirectional streaming</w:t>
            </w:r>
          </w:p>
        </w:tc>
      </w:tr>
      <w:tr w:rsidR="007C5E23" w14:paraId="273365FE" w14:textId="77777777">
        <w:tc>
          <w:tcPr>
            <w:tcW w:w="3024" w:type="dxa"/>
            <w:shd w:val="clear" w:color="auto" w:fill="F6F3F0"/>
          </w:tcPr>
          <w:p w14:paraId="225134A7" w14:textId="77777777" w:rsidR="007C5E23" w:rsidRDefault="00AC238C">
            <w:r>
              <w:rPr>
                <w:b/>
                <w:sz w:val="18"/>
              </w:rPr>
              <w:t>Email and secure portal</w:t>
            </w:r>
          </w:p>
        </w:tc>
        <w:tc>
          <w:tcPr>
            <w:tcW w:w="4176" w:type="dxa"/>
            <w:shd w:val="clear" w:color="auto" w:fill="F6F3F0"/>
          </w:tcPr>
          <w:p w14:paraId="205DA5A4" w14:textId="77777777" w:rsidR="007C5E23" w:rsidRDefault="00AC238C">
            <w:r>
              <w:rPr>
                <w:sz w:val="18"/>
              </w:rPr>
              <w:t>Scorecard delivery and notifications</w:t>
            </w:r>
          </w:p>
        </w:tc>
        <w:tc>
          <w:tcPr>
            <w:tcW w:w="2160" w:type="dxa"/>
            <w:shd w:val="clear" w:color="auto" w:fill="F6F3F0"/>
          </w:tcPr>
          <w:p w14:paraId="43A8362E" w14:textId="77777777" w:rsidR="007C5E23" w:rsidRDefault="00AC238C">
            <w:r>
              <w:rPr>
                <w:sz w:val="18"/>
              </w:rPr>
              <w:t>Outbound</w:t>
            </w:r>
          </w:p>
        </w:tc>
      </w:tr>
      <w:tr w:rsidR="007C5E23" w14:paraId="1ECC792D" w14:textId="77777777">
        <w:tc>
          <w:tcPr>
            <w:tcW w:w="3024" w:type="dxa"/>
          </w:tcPr>
          <w:p w14:paraId="79DC8E99" w14:textId="77777777" w:rsidR="007C5E23" w:rsidRDefault="00AC238C">
            <w:r>
              <w:rPr>
                <w:b/>
                <w:sz w:val="18"/>
              </w:rPr>
              <w:t>CRM</w:t>
            </w:r>
          </w:p>
        </w:tc>
        <w:tc>
          <w:tcPr>
            <w:tcW w:w="4176" w:type="dxa"/>
          </w:tcPr>
          <w:p w14:paraId="1D576ECF" w14:textId="77777777" w:rsidR="007C5E23" w:rsidRDefault="00AC238C">
            <w:r>
              <w:rPr>
                <w:sz w:val="18"/>
              </w:rPr>
              <w:t>Opportunity records (POST1, V1)</w:t>
            </w:r>
          </w:p>
        </w:tc>
        <w:tc>
          <w:tcPr>
            <w:tcW w:w="2160" w:type="dxa"/>
          </w:tcPr>
          <w:p w14:paraId="3E42ABFA" w14:textId="77777777" w:rsidR="007C5E23" w:rsidRDefault="00AC238C">
            <w:r>
              <w:rPr>
                <w:sz w:val="18"/>
              </w:rPr>
              <w:t>Outbound</w:t>
            </w:r>
          </w:p>
        </w:tc>
      </w:tr>
      <w:tr w:rsidR="007C5E23" w14:paraId="71934E88" w14:textId="77777777">
        <w:tc>
          <w:tcPr>
            <w:tcW w:w="3024" w:type="dxa"/>
            <w:shd w:val="clear" w:color="auto" w:fill="F6F3F0"/>
          </w:tcPr>
          <w:p w14:paraId="255187A5" w14:textId="77777777" w:rsidR="007C5E23" w:rsidRDefault="00AC238C">
            <w:r>
              <w:rPr>
                <w:b/>
                <w:sz w:val="18"/>
              </w:rPr>
              <w:lastRenderedPageBreak/>
              <w:t>Internal AI feedstock interface</w:t>
            </w:r>
          </w:p>
        </w:tc>
        <w:tc>
          <w:tcPr>
            <w:tcW w:w="4176" w:type="dxa"/>
            <w:shd w:val="clear" w:color="auto" w:fill="F6F3F0"/>
          </w:tcPr>
          <w:p w14:paraId="43CD85AE" w14:textId="77777777" w:rsidR="007C5E23" w:rsidRDefault="00AC238C">
            <w:r>
              <w:rPr>
                <w:sz w:val="18"/>
              </w:rPr>
              <w:t>Anonymized signal (POST3, V1)</w:t>
            </w:r>
          </w:p>
        </w:tc>
        <w:tc>
          <w:tcPr>
            <w:tcW w:w="2160" w:type="dxa"/>
            <w:shd w:val="clear" w:color="auto" w:fill="F6F3F0"/>
          </w:tcPr>
          <w:p w14:paraId="3E8E3BA7" w14:textId="77777777" w:rsidR="007C5E23" w:rsidRDefault="00AC238C">
            <w:r>
              <w:rPr>
                <w:sz w:val="18"/>
              </w:rPr>
              <w:t>Outbound, per receiving tool</w:t>
            </w:r>
          </w:p>
        </w:tc>
      </w:tr>
    </w:tbl>
    <w:p w14:paraId="3B38A195" w14:textId="77777777" w:rsidR="007C5E23" w:rsidRDefault="007C5E23">
      <w:pPr>
        <w:spacing w:after="40"/>
      </w:pPr>
    </w:p>
    <w:p w14:paraId="069B9372" w14:textId="77777777" w:rsidR="007C5E23" w:rsidRDefault="00AC238C">
      <w:pPr>
        <w:spacing w:before="200" w:after="60"/>
      </w:pPr>
      <w:r>
        <w:rPr>
          <w:b/>
          <w:color w:val="0E1020"/>
          <w:sz w:val="25"/>
        </w:rPr>
        <w:t>Infrastructure</w:t>
      </w:r>
    </w:p>
    <w:p w14:paraId="19742660" w14:textId="77777777" w:rsidR="007C5E23" w:rsidRDefault="00AC238C">
      <w:pPr>
        <w:pStyle w:val="ListBullet"/>
        <w:spacing w:after="60"/>
      </w:pPr>
      <w:r>
        <w:t>Three environments: development, a staging and demo environment isolated for investor-day reliability, and production.</w:t>
      </w:r>
    </w:p>
    <w:p w14:paraId="17F0FFED" w14:textId="77777777" w:rsidR="007C5E23" w:rsidRDefault="00AC238C">
      <w:pPr>
        <w:pStyle w:val="ListBullet"/>
        <w:spacing w:after="60"/>
      </w:pPr>
      <w:r>
        <w:t>CI/CD with automated build, test, and deploy; infrastructure as code.</w:t>
      </w:r>
    </w:p>
    <w:p w14:paraId="1396F2C7" w14:textId="77777777" w:rsidR="007C5E23" w:rsidRDefault="00AC238C">
      <w:pPr>
        <w:pStyle w:val="ListBullet"/>
        <w:spacing w:after="60"/>
      </w:pPr>
      <w:r>
        <w:t>Cost and usage monitoring with per-prospect attribution and kill switches, satisfying the governance principle.</w:t>
      </w:r>
    </w:p>
    <w:p w14:paraId="20EC814E" w14:textId="77777777" w:rsidR="007C5E23" w:rsidRDefault="00AC238C">
      <w:pPr>
        <w:spacing w:before="200" w:after="60"/>
      </w:pPr>
      <w:r>
        <w:rPr>
          <w:b/>
          <w:color w:val="0E1020"/>
          <w:sz w:val="25"/>
        </w:rPr>
        <w:t>Testing and evaluation</w:t>
      </w:r>
    </w:p>
    <w:p w14:paraId="2C294BFA" w14:textId="77777777" w:rsidR="007C5E23" w:rsidRDefault="00AC238C">
      <w:pPr>
        <w:pStyle w:val="ListBullet"/>
        <w:spacing w:after="60"/>
      </w:pPr>
      <w:r>
        <w:t>Unit and integration tests for the orchestrator and for each agent's input and output contract per Companion 05.</w:t>
      </w:r>
    </w:p>
    <w:p w14:paraId="475489F7" w14:textId="77777777" w:rsidR="007C5E23" w:rsidRDefault="00AC238C">
      <w:pPr>
        <w:pStyle w:val="ListBullet"/>
        <w:spacing w:after="60"/>
      </w:pPr>
      <w:r>
        <w:t>The three demo fixtures (MeridianFS, NorthernCare, AurelianTech) serve as end-to-end integration tests; each agent must produce expected output within the SLA.</w:t>
      </w:r>
    </w:p>
    <w:p w14:paraId="113DA1E6" w14:textId="77777777" w:rsidR="007C5E23" w:rsidRDefault="00AC238C">
      <w:pPr>
        <w:pStyle w:val="ListBullet"/>
        <w:spacing w:after="60"/>
      </w:pPr>
      <w:r>
        <w:t>A scoring evaluation harness against a senior-advisor gold set. Acceptance threshold: weighted kappa above 0.6 against the gold set before any auto-approved path. Regression checks run on every definition change.</w:t>
      </w:r>
    </w:p>
    <w:p w14:paraId="0478ADE1" w14:textId="77777777" w:rsidR="007C5E23" w:rsidRDefault="00AC238C">
      <w:pPr>
        <w:pStyle w:val="ListBullet"/>
        <w:spacing w:after="60"/>
      </w:pPr>
      <w:r>
        <w:t>Voice tests for latency against target, transcription accuracy threshold, and graceful fallback to chat.</w:t>
      </w:r>
    </w:p>
    <w:p w14:paraId="24B3427E" w14:textId="77777777" w:rsidR="007C5E23" w:rsidRDefault="00AC238C">
      <w:pPr>
        <w:pStyle w:val="ListBullet"/>
        <w:spacing w:after="60"/>
      </w:pPr>
      <w:r>
        <w:t>The OUT2 validation gate (integer scores, vendor-neutral, brand and voice rules, walled recommendation, confidence-and-limits) must pass before partner review.</w:t>
      </w:r>
    </w:p>
    <w:p w14:paraId="0C0AA6A1" w14:textId="77777777" w:rsidR="007C5E23" w:rsidRDefault="00AC238C">
      <w:pPr>
        <w:pStyle w:val="ListBullet"/>
        <w:spacing w:after="60"/>
      </w:pPr>
      <w:r>
        <w:t>A load test against the concurrency target before the V1 public flow goes live.</w:t>
      </w:r>
    </w:p>
    <w:p w14:paraId="0FA73393" w14:textId="77777777" w:rsidR="007C5E23" w:rsidRDefault="00AC238C">
      <w:pPr>
        <w:pBdr>
          <w:bottom w:val="single" w:sz="4" w:space="4" w:color="C9C4BD"/>
        </w:pBdr>
        <w:spacing w:before="300" w:after="100"/>
      </w:pPr>
      <w:r>
        <w:rPr>
          <w:b/>
          <w:color w:val="0E1020"/>
          <w:sz w:val="32"/>
        </w:rPr>
        <w:t>UI and UX Requirements</w:t>
      </w:r>
    </w:p>
    <w:p w14:paraId="1C725403" w14:textId="77777777" w:rsidR="007C5E23" w:rsidRDefault="00AC238C">
      <w:pPr>
        <w:spacing w:after="140" w:line="283" w:lineRule="auto"/>
      </w:pPr>
      <w:r>
        <w:t>The Diagnostic has a small number of UI surfaces. The MVP keeps them thin and functional; polish and the public-grade experience come later. The surfaces are listed here so the front-end work is planned, not assumed.</w:t>
      </w:r>
    </w:p>
    <w:p w14:paraId="690DC71C" w14:textId="77777777" w:rsidR="007C5E23" w:rsidRDefault="00AC238C">
      <w:pPr>
        <w:spacing w:before="200" w:after="60"/>
      </w:pPr>
      <w:r>
        <w:rPr>
          <w:b/>
          <w:color w:val="0E1020"/>
          <w:sz w:val="25"/>
        </w:rPr>
        <w:t>Surfaces</w:t>
      </w:r>
    </w:p>
    <w:tbl>
      <w:tblPr>
        <w:tblStyle w:val="TableGrid"/>
        <w:tblW w:w="0" w:type="auto"/>
        <w:tblLook w:val="04A0" w:firstRow="1" w:lastRow="0" w:firstColumn="1" w:lastColumn="0" w:noHBand="0" w:noVBand="1"/>
      </w:tblPr>
      <w:tblGrid>
        <w:gridCol w:w="2014"/>
        <w:gridCol w:w="3739"/>
        <w:gridCol w:w="2014"/>
        <w:gridCol w:w="1583"/>
      </w:tblGrid>
      <w:tr w:rsidR="007C5E23" w14:paraId="2804EC99" w14:textId="77777777">
        <w:tc>
          <w:tcPr>
            <w:tcW w:w="2016" w:type="dxa"/>
            <w:shd w:val="clear" w:color="auto" w:fill="0E1020"/>
          </w:tcPr>
          <w:p w14:paraId="509C7D13" w14:textId="77777777" w:rsidR="007C5E23" w:rsidRDefault="00AC238C">
            <w:r>
              <w:rPr>
                <w:b/>
                <w:color w:val="FFFFFF"/>
                <w:sz w:val="18"/>
              </w:rPr>
              <w:t>Surface</w:t>
            </w:r>
          </w:p>
        </w:tc>
        <w:tc>
          <w:tcPr>
            <w:tcW w:w="3744" w:type="dxa"/>
            <w:shd w:val="clear" w:color="auto" w:fill="0E1020"/>
          </w:tcPr>
          <w:p w14:paraId="1E771E11" w14:textId="77777777" w:rsidR="007C5E23" w:rsidRDefault="00AC238C">
            <w:r>
              <w:rPr>
                <w:b/>
                <w:color w:val="FFFFFF"/>
                <w:sz w:val="18"/>
              </w:rPr>
              <w:t>What it is</w:t>
            </w:r>
          </w:p>
        </w:tc>
        <w:tc>
          <w:tcPr>
            <w:tcW w:w="2016" w:type="dxa"/>
            <w:shd w:val="clear" w:color="auto" w:fill="0E1020"/>
          </w:tcPr>
          <w:p w14:paraId="5AC935AF" w14:textId="77777777" w:rsidR="007C5E23" w:rsidRDefault="00AC238C">
            <w:r>
              <w:rPr>
                <w:b/>
                <w:color w:val="FFFFFF"/>
                <w:sz w:val="18"/>
              </w:rPr>
              <w:t>MVP (V0)</w:t>
            </w:r>
          </w:p>
        </w:tc>
        <w:tc>
          <w:tcPr>
            <w:tcW w:w="1584" w:type="dxa"/>
            <w:shd w:val="clear" w:color="auto" w:fill="0E1020"/>
          </w:tcPr>
          <w:p w14:paraId="741D6DA9" w14:textId="77777777" w:rsidR="007C5E23" w:rsidRDefault="00AC238C">
            <w:r>
              <w:rPr>
                <w:b/>
                <w:color w:val="FFFFFF"/>
                <w:sz w:val="18"/>
              </w:rPr>
              <w:t>Later</w:t>
            </w:r>
          </w:p>
        </w:tc>
      </w:tr>
      <w:tr w:rsidR="007C5E23" w14:paraId="374A3205" w14:textId="77777777">
        <w:tc>
          <w:tcPr>
            <w:tcW w:w="2016" w:type="dxa"/>
          </w:tcPr>
          <w:p w14:paraId="5FF57B54" w14:textId="77777777" w:rsidR="007C5E23" w:rsidRDefault="00AC238C">
            <w:r>
              <w:rPr>
                <w:b/>
                <w:sz w:val="18"/>
              </w:rPr>
              <w:t>Prospect intake</w:t>
            </w:r>
          </w:p>
        </w:tc>
        <w:tc>
          <w:tcPr>
            <w:tcW w:w="3744" w:type="dxa"/>
          </w:tcPr>
          <w:p w14:paraId="678925DF" w14:textId="77777777" w:rsidR="007C5E23" w:rsidRDefault="00AC238C">
            <w:r>
              <w:rPr>
                <w:sz w:val="18"/>
              </w:rPr>
              <w:t>Web form: name, role, business email, company, plus consent capture.</w:t>
            </w:r>
          </w:p>
        </w:tc>
        <w:tc>
          <w:tcPr>
            <w:tcW w:w="2016" w:type="dxa"/>
          </w:tcPr>
          <w:p w14:paraId="137ECC7B" w14:textId="77777777" w:rsidR="007C5E23" w:rsidRDefault="00AC238C">
            <w:r>
              <w:rPr>
                <w:sz w:val="18"/>
              </w:rPr>
              <w:t>Basic, functional</w:t>
            </w:r>
          </w:p>
        </w:tc>
        <w:tc>
          <w:tcPr>
            <w:tcW w:w="1584" w:type="dxa"/>
          </w:tcPr>
          <w:p w14:paraId="027756D1" w14:textId="77777777" w:rsidR="007C5E23" w:rsidRDefault="00AC238C">
            <w:r>
              <w:rPr>
                <w:sz w:val="18"/>
              </w:rPr>
              <w:t>Public-polished (V1)</w:t>
            </w:r>
          </w:p>
        </w:tc>
      </w:tr>
      <w:tr w:rsidR="007C5E23" w14:paraId="65786B2F" w14:textId="77777777">
        <w:tc>
          <w:tcPr>
            <w:tcW w:w="2016" w:type="dxa"/>
            <w:shd w:val="clear" w:color="auto" w:fill="F6F3F0"/>
          </w:tcPr>
          <w:p w14:paraId="346DB619" w14:textId="77777777" w:rsidR="007C5E23" w:rsidRDefault="00AC238C">
            <w:r>
              <w:rPr>
                <w:b/>
                <w:sz w:val="18"/>
              </w:rPr>
              <w:t>Interview interface</w:t>
            </w:r>
          </w:p>
        </w:tc>
        <w:tc>
          <w:tcPr>
            <w:tcW w:w="3744" w:type="dxa"/>
            <w:shd w:val="clear" w:color="auto" w:fill="F6F3F0"/>
          </w:tcPr>
          <w:p w14:paraId="6FEFA41D" w14:textId="77777777" w:rsidR="007C5E23" w:rsidRDefault="00AC238C">
            <w:r>
              <w:rPr>
                <w:sz w:val="18"/>
              </w:rPr>
              <w:t>Chat and voice: microphone, audio playback, live transcript; adapts to persona.</w:t>
            </w:r>
          </w:p>
        </w:tc>
        <w:tc>
          <w:tcPr>
            <w:tcW w:w="2016" w:type="dxa"/>
            <w:shd w:val="clear" w:color="auto" w:fill="F6F3F0"/>
          </w:tcPr>
          <w:p w14:paraId="5777CDDE" w14:textId="77777777" w:rsidR="007C5E23" w:rsidRDefault="00AC238C">
            <w:r>
              <w:rPr>
                <w:sz w:val="18"/>
              </w:rPr>
              <w:t>Functional</w:t>
            </w:r>
          </w:p>
        </w:tc>
        <w:tc>
          <w:tcPr>
            <w:tcW w:w="1584" w:type="dxa"/>
            <w:shd w:val="clear" w:color="auto" w:fill="F6F3F0"/>
          </w:tcPr>
          <w:p w14:paraId="2A2195B1" w14:textId="77777777" w:rsidR="007C5E23" w:rsidRDefault="00AC238C">
            <w:r>
              <w:rPr>
                <w:sz w:val="18"/>
              </w:rPr>
              <w:t>Polished (V1)</w:t>
            </w:r>
          </w:p>
        </w:tc>
      </w:tr>
      <w:tr w:rsidR="007C5E23" w14:paraId="5A2F5FBF" w14:textId="77777777">
        <w:tc>
          <w:tcPr>
            <w:tcW w:w="2016" w:type="dxa"/>
          </w:tcPr>
          <w:p w14:paraId="57B4D9A4" w14:textId="77777777" w:rsidR="007C5E23" w:rsidRDefault="00AC238C">
            <w:r>
              <w:rPr>
                <w:b/>
                <w:sz w:val="18"/>
              </w:rPr>
              <w:t>Partner review</w:t>
            </w:r>
          </w:p>
        </w:tc>
        <w:tc>
          <w:tcPr>
            <w:tcW w:w="3744" w:type="dxa"/>
          </w:tcPr>
          <w:p w14:paraId="500E542D" w14:textId="77777777" w:rsidR="007C5E23" w:rsidRDefault="00AC238C">
            <w:r>
              <w:rPr>
                <w:sz w:val="18"/>
              </w:rPr>
              <w:t>Reviewer views, adjusts, and approves; sees confidence flags.</w:t>
            </w:r>
          </w:p>
        </w:tc>
        <w:tc>
          <w:tcPr>
            <w:tcW w:w="2016" w:type="dxa"/>
          </w:tcPr>
          <w:p w14:paraId="50C015E4" w14:textId="77777777" w:rsidR="007C5E23" w:rsidRDefault="00AC238C">
            <w:r>
              <w:rPr>
                <w:sz w:val="18"/>
              </w:rPr>
              <w:t>Minimal; internal tool acceptable</w:t>
            </w:r>
          </w:p>
        </w:tc>
        <w:tc>
          <w:tcPr>
            <w:tcW w:w="1584" w:type="dxa"/>
          </w:tcPr>
          <w:p w14:paraId="7414B9F8" w14:textId="77777777" w:rsidR="007C5E23" w:rsidRDefault="00AC238C">
            <w:r>
              <w:rPr>
                <w:sz w:val="18"/>
              </w:rPr>
              <w:t>Full interface (V1)</w:t>
            </w:r>
          </w:p>
        </w:tc>
      </w:tr>
      <w:tr w:rsidR="007C5E23" w14:paraId="6FE1672B" w14:textId="77777777">
        <w:tc>
          <w:tcPr>
            <w:tcW w:w="2016" w:type="dxa"/>
            <w:shd w:val="clear" w:color="auto" w:fill="F6F3F0"/>
          </w:tcPr>
          <w:p w14:paraId="6678F794" w14:textId="77777777" w:rsidR="007C5E23" w:rsidRDefault="00AC238C">
            <w:r>
              <w:rPr>
                <w:b/>
                <w:sz w:val="18"/>
              </w:rPr>
              <w:t>Scorecard delivery</w:t>
            </w:r>
          </w:p>
        </w:tc>
        <w:tc>
          <w:tcPr>
            <w:tcW w:w="3744" w:type="dxa"/>
            <w:shd w:val="clear" w:color="auto" w:fill="F6F3F0"/>
          </w:tcPr>
          <w:p w14:paraId="49BED6C3" w14:textId="77777777" w:rsidR="007C5E23" w:rsidRDefault="00AC238C">
            <w:r>
              <w:rPr>
                <w:sz w:val="18"/>
              </w:rPr>
              <w:t>Secure portal link plus the PDF.</w:t>
            </w:r>
          </w:p>
        </w:tc>
        <w:tc>
          <w:tcPr>
            <w:tcW w:w="2016" w:type="dxa"/>
            <w:shd w:val="clear" w:color="auto" w:fill="F6F3F0"/>
          </w:tcPr>
          <w:p w14:paraId="3941C331" w14:textId="77777777" w:rsidR="007C5E23" w:rsidRDefault="00AC238C">
            <w:r>
              <w:rPr>
                <w:sz w:val="18"/>
              </w:rPr>
              <w:t>Link and PDF</w:t>
            </w:r>
          </w:p>
        </w:tc>
        <w:tc>
          <w:tcPr>
            <w:tcW w:w="1584" w:type="dxa"/>
            <w:shd w:val="clear" w:color="auto" w:fill="F6F3F0"/>
          </w:tcPr>
          <w:p w14:paraId="2AEA0C2A" w14:textId="77777777" w:rsidR="007C5E23" w:rsidRDefault="00AC238C">
            <w:r>
              <w:rPr>
                <w:sz w:val="18"/>
              </w:rPr>
              <w:t>Interactive drill-down (V1)</w:t>
            </w:r>
          </w:p>
        </w:tc>
      </w:tr>
    </w:tbl>
    <w:p w14:paraId="353FDA80" w14:textId="77777777" w:rsidR="007C5E23" w:rsidRDefault="007C5E23">
      <w:pPr>
        <w:spacing w:after="40"/>
      </w:pPr>
    </w:p>
    <w:p w14:paraId="6DAE4055" w14:textId="77777777" w:rsidR="007C5E23" w:rsidRDefault="00AC238C">
      <w:pPr>
        <w:spacing w:before="200" w:after="60"/>
      </w:pPr>
      <w:r>
        <w:rPr>
          <w:b/>
          <w:color w:val="0E1020"/>
          <w:sz w:val="25"/>
        </w:rPr>
        <w:t>The MVP UI</w:t>
      </w:r>
    </w:p>
    <w:p w14:paraId="50E6E2EE" w14:textId="77777777" w:rsidR="007C5E23" w:rsidRDefault="00AC238C">
      <w:pPr>
        <w:spacing w:after="140" w:line="283" w:lineRule="auto"/>
      </w:pPr>
      <w:r>
        <w:t xml:space="preserve">Build the basic intake form, the functional chat-and-voice interview interface, a minimal partner review screen, and scorecard delivery by secure link. An internal-tool or low-code approach for intake and partner review is recommended for V0, to save engineering time for the engine and </w:t>
      </w:r>
      <w:r>
        <w:lastRenderedPageBreak/>
        <w:t>scoring. The interview interface is the one surface that must feel good, since it is the product the prospect experiences.</w:t>
      </w:r>
    </w:p>
    <w:p w14:paraId="449CAD96" w14:textId="77777777" w:rsidR="007C5E23" w:rsidRDefault="00AC238C">
      <w:pPr>
        <w:spacing w:before="200" w:after="60"/>
      </w:pPr>
      <w:r>
        <w:rPr>
          <w:b/>
          <w:color w:val="0E1020"/>
          <w:sz w:val="25"/>
        </w:rPr>
        <w:t>Design and brand</w:t>
      </w:r>
    </w:p>
    <w:p w14:paraId="49BC2743" w14:textId="77777777" w:rsidR="007C5E23" w:rsidRDefault="00AC238C">
      <w:pPr>
        <w:spacing w:after="140" w:line="283" w:lineRule="auto"/>
      </w:pPr>
      <w:r>
        <w:t>Apply DXC brand standards: Canvas and White backgrounds, Midnight Blue text, accents for data only, Inter for body and GT Standard L Extended for titles. The scorecard follows Companion 03. The interview interface is calm and minimal so it reads as a conversation, not a survey.</w:t>
      </w:r>
    </w:p>
    <w:p w14:paraId="523B1206" w14:textId="77777777" w:rsidR="007C5E23" w:rsidRDefault="00AC238C">
      <w:pPr>
        <w:spacing w:before="200" w:after="60"/>
      </w:pPr>
      <w:r>
        <w:rPr>
          <w:b/>
          <w:color w:val="0E1020"/>
          <w:sz w:val="25"/>
        </w:rPr>
        <w:t>Accessibility and support</w:t>
      </w:r>
    </w:p>
    <w:p w14:paraId="3F2F6478" w14:textId="77777777" w:rsidR="007C5E23" w:rsidRDefault="00AC238C">
      <w:pPr>
        <w:pStyle w:val="ListBullet"/>
        <w:spacing w:after="60"/>
      </w:pPr>
      <w:r>
        <w:t>Target WCAG 2.1 AA for the public flow at V1; keyboard and screen-reader support.</w:t>
      </w:r>
    </w:p>
    <w:p w14:paraId="182E25D7" w14:textId="77777777" w:rsidR="007C5E23" w:rsidRDefault="00AC238C">
      <w:pPr>
        <w:pStyle w:val="ListBullet"/>
        <w:spacing w:after="60"/>
      </w:pPr>
      <w:r>
        <w:t>Mobile-responsive intake; modern-browser support.</w:t>
      </w:r>
    </w:p>
    <w:p w14:paraId="3D6E5F34" w14:textId="77777777" w:rsidR="007C5E23" w:rsidRDefault="00AC238C">
      <w:pPr>
        <w:pStyle w:val="ListBullet"/>
        <w:spacing w:after="60"/>
      </w:pPr>
      <w:r>
        <w:t>Voice with a chat fallback for environments where voice is not viable.</w:t>
      </w:r>
    </w:p>
    <w:p w14:paraId="4E472D46" w14:textId="77777777" w:rsidR="007C5E23" w:rsidRDefault="00AC238C">
      <w:pPr>
        <w:spacing w:before="200" w:after="60"/>
      </w:pPr>
      <w:r>
        <w:rPr>
          <w:b/>
          <w:color w:val="0E1020"/>
          <w:sz w:val="25"/>
        </w:rPr>
        <w:t>Out of scope for the MVP</w:t>
      </w:r>
    </w:p>
    <w:p w14:paraId="1BA0B90A" w14:textId="77777777" w:rsidR="007C5E23" w:rsidRDefault="00AC238C">
      <w:pPr>
        <w:pStyle w:val="ListBullet"/>
        <w:spacing w:after="60"/>
      </w:pPr>
      <w:r>
        <w:t>The public-polished web flow and the interactive, drill-down scorecard view (V1).</w:t>
      </w:r>
    </w:p>
    <w:p w14:paraId="7FE7699B" w14:textId="77777777" w:rsidR="007C5E23" w:rsidRDefault="00AC238C">
      <w:pPr>
        <w:pStyle w:val="ListBullet"/>
        <w:spacing w:after="60"/>
      </w:pPr>
      <w:r>
        <w:t>Multi-language support (V1.5) and any white-label or embedded variants.</w:t>
      </w:r>
    </w:p>
    <w:p w14:paraId="6BCB4941" w14:textId="77777777" w:rsidR="007C5E23" w:rsidRDefault="00AC238C">
      <w:pPr>
        <w:pBdr>
          <w:bottom w:val="single" w:sz="4" w:space="4" w:color="C9C4BD"/>
        </w:pBdr>
        <w:spacing w:before="300" w:after="100"/>
      </w:pPr>
      <w:r>
        <w:rPr>
          <w:b/>
          <w:color w:val="0E1020"/>
          <w:sz w:val="32"/>
        </w:rPr>
        <w:t>Six Dimensions Framework</w:t>
      </w:r>
    </w:p>
    <w:p w14:paraId="70C63CD2" w14:textId="77777777" w:rsidR="007C5E23" w:rsidRDefault="00AC238C">
      <w:pPr>
        <w:spacing w:after="140" w:line="283" w:lineRule="auto"/>
      </w:pPr>
      <w:r>
        <w:t>The scorecard scores six readiness dimensions, each 0 to 100, combined by weight into an overall score and placed in one of four tiers. V5 broadens the data dimension: Data Foundation becomes Data and Platform, so the technology and platform layer that every major maturity model names is scored explicitly. The full questionnaire and the per-dimension rubrics are specified in Companion 01.</w:t>
      </w:r>
    </w:p>
    <w:p w14:paraId="00182806" w14:textId="77777777" w:rsidR="007C5E23" w:rsidRDefault="00AC238C">
      <w:pPr>
        <w:spacing w:after="140" w:line="283" w:lineRule="auto"/>
      </w:pPr>
      <w:r>
        <w:t>Tier thresholds: Emerging 0-39, Developing 40-59, Established 60-79, Leading 80-100. The overall score is the weighted average of the six dimensions.</w:t>
      </w:r>
    </w:p>
    <w:tbl>
      <w:tblPr>
        <w:tblStyle w:val="TableGrid"/>
        <w:tblW w:w="0" w:type="auto"/>
        <w:tblLook w:val="04A0" w:firstRow="1" w:lastRow="0" w:firstColumn="1" w:lastColumn="0" w:noHBand="0" w:noVBand="1"/>
      </w:tblPr>
      <w:tblGrid>
        <w:gridCol w:w="3021"/>
        <w:gridCol w:w="1008"/>
        <w:gridCol w:w="5321"/>
      </w:tblGrid>
      <w:tr w:rsidR="007C5E23" w14:paraId="450AB403" w14:textId="77777777">
        <w:tc>
          <w:tcPr>
            <w:tcW w:w="3024" w:type="dxa"/>
            <w:shd w:val="clear" w:color="auto" w:fill="0E1020"/>
          </w:tcPr>
          <w:p w14:paraId="39C418AA" w14:textId="77777777" w:rsidR="007C5E23" w:rsidRDefault="00AC238C">
            <w:r>
              <w:rPr>
                <w:b/>
                <w:color w:val="FFFFFF"/>
                <w:sz w:val="18"/>
              </w:rPr>
              <w:t>Dimension</w:t>
            </w:r>
          </w:p>
        </w:tc>
        <w:tc>
          <w:tcPr>
            <w:tcW w:w="1008" w:type="dxa"/>
            <w:shd w:val="clear" w:color="auto" w:fill="0E1020"/>
          </w:tcPr>
          <w:p w14:paraId="32F30B3A" w14:textId="77777777" w:rsidR="007C5E23" w:rsidRDefault="00AC238C">
            <w:r>
              <w:rPr>
                <w:b/>
                <w:color w:val="FFFFFF"/>
                <w:sz w:val="18"/>
              </w:rPr>
              <w:t>Weight</w:t>
            </w:r>
          </w:p>
        </w:tc>
        <w:tc>
          <w:tcPr>
            <w:tcW w:w="5328" w:type="dxa"/>
            <w:shd w:val="clear" w:color="auto" w:fill="0E1020"/>
          </w:tcPr>
          <w:p w14:paraId="31026C8A" w14:textId="77777777" w:rsidR="007C5E23" w:rsidRDefault="00AC238C">
            <w:r>
              <w:rPr>
                <w:b/>
                <w:color w:val="FFFFFF"/>
                <w:sz w:val="18"/>
              </w:rPr>
              <w:t>What it measures</w:t>
            </w:r>
          </w:p>
        </w:tc>
      </w:tr>
      <w:tr w:rsidR="007C5E23" w14:paraId="22C44A64" w14:textId="77777777">
        <w:tc>
          <w:tcPr>
            <w:tcW w:w="3024" w:type="dxa"/>
          </w:tcPr>
          <w:p w14:paraId="46A8B4AD" w14:textId="77777777" w:rsidR="007C5E23" w:rsidRDefault="00AC238C">
            <w:r>
              <w:rPr>
                <w:b/>
                <w:sz w:val="18"/>
              </w:rPr>
              <w:t>Data and Platform</w:t>
            </w:r>
          </w:p>
        </w:tc>
        <w:tc>
          <w:tcPr>
            <w:tcW w:w="1008" w:type="dxa"/>
          </w:tcPr>
          <w:p w14:paraId="512825AA" w14:textId="77777777" w:rsidR="007C5E23" w:rsidRDefault="00AC238C">
            <w:r>
              <w:rPr>
                <w:sz w:val="18"/>
              </w:rPr>
              <w:t>0.20</w:t>
            </w:r>
          </w:p>
        </w:tc>
        <w:tc>
          <w:tcPr>
            <w:tcW w:w="5328" w:type="dxa"/>
          </w:tcPr>
          <w:p w14:paraId="0C39DC47" w14:textId="77777777" w:rsidR="007C5E23" w:rsidRDefault="00AC238C">
            <w:r>
              <w:rPr>
                <w:sz w:val="18"/>
              </w:rPr>
              <w:t>Data readiness, lineage, real-time access, and the document estate, plus the AI platform, control plane, and integration patterns.</w:t>
            </w:r>
          </w:p>
        </w:tc>
      </w:tr>
      <w:tr w:rsidR="007C5E23" w14:paraId="726FE928" w14:textId="77777777">
        <w:tc>
          <w:tcPr>
            <w:tcW w:w="3024" w:type="dxa"/>
            <w:shd w:val="clear" w:color="auto" w:fill="F6F3F0"/>
          </w:tcPr>
          <w:p w14:paraId="5F669373" w14:textId="77777777" w:rsidR="007C5E23" w:rsidRDefault="00AC238C">
            <w:r>
              <w:rPr>
                <w:b/>
                <w:sz w:val="18"/>
              </w:rPr>
              <w:t>Governance Posture</w:t>
            </w:r>
          </w:p>
        </w:tc>
        <w:tc>
          <w:tcPr>
            <w:tcW w:w="1008" w:type="dxa"/>
            <w:shd w:val="clear" w:color="auto" w:fill="F6F3F0"/>
          </w:tcPr>
          <w:p w14:paraId="7D339AA9" w14:textId="77777777" w:rsidR="007C5E23" w:rsidRDefault="00AC238C">
            <w:r>
              <w:rPr>
                <w:sz w:val="18"/>
              </w:rPr>
              <w:t>0.20</w:t>
            </w:r>
          </w:p>
        </w:tc>
        <w:tc>
          <w:tcPr>
            <w:tcW w:w="5328" w:type="dxa"/>
            <w:shd w:val="clear" w:color="auto" w:fill="F6F3F0"/>
          </w:tcPr>
          <w:p w14:paraId="3FC13736" w14:textId="77777777" w:rsidR="007C5E23" w:rsidRDefault="00AC238C">
            <w:r>
              <w:rPr>
                <w:sz w:val="18"/>
              </w:rPr>
              <w:t>AI-specific policy, model governance, accountability, and controls.</w:t>
            </w:r>
          </w:p>
        </w:tc>
      </w:tr>
      <w:tr w:rsidR="007C5E23" w14:paraId="0FDF3CC4" w14:textId="77777777">
        <w:tc>
          <w:tcPr>
            <w:tcW w:w="3024" w:type="dxa"/>
          </w:tcPr>
          <w:p w14:paraId="4A509BDE" w14:textId="77777777" w:rsidR="007C5E23" w:rsidRDefault="00AC238C">
            <w:r>
              <w:rPr>
                <w:b/>
                <w:sz w:val="18"/>
              </w:rPr>
              <w:t>AI Investment Maturity</w:t>
            </w:r>
          </w:p>
        </w:tc>
        <w:tc>
          <w:tcPr>
            <w:tcW w:w="1008" w:type="dxa"/>
          </w:tcPr>
          <w:p w14:paraId="117862B3" w14:textId="77777777" w:rsidR="007C5E23" w:rsidRDefault="00AC238C">
            <w:r>
              <w:rPr>
                <w:sz w:val="18"/>
              </w:rPr>
              <w:t>0.18</w:t>
            </w:r>
          </w:p>
        </w:tc>
        <w:tc>
          <w:tcPr>
            <w:tcW w:w="5328" w:type="dxa"/>
          </w:tcPr>
          <w:p w14:paraId="526F38B4" w14:textId="77777777" w:rsidR="007C5E23" w:rsidRDefault="00AC238C">
            <w:r>
              <w:rPr>
                <w:sz w:val="18"/>
              </w:rPr>
              <w:t>Initiatives in production, funding discipline, and track record.</w:t>
            </w:r>
          </w:p>
        </w:tc>
      </w:tr>
      <w:tr w:rsidR="007C5E23" w14:paraId="7BD04A36" w14:textId="77777777">
        <w:tc>
          <w:tcPr>
            <w:tcW w:w="3024" w:type="dxa"/>
            <w:shd w:val="clear" w:color="auto" w:fill="F6F3F0"/>
          </w:tcPr>
          <w:p w14:paraId="022AE9D9" w14:textId="77777777" w:rsidR="007C5E23" w:rsidRDefault="00AC238C">
            <w:r>
              <w:rPr>
                <w:b/>
                <w:sz w:val="18"/>
              </w:rPr>
              <w:t>Organizational Change Readiness</w:t>
            </w:r>
          </w:p>
        </w:tc>
        <w:tc>
          <w:tcPr>
            <w:tcW w:w="1008" w:type="dxa"/>
            <w:shd w:val="clear" w:color="auto" w:fill="F6F3F0"/>
          </w:tcPr>
          <w:p w14:paraId="4359D79D" w14:textId="77777777" w:rsidR="007C5E23" w:rsidRDefault="00AC238C">
            <w:r>
              <w:rPr>
                <w:sz w:val="18"/>
              </w:rPr>
              <w:t>0.15</w:t>
            </w:r>
          </w:p>
        </w:tc>
        <w:tc>
          <w:tcPr>
            <w:tcW w:w="5328" w:type="dxa"/>
            <w:shd w:val="clear" w:color="auto" w:fill="F6F3F0"/>
          </w:tcPr>
          <w:p w14:paraId="68B17B33" w14:textId="77777777" w:rsidR="007C5E23" w:rsidRDefault="00AC238C">
            <w:r>
              <w:rPr>
                <w:sz w:val="18"/>
              </w:rPr>
              <w:t>Roles, operating model, adoption, and culture.</w:t>
            </w:r>
          </w:p>
        </w:tc>
      </w:tr>
      <w:tr w:rsidR="007C5E23" w14:paraId="087484DD" w14:textId="77777777">
        <w:tc>
          <w:tcPr>
            <w:tcW w:w="3024" w:type="dxa"/>
          </w:tcPr>
          <w:p w14:paraId="00BBEF09" w14:textId="77777777" w:rsidR="007C5E23" w:rsidRDefault="00AC238C">
            <w:r>
              <w:rPr>
                <w:b/>
                <w:sz w:val="18"/>
              </w:rPr>
              <w:t>Value-Pocket Clarity</w:t>
            </w:r>
          </w:p>
        </w:tc>
        <w:tc>
          <w:tcPr>
            <w:tcW w:w="1008" w:type="dxa"/>
          </w:tcPr>
          <w:p w14:paraId="44CDD1A9" w14:textId="77777777" w:rsidR="007C5E23" w:rsidRDefault="00AC238C">
            <w:r>
              <w:rPr>
                <w:sz w:val="18"/>
              </w:rPr>
              <w:t>0.17</w:t>
            </w:r>
          </w:p>
        </w:tc>
        <w:tc>
          <w:tcPr>
            <w:tcW w:w="5328" w:type="dxa"/>
          </w:tcPr>
          <w:p w14:paraId="26F10C60" w14:textId="77777777" w:rsidR="007C5E23" w:rsidRDefault="00AC238C">
            <w:r>
              <w:rPr>
                <w:sz w:val="18"/>
              </w:rPr>
              <w:t>Clarity of identified value pockets and the rigor of the business cases.</w:t>
            </w:r>
          </w:p>
        </w:tc>
      </w:tr>
      <w:tr w:rsidR="007C5E23" w14:paraId="2ED7AC65" w14:textId="77777777">
        <w:tc>
          <w:tcPr>
            <w:tcW w:w="3024" w:type="dxa"/>
            <w:shd w:val="clear" w:color="auto" w:fill="F6F3F0"/>
          </w:tcPr>
          <w:p w14:paraId="7919B86C" w14:textId="77777777" w:rsidR="007C5E23" w:rsidRDefault="00AC238C">
            <w:r>
              <w:rPr>
                <w:b/>
                <w:sz w:val="18"/>
              </w:rPr>
              <w:t>Regulatory Complexity</w:t>
            </w:r>
          </w:p>
        </w:tc>
        <w:tc>
          <w:tcPr>
            <w:tcW w:w="1008" w:type="dxa"/>
            <w:shd w:val="clear" w:color="auto" w:fill="F6F3F0"/>
          </w:tcPr>
          <w:p w14:paraId="6AC4F288" w14:textId="77777777" w:rsidR="007C5E23" w:rsidRDefault="00AC238C">
            <w:r>
              <w:rPr>
                <w:sz w:val="18"/>
              </w:rPr>
              <w:t>0.10</w:t>
            </w:r>
          </w:p>
        </w:tc>
        <w:tc>
          <w:tcPr>
            <w:tcW w:w="5328" w:type="dxa"/>
            <w:shd w:val="clear" w:color="auto" w:fill="F6F3F0"/>
          </w:tcPr>
          <w:p w14:paraId="20992972" w14:textId="77777777" w:rsidR="007C5E23" w:rsidRDefault="00AC238C">
            <w:r>
              <w:rPr>
                <w:sz w:val="18"/>
              </w:rPr>
              <w:t>Regulatory readiness scored as maturity; inherent complexity treated as context.</w:t>
            </w:r>
          </w:p>
        </w:tc>
      </w:tr>
    </w:tbl>
    <w:p w14:paraId="22FD5817" w14:textId="77777777" w:rsidR="007C5E23" w:rsidRDefault="007C5E23">
      <w:pPr>
        <w:spacing w:after="40"/>
      </w:pPr>
    </w:p>
    <w:p w14:paraId="6C292313" w14:textId="77777777" w:rsidR="007C5E23" w:rsidRDefault="00AC238C">
      <w:pPr>
        <w:spacing w:before="200" w:after="60"/>
      </w:pPr>
      <w:r>
        <w:rPr>
          <w:b/>
          <w:color w:val="0E1020"/>
          <w:sz w:val="25"/>
        </w:rPr>
        <w:t>Data and Platform, the broadened dimension</w:t>
      </w:r>
    </w:p>
    <w:p w14:paraId="01337D01" w14:textId="77777777" w:rsidR="007C5E23" w:rsidRDefault="00AC238C">
      <w:pPr>
        <w:spacing w:after="140" w:line="283" w:lineRule="auto"/>
      </w:pPr>
      <w:r>
        <w:t>AWS CAF for AI and MIT CISR house technology with data; other models keep it adjacent. V5 follows the combined placement. The dimension's rubric covers data readiness and the platform layer together: the AI platform, the agent control plane, MLOps and GenAIOps practice, and integration patterns. The content is the same as a standalone technology dimension would carry; only the placement differs, which keeps the set at six.</w:t>
      </w:r>
    </w:p>
    <w:p w14:paraId="2F4F2E76" w14:textId="77777777" w:rsidR="007C5E23" w:rsidRDefault="00AC238C">
      <w:pPr>
        <w:spacing w:before="200" w:after="60"/>
      </w:pPr>
      <w:r>
        <w:rPr>
          <w:b/>
          <w:color w:val="0E1020"/>
          <w:sz w:val="25"/>
        </w:rPr>
        <w:lastRenderedPageBreak/>
        <w:t>Value-Pocket Clarity, grounded in APR</w:t>
      </w:r>
    </w:p>
    <w:p w14:paraId="0BB626F5" w14:textId="77777777" w:rsidR="007C5E23" w:rsidRDefault="00AC238C">
      <w:pPr>
        <w:spacing w:after="140" w:line="283" w:lineRule="auto"/>
      </w:pPr>
      <w:r>
        <w:t>Defined using APR's own term. A value pocket is a specific sub-step or decision point where AI creates value. The dimension scores how clearly the client has identified its value pockets and how rigorous the business cases are. It is not a use-case checklist and not a tool-selection question. Borrowing the APR definition ties the free read to the paid method.</w:t>
      </w:r>
    </w:p>
    <w:p w14:paraId="66014BEC" w14:textId="77777777" w:rsidR="007C5E23" w:rsidRDefault="00AC238C">
      <w:pPr>
        <w:spacing w:before="200" w:after="60"/>
      </w:pPr>
      <w:r>
        <w:rPr>
          <w:b/>
          <w:color w:val="0E1020"/>
          <w:sz w:val="25"/>
        </w:rPr>
        <w:t>Regulatory Complexity, two senses kept apart</w:t>
      </w:r>
    </w:p>
    <w:p w14:paraId="5ACA86CB" w14:textId="77777777" w:rsidR="007C5E23" w:rsidRDefault="00AC238C">
      <w:pPr>
        <w:spacing w:after="140" w:line="283" w:lineRule="auto"/>
      </w:pPr>
      <w:r>
        <w:t>The dimension holds two different things. Score regulatory readiness as a maturity the client can improve. Treat the inherent complexity of the environment as context that shapes sequencing, not a maturity penalty. The scorecard states which is which, so a heavily regulated client is not marked down for operating in a hard environment.</w:t>
      </w:r>
    </w:p>
    <w:p w14:paraId="26A20B0A" w14:textId="77777777" w:rsidR="007C5E23" w:rsidRDefault="00AC238C">
      <w:pPr>
        <w:spacing w:before="200" w:after="60"/>
      </w:pPr>
      <w:r>
        <w:rPr>
          <w:b/>
          <w:color w:val="0E1020"/>
          <w:sz w:val="25"/>
        </w:rPr>
        <w:t>Three frameworks, kept distinct</w:t>
      </w:r>
    </w:p>
    <w:p w14:paraId="318E4AB0" w14:textId="77777777" w:rsidR="007C5E23" w:rsidRDefault="00AC238C">
      <w:pPr>
        <w:spacing w:after="140" w:line="283" w:lineRule="auto"/>
      </w:pPr>
      <w:r>
        <w:t>There are three six-part frameworks in the canon, and they must never be conflated. The Diagnostic's six readiness dimensions answer how ready the organization is. APR's six Transformation Candidacy dimensions answer whether a given process is worth transforming. APR's six Domains of Agentic Change describe the scope of change in a reinvention. These are the readiness dimensions, distinct from the other two.</w:t>
      </w:r>
    </w:p>
    <w:p w14:paraId="3AD4036D" w14:textId="77777777" w:rsidR="007C5E23" w:rsidRDefault="00AC238C">
      <w:pPr>
        <w:spacing w:before="200" w:after="60"/>
      </w:pPr>
      <w:r>
        <w:rPr>
          <w:b/>
          <w:color w:val="0E1020"/>
          <w:sz w:val="25"/>
        </w:rPr>
        <w:t>Transparency</w:t>
      </w:r>
    </w:p>
    <w:p w14:paraId="72943CFE" w14:textId="77777777" w:rsidR="007C5E23" w:rsidRDefault="00AC238C">
      <w:pPr>
        <w:spacing w:after="140" w:line="283" w:lineRule="auto"/>
      </w:pPr>
      <w:r>
        <w:t>Publish the per-dimension sub-scores and the score-to-tier bands, and show the derivation. Scores are presented as integers with a tier, never as a single bare percentage and never with decimal precision. Opacity and false precision are the standard critiques of a 0-100 system, and showing the derivation answers both.</w:t>
      </w:r>
    </w:p>
    <w:p w14:paraId="3BF4D8A8" w14:textId="77777777" w:rsidR="007C5E23" w:rsidRDefault="00AC238C">
      <w:pPr>
        <w:pBdr>
          <w:bottom w:val="single" w:sz="4" w:space="4" w:color="C9C4BD"/>
        </w:pBdr>
        <w:spacing w:before="300" w:after="100"/>
      </w:pPr>
      <w:r>
        <w:rPr>
          <w:b/>
          <w:color w:val="0E1020"/>
          <w:sz w:val="32"/>
        </w:rPr>
        <w:t>Accuracy and Calibration</w:t>
      </w:r>
    </w:p>
    <w:p w14:paraId="3B286C97" w14:textId="77777777" w:rsidR="007C5E23" w:rsidRDefault="00AC238C">
      <w:pPr>
        <w:spacing w:after="140" w:line="283" w:lineRule="auto"/>
      </w:pPr>
      <w:r>
        <w:t>Accuracy is the property the whole funnel rests on. A scorecard the client does not believe, or that a partner cannot defend, breaks the trust the model depends on. The mechanisms here are grounded in the companion research brief, Diagnostic Accuracy and Data Sources.</w:t>
      </w:r>
    </w:p>
    <w:p w14:paraId="18DAA23E" w14:textId="77777777" w:rsidR="007C5E23" w:rsidRDefault="00AC238C">
      <w:pPr>
        <w:spacing w:before="200" w:after="60"/>
      </w:pPr>
      <w:r>
        <w:rPr>
          <w:b/>
          <w:color w:val="0E1020"/>
          <w:sz w:val="25"/>
        </w:rPr>
        <w:t>Rubric-anchored scoring</w:t>
      </w:r>
    </w:p>
    <w:p w14:paraId="168EDFA5" w14:textId="77777777" w:rsidR="007C5E23" w:rsidRDefault="00AC238C">
      <w:pPr>
        <w:spacing w:after="140" w:line="283" w:lineRule="auto"/>
      </w:pPr>
      <w:r>
        <w:t>Each objective is scored against anchored exemplars for every band, so scoring reflects evidence rather than impression. The scorer states its evidence and reasoning before it emits a number. The rubric discipline is borrowed from APR's ASSESS scoring.</w:t>
      </w:r>
    </w:p>
    <w:p w14:paraId="02267C7C" w14:textId="77777777" w:rsidR="007C5E23" w:rsidRDefault="00AC238C">
      <w:pPr>
        <w:spacing w:before="200" w:after="60"/>
      </w:pPr>
      <w:r>
        <w:rPr>
          <w:b/>
          <w:color w:val="0E1020"/>
          <w:sz w:val="25"/>
        </w:rPr>
        <w:t>Triangulation</w:t>
      </w:r>
    </w:p>
    <w:p w14:paraId="198255B9" w14:textId="77777777" w:rsidR="007C5E23" w:rsidRDefault="00AC238C">
      <w:pPr>
        <w:spacing w:after="140" w:line="283" w:lineRule="auto"/>
      </w:pPr>
      <w:r>
        <w:t>Three sources combine: the interview (what the respondent says), public signals from research (filings, news, tech-stack, and later competitor and regulatory), and the benchmark (where peers sit). Self-report is checked against external signal, so the read is not a self-scored form.</w:t>
      </w:r>
    </w:p>
    <w:p w14:paraId="381F6849" w14:textId="77777777" w:rsidR="007C5E23" w:rsidRDefault="00AC238C">
      <w:pPr>
        <w:spacing w:before="200" w:after="60"/>
      </w:pPr>
      <w:r>
        <w:rPr>
          <w:b/>
          <w:color w:val="0E1020"/>
          <w:sz w:val="25"/>
        </w:rPr>
        <w:t>Per-objective confidence</w:t>
      </w:r>
    </w:p>
    <w:p w14:paraId="27F08D57" w14:textId="77777777" w:rsidR="007C5E23" w:rsidRDefault="00AC238C">
      <w:pPr>
        <w:spacing w:after="140" w:line="283" w:lineRule="auto"/>
      </w:pPr>
      <w:r>
        <w:lastRenderedPageBreak/>
        <w:t>Every objective carries a confidence from 0.0 to 1.0. Low-confidence objectives are flagged for partner attention and noted on the scorecard. Peer position is banded, not precise, while the benchmark sample is thin.</w:t>
      </w:r>
    </w:p>
    <w:p w14:paraId="526B0DC2" w14:textId="77777777" w:rsidR="007C5E23" w:rsidRDefault="00AC238C">
      <w:pPr>
        <w:spacing w:before="200" w:after="60"/>
      </w:pPr>
      <w:r>
        <w:rPr>
          <w:b/>
          <w:color w:val="0E1020"/>
          <w:sz w:val="25"/>
        </w:rPr>
        <w:t>Consistency controls</w:t>
      </w:r>
    </w:p>
    <w:p w14:paraId="6FFBAC6E" w14:textId="77777777" w:rsidR="007C5E23" w:rsidRDefault="00AC238C">
      <w:pPr>
        <w:pStyle w:val="ListBullet"/>
        <w:spacing w:after="60"/>
      </w:pPr>
      <w:r>
        <w:t>Low decoding temperature for scoring, and multi-sample scoring where a dimension is close to a tier boundary.</w:t>
      </w:r>
    </w:p>
    <w:p w14:paraId="2512F9D0" w14:textId="77777777" w:rsidR="007C5E23" w:rsidRDefault="00AC238C">
      <w:pPr>
        <w:pStyle w:val="ListBullet"/>
        <w:spacing w:after="60"/>
      </w:pPr>
      <w:r>
        <w:t>A cross-family judge check on a sample of scores, to catch single-model drift.</w:t>
      </w:r>
    </w:p>
    <w:p w14:paraId="64067228" w14:textId="77777777" w:rsidR="007C5E23" w:rsidRDefault="00AC238C">
      <w:pPr>
        <w:pStyle w:val="ListBullet"/>
        <w:spacing w:after="60"/>
      </w:pPr>
      <w:r>
        <w:t>A verbosity-bias guard, so longer answers do not score higher by length alone.</w:t>
      </w:r>
    </w:p>
    <w:p w14:paraId="66566150" w14:textId="77777777" w:rsidR="007C5E23" w:rsidRDefault="00AC238C">
      <w:pPr>
        <w:pStyle w:val="ListBullet"/>
        <w:spacing w:after="60"/>
      </w:pPr>
      <w:r>
        <w:t>Relative scoring against the benchmark, not just absolute, so the read is calibrated to peers.</w:t>
      </w:r>
    </w:p>
    <w:p w14:paraId="1AE032C6" w14:textId="77777777" w:rsidR="007C5E23" w:rsidRDefault="00AC238C">
      <w:pPr>
        <w:spacing w:before="200" w:after="60"/>
      </w:pPr>
      <w:r>
        <w:rPr>
          <w:b/>
          <w:color w:val="0E1020"/>
          <w:sz w:val="25"/>
        </w:rPr>
        <w:t>Calibration and proof</w:t>
      </w:r>
    </w:p>
    <w:p w14:paraId="2608A14F" w14:textId="77777777" w:rsidR="007C5E23" w:rsidRDefault="00AC238C">
      <w:pPr>
        <w:spacing w:after="140" w:line="283" w:lineRule="auto"/>
      </w:pPr>
      <w:r>
        <w:t>Build a human gold set of 100 to 200 interviews scored by senior advisors. Target weighted kappa above 0.6 between the engine and the gold set. Report prediction intervals, not just point scores. Monitor drift over time. Long term, validate against outcomes by tying realized delivery KPIs back to the dimensions to prove predictive validity.</w:t>
      </w:r>
    </w:p>
    <w:p w14:paraId="34212333" w14:textId="77777777" w:rsidR="007C5E23" w:rsidRDefault="00AC238C">
      <w:pPr>
        <w:spacing w:before="200" w:after="60"/>
      </w:pPr>
      <w:r>
        <w:rPr>
          <w:b/>
          <w:color w:val="0E1020"/>
          <w:sz w:val="25"/>
        </w:rPr>
        <w:t>The human gate</w:t>
      </w:r>
    </w:p>
    <w:p w14:paraId="76502AA6" w14:textId="77777777" w:rsidR="007C5E23" w:rsidRDefault="00AC238C">
      <w:pPr>
        <w:spacing w:after="140" w:line="283" w:lineRule="auto"/>
      </w:pPr>
      <w:r>
        <w:t>A senior partner reviews every scorecard before delivery. High-confidence outputs move with lighter review while partners concentrate on the low-confidence ones. A confidence-threshold path to automated approval for the highest-confidence outputs is a later-phase item that protects throughput as volume grows. There is no human in the loop during the interview itself.</w:t>
      </w:r>
    </w:p>
    <w:p w14:paraId="7C811B4F" w14:textId="77777777" w:rsidR="007C5E23" w:rsidRDefault="00AC238C">
      <w:pPr>
        <w:pBdr>
          <w:bottom w:val="single" w:sz="4" w:space="4" w:color="C9C4BD"/>
        </w:pBdr>
        <w:spacing w:before="300" w:after="100"/>
      </w:pPr>
      <w:r>
        <w:rPr>
          <w:b/>
          <w:color w:val="0E1020"/>
          <w:sz w:val="32"/>
        </w:rPr>
        <w:t>APR Grounding</w:t>
      </w:r>
    </w:p>
    <w:p w14:paraId="0001B365" w14:textId="77777777" w:rsidR="007C5E23" w:rsidRDefault="00AC238C">
      <w:pPr>
        <w:spacing w:after="140" w:line="283" w:lineRule="auto"/>
      </w:pPr>
      <w:r>
        <w:t>APR, Agentic Process Reinvention, is the AdvisoryX practice methodology the Diagnostic fronts. The relationship is source and destination, not shared scoring. The engine harvests content and discipline from APR and points to APR as the paid next step. It does not adopt APR's process-level scoring for an organizational readiness read.</w:t>
      </w:r>
    </w:p>
    <w:p w14:paraId="5C4BC962" w14:textId="77777777" w:rsidR="007C5E23" w:rsidRDefault="00AC238C">
      <w:pPr>
        <w:spacing w:before="200" w:after="60"/>
      </w:pPr>
      <w:r>
        <w:rPr>
          <w:b/>
          <w:color w:val="0E1020"/>
          <w:sz w:val="25"/>
        </w:rPr>
        <w:t>What the engine takes from APR</w:t>
      </w:r>
    </w:p>
    <w:p w14:paraId="6279AE6F" w14:textId="77777777" w:rsidR="007C5E23" w:rsidRDefault="00AC238C">
      <w:pPr>
        <w:pStyle w:val="ListBullet"/>
        <w:spacing w:after="60"/>
      </w:pPr>
      <w:r>
        <w:t>The value-pocket definition, used directly for Value-Pocket Clarity.</w:t>
      </w:r>
    </w:p>
    <w:p w14:paraId="7125CD5C" w14:textId="77777777" w:rsidR="007C5E23" w:rsidRDefault="00AC238C">
      <w:pPr>
        <w:pStyle w:val="ListBullet"/>
        <w:spacing w:after="60"/>
      </w:pPr>
      <w:r>
        <w:t>The evidence-anchored rubric discipline from APR ASSESS scoring, used for the six dimension rubrics.</w:t>
      </w:r>
    </w:p>
    <w:p w14:paraId="524437FC" w14:textId="77777777" w:rsidR="007C5E23" w:rsidRDefault="00AC238C">
      <w:pPr>
        <w:pStyle w:val="ListBullet"/>
        <w:spacing w:after="60"/>
      </w:pPr>
      <w:r>
        <w:t>The APR playbook library as content, seeding the industry patterns (SYN1) and the quick-wins library (SYN3) rather than authoring from scratch.</w:t>
      </w:r>
    </w:p>
    <w:p w14:paraId="1E24983D" w14:textId="77777777" w:rsidR="007C5E23" w:rsidRDefault="00AC238C">
      <w:pPr>
        <w:pStyle w:val="ListBullet"/>
        <w:spacing w:after="60"/>
      </w:pPr>
      <w:r>
        <w:t>The anti-pattern language (paving cow paths, the governance gap) as findings language and question signal, not a second score.</w:t>
      </w:r>
    </w:p>
    <w:p w14:paraId="7CF11FE4" w14:textId="77777777" w:rsidR="007C5E23" w:rsidRDefault="00AC238C">
      <w:pPr>
        <w:pStyle w:val="ListBullet"/>
        <w:spacing w:after="60"/>
      </w:pPr>
      <w:r>
        <w:t>The four reinvention archetypes (Accelerate, Restructure, Retire, Invent) for light tagging of quick wins. They are process-level, so they stay out of the organization-level scoring.</w:t>
      </w:r>
    </w:p>
    <w:p w14:paraId="496175D3" w14:textId="77777777" w:rsidR="007C5E23" w:rsidRDefault="00AC238C">
      <w:pPr>
        <w:spacing w:before="200" w:after="60"/>
      </w:pPr>
      <w:r>
        <w:rPr>
          <w:b/>
          <w:color w:val="0E1020"/>
          <w:sz w:val="25"/>
        </w:rPr>
        <w:t>What it does not take from APR</w:t>
      </w:r>
    </w:p>
    <w:p w14:paraId="3AF1ED34" w14:textId="77777777" w:rsidR="007C5E23" w:rsidRDefault="00AC238C">
      <w:pPr>
        <w:pStyle w:val="ListBullet"/>
        <w:spacing w:after="60"/>
      </w:pPr>
      <w:r>
        <w:lastRenderedPageBreak/>
        <w:t>The Transformation Candidacy Score. It scores processes 1 to 5 across three bands. The Diagnostic scores organizational readiness 0 to 100 across four tiers. Different question, unit, and scale.</w:t>
      </w:r>
    </w:p>
    <w:p w14:paraId="6E25BDA7" w14:textId="77777777" w:rsidR="007C5E23" w:rsidRDefault="00AC238C">
      <w:pPr>
        <w:pStyle w:val="ListBullet"/>
        <w:spacing w:after="60"/>
      </w:pPr>
      <w:r>
        <w:t>The three evidence streams (process mining, interviews at stakeholder scale, workshops). These are ASSESS-depth inputs; the Diagnostic uses a questionnaire and public-signal research.</w:t>
      </w:r>
    </w:p>
    <w:p w14:paraId="38E9A0BC" w14:textId="77777777" w:rsidR="007C5E23" w:rsidRDefault="00AC238C">
      <w:pPr>
        <w:spacing w:before="200" w:after="60"/>
      </w:pPr>
      <w:r>
        <w:rPr>
          <w:b/>
          <w:color w:val="0E1020"/>
          <w:sz w:val="25"/>
        </w:rPr>
        <w:t>APR ASSESS as the paid next step</w:t>
      </w:r>
    </w:p>
    <w:p w14:paraId="75C829E1" w14:textId="77777777" w:rsidR="007C5E23" w:rsidRDefault="00AC238C">
      <w:pPr>
        <w:spacing w:after="140" w:line="283" w:lineRule="auto"/>
      </w:pPr>
      <w:r>
        <w:t>APR's ASSESS phase, four to six weeks and practitioner-led, is the deeper assessment the funnel points to. The chain is: the complimentary scorecard, then the complimentary AI value proof on the client's own data, then paid APR ASSESS, then ARCHITECT and ACTIVATE delivery. On the client-facing scorecard, APR IP stays in neutral, standards-aligned terms. APR is the engine behind the read, not a label on it.</w:t>
      </w:r>
    </w:p>
    <w:p w14:paraId="1AFB97EC" w14:textId="77777777" w:rsidR="007C5E23" w:rsidRDefault="00AC238C">
      <w:pPr>
        <w:pBdr>
          <w:bottom w:val="single" w:sz="4" w:space="4" w:color="C9C4BD"/>
        </w:pBdr>
        <w:spacing w:before="300" w:after="100"/>
      </w:pPr>
      <w:r>
        <w:rPr>
          <w:b/>
          <w:color w:val="0E1020"/>
          <w:sz w:val="32"/>
        </w:rPr>
        <w:t>Data Sources</w:t>
      </w:r>
    </w:p>
    <w:p w14:paraId="410003E3" w14:textId="77777777" w:rsidR="007C5E23" w:rsidRDefault="00AC238C">
      <w:pPr>
        <w:spacing w:after="140" w:line="283" w:lineRule="auto"/>
      </w:pPr>
      <w:r>
        <w:t>Start free where the API is open and product use is allowed, then add the paid differentiators. Full source detail is in the companion research brief.</w:t>
      </w:r>
    </w:p>
    <w:p w14:paraId="38A1FC6C" w14:textId="77777777" w:rsidR="007C5E23" w:rsidRDefault="00AC238C">
      <w:pPr>
        <w:spacing w:before="200" w:after="60"/>
      </w:pPr>
      <w:r>
        <w:rPr>
          <w:b/>
          <w:color w:val="0E1020"/>
          <w:sz w:val="25"/>
        </w:rPr>
        <w:t>Tier 1, free, start now</w:t>
      </w:r>
    </w:p>
    <w:p w14:paraId="395D96B9" w14:textId="77777777" w:rsidR="007C5E23" w:rsidRDefault="00AC238C">
      <w:pPr>
        <w:pStyle w:val="ListBullet"/>
        <w:spacing w:after="60"/>
      </w:pPr>
      <w:r>
        <w:t>SEC EDGAR for public filings. Open API, product use permitted.</w:t>
      </w:r>
    </w:p>
    <w:p w14:paraId="566C08BA" w14:textId="77777777" w:rsidR="007C5E23" w:rsidRDefault="00AC238C">
      <w:pPr>
        <w:pStyle w:val="ListBullet"/>
        <w:spacing w:after="60"/>
      </w:pPr>
      <w:r>
        <w:t>GDELT for news and events. Open API.</w:t>
      </w:r>
    </w:p>
    <w:p w14:paraId="0997B964" w14:textId="77777777" w:rsidR="007C5E23" w:rsidRDefault="00AC238C">
      <w:pPr>
        <w:spacing w:before="200" w:after="60"/>
      </w:pPr>
      <w:r>
        <w:rPr>
          <w:b/>
          <w:color w:val="0E1020"/>
          <w:sz w:val="25"/>
        </w:rPr>
        <w:t>Tier 2, paid differentiators</w:t>
      </w:r>
    </w:p>
    <w:p w14:paraId="1CAFE16F" w14:textId="77777777" w:rsidR="007C5E23" w:rsidRDefault="00AC238C">
      <w:pPr>
        <w:pStyle w:val="ListBullet"/>
        <w:spacing w:after="60"/>
      </w:pPr>
      <w:r>
        <w:t>Tech-stack detection from public signals.</w:t>
      </w:r>
    </w:p>
    <w:p w14:paraId="22682A54" w14:textId="77777777" w:rsidR="007C5E23" w:rsidRDefault="00AC238C">
      <w:pPr>
        <w:pStyle w:val="ListBullet"/>
        <w:spacing w:after="60"/>
      </w:pPr>
      <w:r>
        <w:t>A job-postings feed from a licensed aggregator. AI, data, and ML hiring is among the strongest leading indicators of real investment.</w:t>
      </w:r>
    </w:p>
    <w:p w14:paraId="112CAB8A" w14:textId="77777777" w:rsidR="007C5E23" w:rsidRDefault="00AC238C">
      <w:pPr>
        <w:spacing w:before="200" w:after="60"/>
      </w:pPr>
      <w:r>
        <w:rPr>
          <w:b/>
          <w:color w:val="0E1020"/>
          <w:sz w:val="25"/>
        </w:rPr>
        <w:t>Constraints</w:t>
      </w:r>
    </w:p>
    <w:p w14:paraId="79BD8A7F" w14:textId="77777777" w:rsidR="007C5E23" w:rsidRDefault="00AC238C">
      <w:pPr>
        <w:pStyle w:val="ListBullet"/>
        <w:spacing w:after="60"/>
      </w:pPr>
      <w:r>
        <w:t>Premium transcript and research platforms cannot be embedded in a product on their licensing.</w:t>
      </w:r>
    </w:p>
    <w:p w14:paraId="77772145" w14:textId="77777777" w:rsidR="007C5E23" w:rsidRDefault="00AC238C">
      <w:pPr>
        <w:pStyle w:val="ListBullet"/>
        <w:spacing w:after="60"/>
      </w:pPr>
      <w:r>
        <w:t>LinkedIn and Indeed are closed for queryable jobs data; use a licensed aggregator instead.</w:t>
      </w:r>
    </w:p>
    <w:p w14:paraId="30444D14" w14:textId="77777777" w:rsidR="007C5E23" w:rsidRDefault="00AC238C">
      <w:pPr>
        <w:pStyle w:val="ListBullet"/>
        <w:spacing w:after="60"/>
      </w:pPr>
      <w:r>
        <w:t>Confirm licensing and redistribution terms for every source before V0, including SEC EDGAR, GDELT, and the Tier 2 vendors.</w:t>
      </w:r>
    </w:p>
    <w:p w14:paraId="474DB93A" w14:textId="77777777" w:rsidR="007C5E23" w:rsidRDefault="00AC238C">
      <w:pPr>
        <w:pBdr>
          <w:bottom w:val="single" w:sz="4" w:space="4" w:color="C9C4BD"/>
        </w:pBdr>
        <w:spacing w:before="300" w:after="100"/>
      </w:pPr>
      <w:r>
        <w:rPr>
          <w:b/>
          <w:color w:val="0E1020"/>
          <w:sz w:val="32"/>
        </w:rPr>
        <w:t>Output Artifacts</w:t>
      </w:r>
    </w:p>
    <w:p w14:paraId="0BC7D26C" w14:textId="77777777" w:rsidR="007C5E23" w:rsidRDefault="00AC238C">
      <w:pPr>
        <w:spacing w:after="140" w:line="283" w:lineRule="auto"/>
      </w:pPr>
      <w:r>
        <w:t>The deliverable is a one-page scorecard PDF with a findings appendix. Full visual layout, brand application, and three populated demo scenarios are specified in Companion 03.</w:t>
      </w:r>
    </w:p>
    <w:p w14:paraId="0BE01F60" w14:textId="77777777" w:rsidR="007C5E23" w:rsidRDefault="00AC238C">
      <w:pPr>
        <w:spacing w:before="200" w:after="60"/>
      </w:pPr>
      <w:r>
        <w:rPr>
          <w:b/>
          <w:color w:val="0E1020"/>
          <w:sz w:val="25"/>
        </w:rPr>
        <w:t>Scorecard layout</w:t>
      </w:r>
    </w:p>
    <w:p w14:paraId="30206ACF" w14:textId="77777777" w:rsidR="007C5E23" w:rsidRDefault="00AC238C">
      <w:pPr>
        <w:spacing w:after="140" w:line="283" w:lineRule="auto"/>
      </w:pPr>
      <w:r>
        <w:t>Five sections plus support: a header; an overall summary with the score and tier; the six-dimension hexagonal radar with the client placed against the peer benchmark; a strengths-and-gaps block; headline findings with one representative, role-attributed quote; the value-difficulty 2x2; a quick-wins memo; and a walled recommendation panel. The findings appendix runs five to eight pages.</w:t>
      </w:r>
    </w:p>
    <w:p w14:paraId="66AE653B" w14:textId="77777777" w:rsidR="007C5E23" w:rsidRDefault="00AC238C">
      <w:pPr>
        <w:spacing w:before="200" w:after="60"/>
      </w:pPr>
      <w:r>
        <w:rPr>
          <w:b/>
          <w:color w:val="0E1020"/>
          <w:sz w:val="25"/>
        </w:rPr>
        <w:lastRenderedPageBreak/>
        <w:t>Free-output design rules</w:t>
      </w:r>
    </w:p>
    <w:p w14:paraId="4B6E8710" w14:textId="77777777" w:rsidR="007C5E23" w:rsidRDefault="00AC238C">
      <w:pPr>
        <w:pStyle w:val="ListBullet"/>
        <w:spacing w:after="60"/>
      </w:pPr>
      <w:r>
        <w:rPr>
          <w:b/>
          <w:color w:val="0E1020"/>
        </w:rPr>
        <w:t xml:space="preserve">Wall the recommendation. </w:t>
      </w:r>
      <w:r>
        <w:t>Separate the assessment from the recommendation. The score, peer position, findings, and first moves stand alone. The DXC recommendation is one labeled, walled-off panel.</w:t>
      </w:r>
    </w:p>
    <w:p w14:paraId="6A40499A" w14:textId="77777777" w:rsidR="007C5E23" w:rsidRDefault="00AC238C">
      <w:pPr>
        <w:pStyle w:val="ListBullet"/>
        <w:spacing w:after="60"/>
      </w:pPr>
      <w:r>
        <w:rPr>
          <w:b/>
          <w:color w:val="0E1020"/>
        </w:rPr>
        <w:t xml:space="preserve">Actionable without DXC. </w:t>
      </w:r>
      <w:r>
        <w:t>For each priority gap, give a plain-language sense of what good looks like and one or two first moves the client could make with any partner or none.</w:t>
      </w:r>
    </w:p>
    <w:p w14:paraId="3F547C27" w14:textId="77777777" w:rsidR="007C5E23" w:rsidRDefault="00AC238C">
      <w:pPr>
        <w:pStyle w:val="ListBullet"/>
        <w:spacing w:after="60"/>
      </w:pPr>
      <w:r>
        <w:rPr>
          <w:b/>
          <w:color w:val="0E1020"/>
        </w:rPr>
        <w:t xml:space="preserve">Ground in standards. </w:t>
      </w:r>
      <w:r>
        <w:t>Express the dimensions and any target architecture in neutral, standards-aligned terms. Describe architecture by capability, not by product name.</w:t>
      </w:r>
    </w:p>
    <w:p w14:paraId="272BAA87" w14:textId="77777777" w:rsidR="007C5E23" w:rsidRDefault="00AC238C">
      <w:pPr>
        <w:pStyle w:val="ListBullet"/>
        <w:spacing w:after="60"/>
      </w:pPr>
      <w:r>
        <w:rPr>
          <w:b/>
          <w:color w:val="0E1020"/>
        </w:rPr>
        <w:t xml:space="preserve">Show confidence and limits. </w:t>
      </w:r>
      <w:r>
        <w:t>Per-dimension confidence, and an explicit note of what a 30-minute read could not determine and would need data to confirm.</w:t>
      </w:r>
    </w:p>
    <w:p w14:paraId="5139C606" w14:textId="77777777" w:rsidR="007C5E23" w:rsidRDefault="00AC238C">
      <w:pPr>
        <w:pStyle w:val="ListBullet"/>
        <w:spacing w:after="60"/>
      </w:pPr>
      <w:r>
        <w:rPr>
          <w:b/>
          <w:color w:val="0E1020"/>
        </w:rPr>
        <w:t xml:space="preserve">Disclose the conflict. </w:t>
      </w:r>
      <w:r>
        <w:t>State that the assessment was produced by DXC, that scoring follows established maturity models, and that the recommended next step reflects DXC's services, which the client is free to pursue with any partner.</w:t>
      </w:r>
    </w:p>
    <w:p w14:paraId="306EAADF" w14:textId="77777777" w:rsidR="007C5E23" w:rsidRDefault="00AC238C">
      <w:pPr>
        <w:pStyle w:val="ListBullet"/>
        <w:spacing w:after="60"/>
      </w:pPr>
      <w:r>
        <w:rPr>
          <w:b/>
          <w:color w:val="0E1020"/>
        </w:rPr>
        <w:t xml:space="preserve">Tone and form. </w:t>
      </w:r>
      <w:r>
        <w:t>No named vendor products in the scorecard. Integer scores, no decimal precision, no single bare percentage. Lead with a strength as well as the priority gap, and avoid the grade-then-upsell voice.</w:t>
      </w:r>
    </w:p>
    <w:p w14:paraId="209E0CEC" w14:textId="77777777" w:rsidR="007C5E23" w:rsidRDefault="00AC238C">
      <w:pPr>
        <w:pBdr>
          <w:bottom w:val="single" w:sz="4" w:space="4" w:color="C9C4BD"/>
        </w:pBdr>
        <w:spacing w:before="300" w:after="100"/>
      </w:pPr>
      <w:r>
        <w:rPr>
          <w:b/>
          <w:color w:val="0E1020"/>
          <w:sz w:val="32"/>
        </w:rPr>
        <w:t>Quick Wins Library</w:t>
      </w:r>
    </w:p>
    <w:p w14:paraId="6A628064" w14:textId="77777777" w:rsidR="007C5E23" w:rsidRDefault="00AC238C">
      <w:pPr>
        <w:spacing w:after="140" w:line="283" w:lineRule="auto"/>
      </w:pPr>
      <w:r>
        <w:t>Fifteen high-confidence, low-disruption AI patterns, QW-001 through QW-015, seeded from the APR playbook library. Each pattern carries prerequisites, expected outcomes, and a reinvention-archetype tag. The Quick Wins agent (SYN3) selects two or three by industry match, size match, tech-stack compatibility, and dimension-gap alignment, with variety across functions. Full specification in Companion 02.</w:t>
      </w:r>
    </w:p>
    <w:p w14:paraId="5FE4612E" w14:textId="77777777" w:rsidR="007C5E23" w:rsidRDefault="00AC238C">
      <w:pPr>
        <w:pBdr>
          <w:bottom w:val="single" w:sz="4" w:space="4" w:color="C9C4BD"/>
        </w:pBdr>
        <w:spacing w:before="300" w:after="100"/>
      </w:pPr>
      <w:r>
        <w:rPr>
          <w:b/>
          <w:color w:val="0E1020"/>
          <w:sz w:val="32"/>
        </w:rPr>
        <w:t>Voice</w:t>
      </w:r>
    </w:p>
    <w:p w14:paraId="57710E48" w14:textId="77777777" w:rsidR="007C5E23" w:rsidRDefault="00AC238C">
      <w:pPr>
        <w:spacing w:after="140" w:line="283" w:lineRule="auto"/>
      </w:pPr>
      <w:r>
        <w:t>ElevenLabs is the voice layer for V0. Voice is in the MVP, not deferred.</w:t>
      </w:r>
    </w:p>
    <w:p w14:paraId="273DC191" w14:textId="77777777" w:rsidR="007C5E23" w:rsidRDefault="00AC238C">
      <w:pPr>
        <w:pStyle w:val="ListBullet"/>
        <w:spacing w:after="60"/>
      </w:pPr>
      <w:r>
        <w:t>A turn-latency target that keeps the conversation natural, set as a number in the build.</w:t>
      </w:r>
    </w:p>
    <w:p w14:paraId="07379040" w14:textId="77777777" w:rsidR="007C5E23" w:rsidRDefault="00AC238C">
      <w:pPr>
        <w:pStyle w:val="ListBullet"/>
        <w:spacing w:after="60"/>
      </w:pPr>
      <w:r>
        <w:t>Voice or chat, single respondent, self-service, about 30 minutes.</w:t>
      </w:r>
    </w:p>
    <w:p w14:paraId="79A5A00B" w14:textId="77777777" w:rsidR="007C5E23" w:rsidRDefault="00AC238C">
      <w:pPr>
        <w:pStyle w:val="ListBullet"/>
        <w:spacing w:after="60"/>
      </w:pPr>
      <w:r>
        <w:t>Transcription to structured capture, handled by RUN6.</w:t>
      </w:r>
    </w:p>
    <w:p w14:paraId="61F9BA0F" w14:textId="77777777" w:rsidR="007C5E23" w:rsidRDefault="00AC238C">
      <w:pPr>
        <w:pStyle w:val="ListBullet"/>
        <w:spacing w:after="60"/>
      </w:pPr>
      <w:r>
        <w:t>Voice recording and transcript consent collected at intake.</w:t>
      </w:r>
    </w:p>
    <w:p w14:paraId="4463B93A" w14:textId="77777777" w:rsidR="007C5E23" w:rsidRDefault="00AC238C">
      <w:pPr>
        <w:pBdr>
          <w:bottom w:val="single" w:sz="4" w:space="4" w:color="C9C4BD"/>
        </w:pBdr>
        <w:spacing w:before="300" w:after="100"/>
      </w:pPr>
      <w:r>
        <w:rPr>
          <w:b/>
          <w:color w:val="0E1020"/>
          <w:sz w:val="32"/>
        </w:rPr>
        <w:t>Consent Framework</w:t>
      </w:r>
    </w:p>
    <w:p w14:paraId="40C5AF80" w14:textId="77777777" w:rsidR="007C5E23" w:rsidRDefault="00AC238C">
      <w:pPr>
        <w:spacing w:after="140" w:line="283" w:lineRule="auto"/>
      </w:pPr>
      <w:r>
        <w:t>Five consent categories, C-1 through C-5, collected at submission and immutable per submission; changes create new consent records. V0 enforces C-1 and C-2. C-3 and C-4 enforcement begins V1. C-5 is deferred to V2. Full schema in Companion 05. DXC Legal must review the consent copy for GDPR, UK DPA, and CCPA compliance before V0 deployment.</w:t>
      </w:r>
    </w:p>
    <w:p w14:paraId="7AEA9BA3" w14:textId="77777777" w:rsidR="007C5E23" w:rsidRDefault="00AC238C">
      <w:pPr>
        <w:pBdr>
          <w:bottom w:val="single" w:sz="4" w:space="4" w:color="C9C4BD"/>
        </w:pBdr>
        <w:spacing w:before="300" w:after="100"/>
      </w:pPr>
      <w:r>
        <w:rPr>
          <w:b/>
          <w:color w:val="0E1020"/>
          <w:sz w:val="32"/>
        </w:rPr>
        <w:t>Demo Test Fixtures</w:t>
      </w:r>
    </w:p>
    <w:p w14:paraId="1561A9C3" w14:textId="77777777" w:rsidR="007C5E23" w:rsidRDefault="00AC238C">
      <w:pPr>
        <w:spacing w:after="140" w:line="283" w:lineRule="auto"/>
      </w:pPr>
      <w:r>
        <w:lastRenderedPageBreak/>
        <w:t>Three pre-specified prospect scenarios are the integration test fixtures for the build. Each agent must produce expected output on each scenario within the stated SLA. MeridianFS is the primary fixture and the one shown on stage.</w:t>
      </w:r>
    </w:p>
    <w:tbl>
      <w:tblPr>
        <w:tblStyle w:val="TableGrid"/>
        <w:tblW w:w="0" w:type="auto"/>
        <w:tblLook w:val="04A0" w:firstRow="1" w:lastRow="0" w:firstColumn="1" w:lastColumn="0" w:noHBand="0" w:noVBand="1"/>
      </w:tblPr>
      <w:tblGrid>
        <w:gridCol w:w="2304"/>
        <w:gridCol w:w="3744"/>
        <w:gridCol w:w="1872"/>
        <w:gridCol w:w="1296"/>
      </w:tblGrid>
      <w:tr w:rsidR="007C5E23" w14:paraId="4CBA9319" w14:textId="77777777">
        <w:tc>
          <w:tcPr>
            <w:tcW w:w="2304" w:type="dxa"/>
            <w:shd w:val="clear" w:color="auto" w:fill="0E1020"/>
          </w:tcPr>
          <w:p w14:paraId="5EBA66E5" w14:textId="77777777" w:rsidR="007C5E23" w:rsidRDefault="00AC238C">
            <w:r>
              <w:rPr>
                <w:b/>
                <w:color w:val="FFFFFF"/>
                <w:sz w:val="18"/>
              </w:rPr>
              <w:t>Fixture</w:t>
            </w:r>
          </w:p>
        </w:tc>
        <w:tc>
          <w:tcPr>
            <w:tcW w:w="3744" w:type="dxa"/>
            <w:shd w:val="clear" w:color="auto" w:fill="0E1020"/>
          </w:tcPr>
          <w:p w14:paraId="300A3CDA" w14:textId="77777777" w:rsidR="007C5E23" w:rsidRDefault="00AC238C">
            <w:r>
              <w:rPr>
                <w:b/>
                <w:color w:val="FFFFFF"/>
                <w:sz w:val="18"/>
              </w:rPr>
              <w:t>Industry</w:t>
            </w:r>
          </w:p>
        </w:tc>
        <w:tc>
          <w:tcPr>
            <w:tcW w:w="1872" w:type="dxa"/>
            <w:shd w:val="clear" w:color="auto" w:fill="0E1020"/>
          </w:tcPr>
          <w:p w14:paraId="13CD52FC" w14:textId="77777777" w:rsidR="007C5E23" w:rsidRDefault="00AC238C">
            <w:r>
              <w:rPr>
                <w:b/>
                <w:color w:val="FFFFFF"/>
                <w:sz w:val="18"/>
              </w:rPr>
              <w:t>Tier</w:t>
            </w:r>
          </w:p>
        </w:tc>
        <w:tc>
          <w:tcPr>
            <w:tcW w:w="1296" w:type="dxa"/>
            <w:shd w:val="clear" w:color="auto" w:fill="0E1020"/>
          </w:tcPr>
          <w:p w14:paraId="46F55494" w14:textId="77777777" w:rsidR="007C5E23" w:rsidRDefault="00AC238C">
            <w:r>
              <w:rPr>
                <w:b/>
                <w:color w:val="FFFFFF"/>
                <w:sz w:val="18"/>
              </w:rPr>
              <w:t>Overall</w:t>
            </w:r>
          </w:p>
        </w:tc>
      </w:tr>
      <w:tr w:rsidR="007C5E23" w14:paraId="6AE12A24" w14:textId="77777777">
        <w:tc>
          <w:tcPr>
            <w:tcW w:w="2304" w:type="dxa"/>
          </w:tcPr>
          <w:p w14:paraId="2CA9FE0D" w14:textId="77777777" w:rsidR="007C5E23" w:rsidRDefault="00AC238C">
            <w:r>
              <w:rPr>
                <w:b/>
                <w:sz w:val="18"/>
              </w:rPr>
              <w:t>MeridianFS</w:t>
            </w:r>
          </w:p>
        </w:tc>
        <w:tc>
          <w:tcPr>
            <w:tcW w:w="3744" w:type="dxa"/>
          </w:tcPr>
          <w:p w14:paraId="1083F5A5" w14:textId="77777777" w:rsidR="007C5E23" w:rsidRDefault="00AC238C">
            <w:r>
              <w:rPr>
                <w:sz w:val="18"/>
              </w:rPr>
              <w:t>Financial services</w:t>
            </w:r>
          </w:p>
        </w:tc>
        <w:tc>
          <w:tcPr>
            <w:tcW w:w="1872" w:type="dxa"/>
          </w:tcPr>
          <w:p w14:paraId="317361E8" w14:textId="77777777" w:rsidR="007C5E23" w:rsidRDefault="00AC238C">
            <w:r>
              <w:rPr>
                <w:sz w:val="18"/>
              </w:rPr>
              <w:t>Developing</w:t>
            </w:r>
          </w:p>
        </w:tc>
        <w:tc>
          <w:tcPr>
            <w:tcW w:w="1296" w:type="dxa"/>
          </w:tcPr>
          <w:p w14:paraId="327FC624" w14:textId="77777777" w:rsidR="007C5E23" w:rsidRDefault="00AC238C">
            <w:r>
              <w:rPr>
                <w:sz w:val="18"/>
              </w:rPr>
              <w:t>55</w:t>
            </w:r>
          </w:p>
        </w:tc>
      </w:tr>
      <w:tr w:rsidR="007C5E23" w14:paraId="6C0DC33A" w14:textId="77777777">
        <w:tc>
          <w:tcPr>
            <w:tcW w:w="2304" w:type="dxa"/>
            <w:shd w:val="clear" w:color="auto" w:fill="F6F3F0"/>
          </w:tcPr>
          <w:p w14:paraId="5B1AA9D4" w14:textId="77777777" w:rsidR="007C5E23" w:rsidRDefault="00AC238C">
            <w:r>
              <w:rPr>
                <w:b/>
                <w:sz w:val="18"/>
              </w:rPr>
              <w:t>NorthernCare Health</w:t>
            </w:r>
          </w:p>
        </w:tc>
        <w:tc>
          <w:tcPr>
            <w:tcW w:w="3744" w:type="dxa"/>
            <w:shd w:val="clear" w:color="auto" w:fill="F6F3F0"/>
          </w:tcPr>
          <w:p w14:paraId="28F20282" w14:textId="77777777" w:rsidR="007C5E23" w:rsidRDefault="00AC238C">
            <w:r>
              <w:rPr>
                <w:sz w:val="18"/>
              </w:rPr>
              <w:t>Healthcare and life sciences</w:t>
            </w:r>
          </w:p>
        </w:tc>
        <w:tc>
          <w:tcPr>
            <w:tcW w:w="1872" w:type="dxa"/>
            <w:shd w:val="clear" w:color="auto" w:fill="F6F3F0"/>
          </w:tcPr>
          <w:p w14:paraId="6756FC8E" w14:textId="77777777" w:rsidR="007C5E23" w:rsidRDefault="00AC238C">
            <w:r>
              <w:rPr>
                <w:sz w:val="18"/>
              </w:rPr>
              <w:t>Emerging</w:t>
            </w:r>
          </w:p>
        </w:tc>
        <w:tc>
          <w:tcPr>
            <w:tcW w:w="1296" w:type="dxa"/>
            <w:shd w:val="clear" w:color="auto" w:fill="F6F3F0"/>
          </w:tcPr>
          <w:p w14:paraId="0F23D0CB" w14:textId="77777777" w:rsidR="007C5E23" w:rsidRDefault="00AC238C">
            <w:r>
              <w:rPr>
                <w:sz w:val="18"/>
              </w:rPr>
              <w:t>39</w:t>
            </w:r>
          </w:p>
        </w:tc>
      </w:tr>
      <w:tr w:rsidR="007C5E23" w14:paraId="0A672100" w14:textId="77777777">
        <w:tc>
          <w:tcPr>
            <w:tcW w:w="2304" w:type="dxa"/>
          </w:tcPr>
          <w:p w14:paraId="67076CD9" w14:textId="77777777" w:rsidR="007C5E23" w:rsidRDefault="00AC238C">
            <w:r>
              <w:rPr>
                <w:b/>
                <w:sz w:val="18"/>
              </w:rPr>
              <w:t>AurelianTech</w:t>
            </w:r>
          </w:p>
        </w:tc>
        <w:tc>
          <w:tcPr>
            <w:tcW w:w="3744" w:type="dxa"/>
          </w:tcPr>
          <w:p w14:paraId="22E7A683" w14:textId="77777777" w:rsidR="007C5E23" w:rsidRDefault="00AC238C">
            <w:r>
              <w:rPr>
                <w:sz w:val="18"/>
              </w:rPr>
              <w:t>Mid-market technology</w:t>
            </w:r>
          </w:p>
        </w:tc>
        <w:tc>
          <w:tcPr>
            <w:tcW w:w="1872" w:type="dxa"/>
          </w:tcPr>
          <w:p w14:paraId="2BEBB5B9" w14:textId="77777777" w:rsidR="007C5E23" w:rsidRDefault="00AC238C">
            <w:r>
              <w:rPr>
                <w:sz w:val="18"/>
              </w:rPr>
              <w:t>Established</w:t>
            </w:r>
          </w:p>
        </w:tc>
        <w:tc>
          <w:tcPr>
            <w:tcW w:w="1296" w:type="dxa"/>
          </w:tcPr>
          <w:p w14:paraId="0CA754A6" w14:textId="77777777" w:rsidR="007C5E23" w:rsidRDefault="00AC238C">
            <w:r>
              <w:rPr>
                <w:sz w:val="18"/>
              </w:rPr>
              <w:t>68</w:t>
            </w:r>
          </w:p>
        </w:tc>
      </w:tr>
    </w:tbl>
    <w:p w14:paraId="3169B56C" w14:textId="77777777" w:rsidR="007C5E23" w:rsidRDefault="007C5E23">
      <w:pPr>
        <w:spacing w:after="40"/>
      </w:pPr>
    </w:p>
    <w:p w14:paraId="3F61C175" w14:textId="77777777" w:rsidR="007C5E23" w:rsidRDefault="00AC238C">
      <w:pPr>
        <w:pBdr>
          <w:bottom w:val="single" w:sz="4" w:space="4" w:color="C9C4BD"/>
        </w:pBdr>
        <w:spacing w:before="300" w:after="100"/>
      </w:pPr>
      <w:r>
        <w:rPr>
          <w:b/>
          <w:color w:val="0E1020"/>
          <w:sz w:val="32"/>
        </w:rPr>
        <w:t>Phasing</w:t>
      </w:r>
    </w:p>
    <w:p w14:paraId="24477B73" w14:textId="77777777" w:rsidR="007C5E23" w:rsidRDefault="00AC238C">
      <w:pPr>
        <w:spacing w:before="200" w:after="60"/>
      </w:pPr>
      <w:r>
        <w:rPr>
          <w:b/>
          <w:color w:val="0E1020"/>
          <w:sz w:val="25"/>
        </w:rPr>
        <w:t>V0, Investor Day target, four weeks from finalization</w:t>
      </w:r>
    </w:p>
    <w:p w14:paraId="6557AB5D" w14:textId="77777777" w:rsidR="007C5E23" w:rsidRDefault="00AC238C">
      <w:pPr>
        <w:pStyle w:val="ListBullet"/>
        <w:spacing w:after="60"/>
      </w:pPr>
      <w:r>
        <w:t>Built: the run-time loop RUN1 through RUN6 with voice on ElevenLabs; research RES1 through RES3; SYN1 (placeholder rendering), SYN2, and SYN3 (conditional on the quick-wins library); OUT1 and OUT2.</w:t>
      </w:r>
    </w:p>
    <w:p w14:paraId="6F55FEA7" w14:textId="77777777" w:rsidR="007C5E23" w:rsidRDefault="00AC238C">
      <w:pPr>
        <w:pStyle w:val="ListBullet"/>
        <w:spacing w:after="60"/>
      </w:pPr>
      <w:r>
        <w:t>The six-dimension AI Readiness interview definition (Data and Platform default), validated for under-30-minute completion.</w:t>
      </w:r>
    </w:p>
    <w:p w14:paraId="51172DC6" w14:textId="77777777" w:rsidR="007C5E23" w:rsidRDefault="00AC238C">
      <w:pPr>
        <w:pStyle w:val="ListBullet"/>
        <w:spacing w:after="60"/>
      </w:pPr>
      <w:r>
        <w:t>Basic web intake interface; SEC EDGAR and news ingestion; SYN2 scores directly from interview evidence and research against the anchored rubrics, with no separate analytical tool.</w:t>
      </w:r>
    </w:p>
    <w:p w14:paraId="0143EE5C" w14:textId="77777777" w:rsidR="007C5E23" w:rsidRDefault="00AC238C">
      <w:pPr>
        <w:pStyle w:val="ListBullet"/>
        <w:spacing w:after="60"/>
      </w:pPr>
      <w:r>
        <w:t>Senior partner review workflow operational; output artifacts (scorecard, findings appendix, value-difficulty 2x2, quick-wins memo conditional); three demo fixtures validated end to end; consent C-1 and C-2 enforced.</w:t>
      </w:r>
    </w:p>
    <w:p w14:paraId="261BE257" w14:textId="77777777" w:rsidR="007C5E23" w:rsidRDefault="00AC238C">
      <w:pPr>
        <w:pStyle w:val="ListBullet"/>
        <w:spacing w:after="60"/>
      </w:pPr>
      <w:r>
        <w:t>Not built in V0: public web flow at scale (V1); DES1 full authoring (V1); RES4 (V1); RES5 (V1.5); POST1 through POST3 (V1); interactive web view (V1).</w:t>
      </w:r>
    </w:p>
    <w:p w14:paraId="16C6EFD0" w14:textId="77777777" w:rsidR="007C5E23" w:rsidRDefault="00AC238C">
      <w:pPr>
        <w:pStyle w:val="ListBullet"/>
        <w:spacing w:after="60"/>
      </w:pPr>
      <w:r>
        <w:t>Investor day deliverables: a walkthrough on the MeridianFS fixture; the scorecard with the 2x2 shown on stage; the quick-wins memo; a press kit; marketing slides.</w:t>
      </w:r>
    </w:p>
    <w:p w14:paraId="68EAB31F" w14:textId="77777777" w:rsidR="007C5E23" w:rsidRDefault="00AC238C">
      <w:pPr>
        <w:spacing w:before="200" w:after="60"/>
      </w:pPr>
      <w:r>
        <w:rPr>
          <w:b/>
          <w:color w:val="0E1020"/>
          <w:sz w:val="25"/>
        </w:rPr>
        <w:t>V0.5, mid-June</w:t>
      </w:r>
    </w:p>
    <w:p w14:paraId="0EE6A96F" w14:textId="77777777" w:rsidR="007C5E23" w:rsidRDefault="00AC238C">
      <w:pPr>
        <w:pStyle w:val="ListBullet"/>
        <w:spacing w:after="60"/>
      </w:pPr>
      <w:r>
        <w:t>Industry pattern content (SYN1) for financial services, healthcare and life sciences, and manufacturing; the industry process heatmap with real content.</w:t>
      </w:r>
    </w:p>
    <w:p w14:paraId="41FEB82D" w14:textId="77777777" w:rsidR="007C5E23" w:rsidRDefault="00AC238C">
      <w:pPr>
        <w:pStyle w:val="ListBullet"/>
        <w:spacing w:after="60"/>
      </w:pPr>
      <w:r>
        <w:t>Engine adaptive logic extended from V0 pilot feedback; quick-wins memo if it slipped from V0; three to five named pilot prospects; partner review iterated.</w:t>
      </w:r>
    </w:p>
    <w:p w14:paraId="63EC80AB" w14:textId="77777777" w:rsidR="007C5E23" w:rsidRDefault="00AC238C">
      <w:pPr>
        <w:spacing w:before="200" w:after="60"/>
      </w:pPr>
      <w:r>
        <w:rPr>
          <w:b/>
          <w:color w:val="0E1020"/>
          <w:sz w:val="25"/>
        </w:rPr>
        <w:t>V1, end of July</w:t>
      </w:r>
    </w:p>
    <w:p w14:paraId="031116A9" w14:textId="77777777" w:rsidR="007C5E23" w:rsidRDefault="00AC238C">
      <w:pPr>
        <w:pStyle w:val="ListBullet"/>
        <w:spacing w:after="60"/>
      </w:pPr>
      <w:r>
        <w:t>Public-facing prospect web flow, production-polished; 24-hour SLA at 95% reliability; interactive scorecard with drill-down.</w:t>
      </w:r>
    </w:p>
    <w:p w14:paraId="419F1282" w14:textId="77777777" w:rsidR="007C5E23" w:rsidRDefault="00AC238C">
      <w:pPr>
        <w:pStyle w:val="ListBullet"/>
        <w:spacing w:after="60"/>
      </w:pPr>
      <w:r>
        <w:t>DES1 authoring and the start of the interview-type library; RES4 competitor intelligence; POST1 through POST3 with C-3 and C-4 enforcement; partner review interface.</w:t>
      </w:r>
    </w:p>
    <w:p w14:paraId="0E95D927" w14:textId="77777777" w:rsidR="007C5E23" w:rsidRDefault="00AC238C">
      <w:pPr>
        <w:pStyle w:val="ListBullet"/>
        <w:spacing w:after="60"/>
      </w:pPr>
      <w:r>
        <w:t>APR ASSESS handoff operationalized commercially; BD training; 10-plus prospects through the funnel; first conversion completed.</w:t>
      </w:r>
    </w:p>
    <w:p w14:paraId="25B86212" w14:textId="77777777" w:rsidR="007C5E23" w:rsidRDefault="00AC238C">
      <w:pPr>
        <w:spacing w:before="200" w:after="60"/>
      </w:pPr>
      <w:r>
        <w:rPr>
          <w:b/>
          <w:color w:val="0E1020"/>
          <w:sz w:val="25"/>
        </w:rPr>
        <w:t>V1.5, Q3 2026</w:t>
      </w:r>
    </w:p>
    <w:p w14:paraId="2D970928" w14:textId="77777777" w:rsidR="007C5E23" w:rsidRDefault="00AC238C">
      <w:pPr>
        <w:pStyle w:val="ListBullet"/>
        <w:spacing w:after="60"/>
      </w:pPr>
      <w:r>
        <w:t xml:space="preserve">RES5 regulatory context and regulatory path mapping; sovereign AI option (Mistral on-premise for UK and EU); value-at-risk modeling; CFO scorecard variant; vertical variants for financial </w:t>
      </w:r>
      <w:r>
        <w:lastRenderedPageBreak/>
        <w:t>services and healthcare; library to top five industries; the confidence-threshold auto-approval path.</w:t>
      </w:r>
    </w:p>
    <w:p w14:paraId="16471B5A" w14:textId="77777777" w:rsidR="007C5E23" w:rsidRDefault="00AC238C">
      <w:pPr>
        <w:spacing w:before="200" w:after="60"/>
      </w:pPr>
      <w:r>
        <w:rPr>
          <w:b/>
          <w:color w:val="0E1020"/>
          <w:sz w:val="25"/>
        </w:rPr>
        <w:t>V2, Q4 2026 and beyond</w:t>
      </w:r>
    </w:p>
    <w:p w14:paraId="40F0FAAD" w14:textId="77777777" w:rsidR="007C5E23" w:rsidRDefault="00AC238C">
      <w:pPr>
        <w:pStyle w:val="ListBullet"/>
        <w:spacing w:after="60"/>
      </w:pPr>
      <w:r>
        <w:t>Named peer comparison with public AI maturity signals; longitudinal tracking with quarterly refresh; benchmark library productization; a second interview type authored on the engine; the Diagnostic at scale, hundreds of prospects per quarter.</w:t>
      </w:r>
    </w:p>
    <w:p w14:paraId="77CD946A" w14:textId="77777777" w:rsidR="007C5E23" w:rsidRDefault="00AC238C">
      <w:pPr>
        <w:pBdr>
          <w:bottom w:val="single" w:sz="4" w:space="4" w:color="C9C4BD"/>
        </w:pBdr>
        <w:spacing w:before="300" w:after="100"/>
      </w:pPr>
      <w:r>
        <w:rPr>
          <w:b/>
          <w:color w:val="0E1020"/>
          <w:sz w:val="32"/>
        </w:rPr>
        <w:t>Value Driver Mapping</w:t>
      </w:r>
    </w:p>
    <w:p w14:paraId="24C390FC" w14:textId="77777777" w:rsidR="007C5E23" w:rsidRDefault="00AC238C">
      <w:pPr>
        <w:spacing w:after="140" w:line="283" w:lineRule="auto"/>
      </w:pPr>
      <w:r>
        <w:t>The Diagnostic generates DXC value beyond the scorecard. The benchmark database is the durable moat: anonymized results across the six dimensions, growing with volume and consent. Cross-practice routing turns scored demand into pipeline for other DXC practices. Internal feedstock improves DXC's own AI tools. Partner training compounds through the review workflow. Client value drivers, sequenced across the phases, include the readiness scorecard, the industry heatmap, the value-difficulty view, the quick win</w:t>
      </w:r>
      <w:r>
        <w:t>s, the regulatory path, and the sovereign-AI option.</w:t>
      </w:r>
    </w:p>
    <w:p w14:paraId="7D9DCB5D" w14:textId="77777777" w:rsidR="007C5E23" w:rsidRDefault="00AC238C">
      <w:pPr>
        <w:pBdr>
          <w:bottom w:val="single" w:sz="4" w:space="4" w:color="C9C4BD"/>
        </w:pBdr>
        <w:spacing w:before="300" w:after="100"/>
      </w:pPr>
      <w:r>
        <w:rPr>
          <w:b/>
          <w:color w:val="0E1020"/>
          <w:sz w:val="32"/>
        </w:rPr>
        <w:t>Success Criteria by Phase</w:t>
      </w:r>
    </w:p>
    <w:p w14:paraId="298FBB5A" w14:textId="77777777" w:rsidR="007C5E23" w:rsidRDefault="00AC238C">
      <w:pPr>
        <w:spacing w:before="200" w:after="60"/>
      </w:pPr>
      <w:r>
        <w:rPr>
          <w:b/>
          <w:color w:val="0E1020"/>
          <w:sz w:val="25"/>
        </w:rPr>
        <w:t>V0, Investor Day</w:t>
      </w:r>
    </w:p>
    <w:p w14:paraId="0A133C3F" w14:textId="77777777" w:rsidR="007C5E23" w:rsidRDefault="00AC238C">
      <w:pPr>
        <w:pStyle w:val="ListBullet"/>
        <w:spacing w:after="60"/>
      </w:pPr>
      <w:r>
        <w:t>All run-time, research (RES1 to RES3), synthesis, and output agents operational on the demo fixtures.</w:t>
      </w:r>
    </w:p>
    <w:p w14:paraId="1EFAFA7B" w14:textId="77777777" w:rsidR="007C5E23" w:rsidRDefault="00AC238C">
      <w:pPr>
        <w:pStyle w:val="ListBullet"/>
        <w:spacing w:after="60"/>
      </w:pPr>
      <w:r>
        <w:t>Under-30-minute completion validated by five to eight internal testers; 24-hour SLA met on all three demo runs; the investor day demo runs without technical failure; three-plus named pilot prospects committed; consent framework legal-reviewed and deployed.</w:t>
      </w:r>
    </w:p>
    <w:p w14:paraId="1D680000" w14:textId="77777777" w:rsidR="007C5E23" w:rsidRDefault="00AC238C">
      <w:pPr>
        <w:spacing w:before="200" w:after="60"/>
      </w:pPr>
      <w:r>
        <w:rPr>
          <w:b/>
          <w:color w:val="0E1020"/>
          <w:sz w:val="25"/>
        </w:rPr>
        <w:t>V0.5</w:t>
      </w:r>
    </w:p>
    <w:p w14:paraId="39D4C622" w14:textId="77777777" w:rsidR="007C5E23" w:rsidRDefault="00AC238C">
      <w:pPr>
        <w:pStyle w:val="ListBullet"/>
        <w:spacing w:after="60"/>
      </w:pPr>
      <w:r>
        <w:t>Industry heatmap live with real content for the top three industries; three to five pilot Diagnostics completed; 24-hour SLA met on 90% of real submissions; partner review sustainable at 15 to 30 minutes.</w:t>
      </w:r>
    </w:p>
    <w:p w14:paraId="32C1E0CB" w14:textId="77777777" w:rsidR="007C5E23" w:rsidRDefault="00AC238C">
      <w:pPr>
        <w:spacing w:before="200" w:after="60"/>
      </w:pPr>
      <w:r>
        <w:rPr>
          <w:b/>
          <w:color w:val="0E1020"/>
          <w:sz w:val="25"/>
        </w:rPr>
        <w:t>V1</w:t>
      </w:r>
    </w:p>
    <w:p w14:paraId="52D98870" w14:textId="77777777" w:rsidR="007C5E23" w:rsidRDefault="00AC238C">
      <w:pPr>
        <w:pStyle w:val="ListBullet"/>
        <w:spacing w:after="60"/>
      </w:pPr>
      <w:r>
        <w:t>Public web flow live, SLA at 95% across submissions; under-30-minute median real completion; 10-plus prospects through the funnel and first conversion; routing producing opportunity records to three-plus practices.</w:t>
      </w:r>
    </w:p>
    <w:p w14:paraId="7E540F78" w14:textId="77777777" w:rsidR="007C5E23" w:rsidRDefault="00AC238C">
      <w:pPr>
        <w:spacing w:before="200" w:after="60"/>
      </w:pPr>
      <w:r>
        <w:rPr>
          <w:b/>
          <w:color w:val="0E1020"/>
          <w:sz w:val="25"/>
        </w:rPr>
        <w:t>V1.5</w:t>
      </w:r>
    </w:p>
    <w:p w14:paraId="79E2662D" w14:textId="77777777" w:rsidR="007C5E23" w:rsidRDefault="00AC238C">
      <w:pPr>
        <w:pStyle w:val="ListBullet"/>
        <w:spacing w:after="60"/>
      </w:pPr>
      <w:r>
        <w:t>Regulatory path mapping operational for the EU AI Act, FCA and PRA, and HIPAA; sovereign AI option live; value-at-risk and CFO view in production; 30-plus prospects, three-plus conversions.</w:t>
      </w:r>
    </w:p>
    <w:p w14:paraId="7D76C8A6" w14:textId="77777777" w:rsidR="007C5E23" w:rsidRDefault="00AC238C">
      <w:pPr>
        <w:spacing w:before="200" w:after="60"/>
      </w:pPr>
      <w:r>
        <w:rPr>
          <w:b/>
          <w:color w:val="0E1020"/>
          <w:sz w:val="25"/>
        </w:rPr>
        <w:t>V2</w:t>
      </w:r>
    </w:p>
    <w:p w14:paraId="50FC95B2" w14:textId="77777777" w:rsidR="007C5E23" w:rsidRDefault="00AC238C">
      <w:pPr>
        <w:pStyle w:val="ListBullet"/>
        <w:spacing w:after="60"/>
      </w:pPr>
      <w:r>
        <w:t>Hundreds of prospects through the funnel, SLA at 98% at volume; a measurable Diagnostic-to-conversion rate; benchmark library at 1,000-plus records; a second interview type live on the engine.</w:t>
      </w:r>
    </w:p>
    <w:p w14:paraId="05079E37" w14:textId="77777777" w:rsidR="007C5E23" w:rsidRDefault="00AC238C">
      <w:pPr>
        <w:pBdr>
          <w:bottom w:val="single" w:sz="4" w:space="4" w:color="C9C4BD"/>
        </w:pBdr>
        <w:spacing w:before="300" w:after="100"/>
      </w:pPr>
      <w:r>
        <w:rPr>
          <w:b/>
          <w:color w:val="0E1020"/>
          <w:sz w:val="32"/>
        </w:rPr>
        <w:lastRenderedPageBreak/>
        <w:t>Dependencies and Critical Path</w:t>
      </w:r>
    </w:p>
    <w:p w14:paraId="104D6193" w14:textId="77777777" w:rsidR="007C5E23" w:rsidRDefault="00AC238C">
      <w:pPr>
        <w:spacing w:after="140" w:line="283" w:lineRule="auto"/>
      </w:pPr>
      <w:r>
        <w:t>The V0 critical path, updated for the engine and voice.</w:t>
      </w:r>
    </w:p>
    <w:p w14:paraId="03A503B9" w14:textId="77777777" w:rsidR="007C5E23" w:rsidRDefault="00AC238C">
      <w:pPr>
        <w:pStyle w:val="ListBullet"/>
        <w:spacing w:after="60"/>
      </w:pPr>
      <w:r>
        <w:t>AWS environment provisioned. Owner: Chris with Andre. This week.</w:t>
      </w:r>
    </w:p>
    <w:p w14:paraId="6C8C6FF9" w14:textId="77777777" w:rsidR="007C5E23" w:rsidRDefault="00AC238C">
      <w:pPr>
        <w:pStyle w:val="ListBullet"/>
        <w:spacing w:after="60"/>
      </w:pPr>
      <w:r>
        <w:t>Enterprise AI license, Anthropic API. Owner: Chris with Dan Albright. This week.</w:t>
      </w:r>
    </w:p>
    <w:p w14:paraId="62B0A442" w14:textId="77777777" w:rsidR="007C5E23" w:rsidRDefault="00AC238C">
      <w:pPr>
        <w:pStyle w:val="ListBullet"/>
        <w:spacing w:after="60"/>
      </w:pPr>
      <w:r>
        <w:t>Tech stack decisions: language, framework, orchestration, database. Owner: engineering lead. Day 3, week 1.</w:t>
      </w:r>
    </w:p>
    <w:p w14:paraId="2D9A5B1C" w14:textId="77777777" w:rsidR="007C5E23" w:rsidRDefault="00AC238C">
      <w:pPr>
        <w:pStyle w:val="ListBullet"/>
        <w:spacing w:after="60"/>
      </w:pPr>
      <w:r>
        <w:t>News API vendor selected and key obtained; ElevenLabs voice account and keys obtained. Owner: Chris and engineering. End of week 1.</w:t>
      </w:r>
    </w:p>
    <w:p w14:paraId="15A60090" w14:textId="77777777" w:rsidR="007C5E23" w:rsidRDefault="00AC238C">
      <w:pPr>
        <w:pStyle w:val="ListBullet"/>
        <w:spacing w:after="60"/>
      </w:pPr>
      <w:r>
        <w:t>AI Readiness interview definition authored (objectives and anchored rubrics) and validated for 30-minute completion. Owner: working group. End of week 2.</w:t>
      </w:r>
    </w:p>
    <w:p w14:paraId="1C70616B" w14:textId="77777777" w:rsidR="007C5E23" w:rsidRDefault="00AC238C">
      <w:pPr>
        <w:pStyle w:val="ListBullet"/>
        <w:spacing w:after="60"/>
      </w:pPr>
      <w:r>
        <w:t>Quick-wins library content and APR-seeded patterns produced, 10 to 15 patterns; gates SYN3. Owner: Robb. End of week 2.</w:t>
      </w:r>
    </w:p>
    <w:p w14:paraId="1E55F5D4" w14:textId="77777777" w:rsidR="007C5E23" w:rsidRDefault="00AC238C">
      <w:pPr>
        <w:pStyle w:val="ListBullet"/>
        <w:spacing w:after="60"/>
      </w:pPr>
      <w:r>
        <w:t>No external analytical tool is required. SYN2 scores directly from interview evidence and research against the rubrics. Owner: engineering.</w:t>
      </w:r>
    </w:p>
    <w:p w14:paraId="62C48315" w14:textId="77777777" w:rsidR="007C5E23" w:rsidRDefault="00AC238C">
      <w:pPr>
        <w:pStyle w:val="ListBullet"/>
        <w:spacing w:after="60"/>
      </w:pPr>
      <w:r>
        <w:t>Run-time loop RUN1 through RUN6 implemented, including the voice turn-latency target. Owner: engineering. Three weeks.</w:t>
      </w:r>
    </w:p>
    <w:p w14:paraId="27E597E5" w14:textId="77777777" w:rsidR="007C5E23" w:rsidRDefault="00AC238C">
      <w:pPr>
        <w:pStyle w:val="ListBullet"/>
        <w:spacing w:after="60"/>
      </w:pPr>
      <w:r>
        <w:t>Research RES1 through RES3 implemented. Owner: engineering. Three weeks.</w:t>
      </w:r>
    </w:p>
    <w:p w14:paraId="2E00E8CF" w14:textId="77777777" w:rsidR="007C5E23" w:rsidRDefault="00AC238C">
      <w:pPr>
        <w:pStyle w:val="ListBullet"/>
        <w:spacing w:after="60"/>
      </w:pPr>
      <w:r>
        <w:t>SYN2 synthesis and scoring implemented; longest chain. Owner: engineering. Three and a half weeks. SYN3 conditional on the library.</w:t>
      </w:r>
    </w:p>
    <w:p w14:paraId="73F02503" w14:textId="77777777" w:rsidR="007C5E23" w:rsidRDefault="00AC238C">
      <w:pPr>
        <w:pStyle w:val="ListBullet"/>
        <w:spacing w:after="60"/>
      </w:pPr>
      <w:r>
        <w:t>OUT1 with PDF, radar, 2x2, quick wins, strengths-and-gaps, and the representative quote; OUT2 validation. Owner: engineering. Three to three and a half weeks.</w:t>
      </w:r>
    </w:p>
    <w:p w14:paraId="5EC8DFCB" w14:textId="77777777" w:rsidR="007C5E23" w:rsidRDefault="00AC238C">
      <w:pPr>
        <w:pStyle w:val="ListBullet"/>
        <w:spacing w:after="60"/>
      </w:pPr>
      <w:r>
        <w:t>Consent UI and DXC Legal review completed. Owner: Chris with DXC Legal. Two weeks.</w:t>
      </w:r>
    </w:p>
    <w:p w14:paraId="5B3E6AC0" w14:textId="77777777" w:rsidR="007C5E23" w:rsidRDefault="00AC238C">
      <w:pPr>
        <w:pStyle w:val="ListBullet"/>
        <w:spacing w:after="60"/>
      </w:pPr>
      <w:r>
        <w:t>Scorecard design template delivered, including the strengths-and-gaps block and the quote line. Owner: Robb. Two weeks.</w:t>
      </w:r>
    </w:p>
    <w:p w14:paraId="04923932" w14:textId="77777777" w:rsidR="007C5E23" w:rsidRDefault="00AC238C">
      <w:pPr>
        <w:pStyle w:val="ListBullet"/>
        <w:spacing w:after="60"/>
      </w:pPr>
      <w:r>
        <w:t>Three demo fixtures seeded and validated end to end; investor day storyboard and press kit. Owner: engineering, working group, Chris, and Robb. Three to four weeks.</w:t>
      </w:r>
    </w:p>
    <w:p w14:paraId="78A8E6C9" w14:textId="77777777" w:rsidR="007C5E23" w:rsidRDefault="00AC238C">
      <w:pPr>
        <w:pBdr>
          <w:bottom w:val="single" w:sz="4" w:space="4" w:color="C9C4BD"/>
        </w:pBdr>
        <w:spacing w:before="300" w:after="100"/>
      </w:pPr>
      <w:r>
        <w:rPr>
          <w:b/>
          <w:color w:val="0E1020"/>
          <w:sz w:val="32"/>
        </w:rPr>
        <w:t>Open Questions</w:t>
      </w:r>
    </w:p>
    <w:p w14:paraId="02AAB2FF" w14:textId="77777777" w:rsidR="007C5E23" w:rsidRDefault="00AC238C">
      <w:pPr>
        <w:spacing w:before="200" w:after="60"/>
      </w:pPr>
      <w:r>
        <w:rPr>
          <w:b/>
          <w:color w:val="0E1020"/>
          <w:sz w:val="25"/>
        </w:rPr>
        <w:t>Commercial model</w:t>
      </w:r>
    </w:p>
    <w:p w14:paraId="69A18B6B" w14:textId="77777777" w:rsidR="007C5E23" w:rsidRDefault="00AC238C">
      <w:pPr>
        <w:pStyle w:val="ListBullet"/>
        <w:spacing w:after="60"/>
      </w:pPr>
      <w:r>
        <w:t>Does the complimentary Diagnostic carry any nominal cost, or stay fully free?</w:t>
      </w:r>
    </w:p>
    <w:p w14:paraId="756E7D35" w14:textId="77777777" w:rsidR="007C5E23" w:rsidRDefault="00AC238C">
      <w:pPr>
        <w:pStyle w:val="ListBullet"/>
        <w:spacing w:after="60"/>
      </w:pPr>
      <w:r>
        <w:t>What is the target Diagnostic-to-paid conversion rate, and the pricing model for the V2 benchmark library?</w:t>
      </w:r>
    </w:p>
    <w:p w14:paraId="2AC65C55" w14:textId="77777777" w:rsidR="007C5E23" w:rsidRDefault="00AC238C">
      <w:pPr>
        <w:spacing w:before="200" w:after="60"/>
      </w:pPr>
      <w:r>
        <w:rPr>
          <w:b/>
          <w:color w:val="0E1020"/>
          <w:sz w:val="25"/>
        </w:rPr>
        <w:t>Scaling</w:t>
      </w:r>
    </w:p>
    <w:p w14:paraId="16D0E8F2" w14:textId="77777777" w:rsidR="007C5E23" w:rsidRDefault="00AC238C">
      <w:pPr>
        <w:pStyle w:val="ListBullet"/>
        <w:spacing w:after="60"/>
      </w:pPr>
      <w:r>
        <w:t>At hundreds of prospects per quarter, is per-scorecard senior partner review sustainable?</w:t>
      </w:r>
    </w:p>
    <w:p w14:paraId="67854B00" w14:textId="77777777" w:rsidR="007C5E23" w:rsidRDefault="00AC238C">
      <w:pPr>
        <w:pStyle w:val="ListBullet"/>
        <w:spacing w:after="60"/>
      </w:pPr>
      <w:r>
        <w:t>What is the confidence-threshold model for automated approval that bypasses partner review for the highest-confidence outputs?</w:t>
      </w:r>
    </w:p>
    <w:p w14:paraId="7F9B3CF3" w14:textId="77777777" w:rsidR="007C5E23" w:rsidRDefault="00AC238C">
      <w:pPr>
        <w:spacing w:before="200" w:after="60"/>
      </w:pPr>
      <w:r>
        <w:rPr>
          <w:b/>
          <w:color w:val="0E1020"/>
          <w:sz w:val="25"/>
        </w:rPr>
        <w:t>Cross-DXC</w:t>
      </w:r>
    </w:p>
    <w:p w14:paraId="017E4372" w14:textId="77777777" w:rsidR="007C5E23" w:rsidRDefault="00AC238C">
      <w:pPr>
        <w:pStyle w:val="ListBullet"/>
        <w:spacing w:after="60"/>
      </w:pPr>
      <w:r>
        <w:t>Which practices commit to receiving POST1 routed records; which internal tools receive POST3 feedstock; who governs cross-DXC consent over time?</w:t>
      </w:r>
    </w:p>
    <w:p w14:paraId="63EE27FB" w14:textId="77777777" w:rsidR="007C5E23" w:rsidRDefault="00AC238C">
      <w:pPr>
        <w:spacing w:before="200" w:after="60"/>
      </w:pPr>
      <w:r>
        <w:rPr>
          <w:b/>
          <w:color w:val="0E1020"/>
          <w:sz w:val="25"/>
        </w:rPr>
        <w:lastRenderedPageBreak/>
        <w:t>Voice</w:t>
      </w:r>
    </w:p>
    <w:p w14:paraId="4280B189" w14:textId="77777777" w:rsidR="007C5E23" w:rsidRDefault="00AC238C">
      <w:pPr>
        <w:pStyle w:val="ListBullet"/>
        <w:spacing w:after="60"/>
      </w:pPr>
      <w:r>
        <w:t>Final ElevenLabs turn-latency target and the fallback rule to chat when latency or environment degrades.</w:t>
      </w:r>
    </w:p>
    <w:p w14:paraId="5E27A28B" w14:textId="77777777" w:rsidR="007C5E23" w:rsidRDefault="00AC238C">
      <w:pPr>
        <w:spacing w:after="140" w:line="283" w:lineRule="auto"/>
      </w:pPr>
      <w:r>
        <w:t>Resolved in V5: the technology and platform placement is settled as the Data and Platform six-dimension default. The Clarity Methodology and individual-name questions from V4 are removed and not tracked.</w:t>
      </w:r>
    </w:p>
    <w:p w14:paraId="31939D2B" w14:textId="77777777" w:rsidR="007C5E23" w:rsidRDefault="00AC238C">
      <w:pPr>
        <w:pBdr>
          <w:bottom w:val="single" w:sz="4" w:space="4" w:color="C9C4BD"/>
        </w:pBdr>
        <w:spacing w:before="300" w:after="100"/>
      </w:pPr>
      <w:r>
        <w:rPr>
          <w:b/>
          <w:color w:val="0E1020"/>
          <w:sz w:val="32"/>
        </w:rPr>
        <w:t>What This PRD Does Not Specify</w:t>
      </w:r>
    </w:p>
    <w:p w14:paraId="070138F7" w14:textId="77777777" w:rsidR="007C5E23" w:rsidRDefault="00AC238C">
      <w:pPr>
        <w:spacing w:after="140" w:line="283" w:lineRule="auto"/>
      </w:pPr>
      <w:r>
        <w:t>All items below are APR ASSESS scope or otherwise out of scope for the Diagnostic.</w:t>
      </w:r>
    </w:p>
    <w:p w14:paraId="54F31400" w14:textId="77777777" w:rsidR="007C5E23" w:rsidRDefault="00AC238C">
      <w:pPr>
        <w:pStyle w:val="ListBullet"/>
        <w:spacing w:after="60"/>
      </w:pPr>
      <w:r>
        <w:t>Process mining and multi-stream evidence collection (APR ASSESS).</w:t>
      </w:r>
    </w:p>
    <w:p w14:paraId="0C532DA7" w14:textId="77777777" w:rsidR="007C5E23" w:rsidRDefault="00AC238C">
      <w:pPr>
        <w:pStyle w:val="ListBullet"/>
        <w:spacing w:after="60"/>
      </w:pPr>
      <w:r>
        <w:t>The deep build of the AxisAI value proof sizing engine. The value proof is complimentary, but its analytical engine is specified separately, not in this PRD.</w:t>
      </w:r>
    </w:p>
    <w:p w14:paraId="6E0B177D" w14:textId="77777777" w:rsidR="007C5E23" w:rsidRDefault="00AC238C">
      <w:pPr>
        <w:pStyle w:val="ListBullet"/>
        <w:spacing w:after="60"/>
      </w:pPr>
      <w:r>
        <w:t>APR playbook application at process-level depth, and Transformation Candidacy scoring of processes (APR, not the Diagnostic).</w:t>
      </w:r>
    </w:p>
    <w:p w14:paraId="3A90FC9D" w14:textId="77777777" w:rsidR="007C5E23" w:rsidRDefault="00AC238C">
      <w:pPr>
        <w:pStyle w:val="ListBullet"/>
        <w:spacing w:after="60"/>
      </w:pPr>
      <w:r>
        <w:t>Board-ready AI reinvention plan with full sequenced actions, and the governance template pack for client adoption (APR deliverables).</w:t>
      </w:r>
    </w:p>
    <w:p w14:paraId="6737E395" w14:textId="77777777" w:rsidR="007C5E23" w:rsidRDefault="00AC238C">
      <w:pPr>
        <w:pStyle w:val="ListBullet"/>
        <w:spacing w:after="60"/>
      </w:pPr>
      <w:r>
        <w:t>Multi-stakeholder voice interviews at scale. These run on the same engine, in APR ASSESS, specified when that build begins.</w:t>
      </w:r>
    </w:p>
    <w:p w14:paraId="6622AF15" w14:textId="77777777" w:rsidR="007C5E23" w:rsidRDefault="00AC238C">
      <w:pPr>
        <w:pBdr>
          <w:bottom w:val="single" w:sz="4" w:space="4" w:color="C9C4BD"/>
        </w:pBdr>
        <w:spacing w:before="300" w:after="100"/>
      </w:pPr>
      <w:r>
        <w:rPr>
          <w:b/>
          <w:color w:val="0E1020"/>
          <w:sz w:val="32"/>
        </w:rPr>
        <w:t>Decision Log</w:t>
      </w:r>
    </w:p>
    <w:p w14:paraId="5BA39E4E" w14:textId="77777777" w:rsidR="007C5E23" w:rsidRDefault="00AC238C">
      <w:pPr>
        <w:pStyle w:val="ListBullet"/>
        <w:spacing w:after="60"/>
      </w:pPr>
      <w:r>
        <w:rPr>
          <w:b/>
          <w:color w:val="0E1020"/>
        </w:rPr>
        <w:t xml:space="preserve">Engine. </w:t>
      </w:r>
      <w:r>
        <w:t>Intake generalized to an objective-driven Adaptive Interview Engine. Run-time loop RUN3 to RUN6 added; Interview Designer DES1 added.</w:t>
      </w:r>
    </w:p>
    <w:p w14:paraId="2EFD02D5" w14:textId="77777777" w:rsidR="007C5E23" w:rsidRDefault="00AC238C">
      <w:pPr>
        <w:pStyle w:val="ListBullet"/>
        <w:spacing w:after="60"/>
      </w:pPr>
      <w:r>
        <w:rPr>
          <w:b/>
          <w:color w:val="0E1020"/>
        </w:rPr>
        <w:t xml:space="preserve">Agents. </w:t>
      </w:r>
      <w:r>
        <w:t>Agents re-architected into six groups: design-time, run-time, research, synthesis, output, post-delivery. V4-to-V5 mapping recorded.</w:t>
      </w:r>
    </w:p>
    <w:p w14:paraId="3B627FD1" w14:textId="77777777" w:rsidR="007C5E23" w:rsidRDefault="00AC238C">
      <w:pPr>
        <w:pStyle w:val="ListBullet"/>
        <w:spacing w:after="60"/>
      </w:pPr>
      <w:r>
        <w:rPr>
          <w:b/>
          <w:color w:val="0E1020"/>
        </w:rPr>
        <w:t xml:space="preserve">Dimensions. </w:t>
      </w:r>
      <w:r>
        <w:t>Six dimensions, Data and Platform default. Data Foundation broadened to name the technology and platform layer. 0-100 and four tiers retained; weights unchanged.</w:t>
      </w:r>
    </w:p>
    <w:p w14:paraId="4CCE57FB" w14:textId="77777777" w:rsidR="007C5E23" w:rsidRDefault="00AC238C">
      <w:pPr>
        <w:pStyle w:val="ListBullet"/>
        <w:spacing w:after="60"/>
      </w:pPr>
      <w:r>
        <w:rPr>
          <w:b/>
          <w:color w:val="0E1020"/>
        </w:rPr>
        <w:t xml:space="preserve">Commercial model. </w:t>
      </w:r>
      <w:r>
        <w:t>Interview, scorecard, and AxisAI value proof are complimentary. Paid begins as APR ASSESS or another entry point. Supersedes the V4 placement of AxisAI in Discovery scope.</w:t>
      </w:r>
    </w:p>
    <w:p w14:paraId="231216F8" w14:textId="77777777" w:rsidR="007C5E23" w:rsidRDefault="00AC238C">
      <w:pPr>
        <w:pStyle w:val="ListBullet"/>
        <w:spacing w:after="60"/>
      </w:pPr>
      <w:r>
        <w:rPr>
          <w:b/>
          <w:color w:val="0E1020"/>
        </w:rPr>
        <w:t xml:space="preserve">Voice. </w:t>
      </w:r>
      <w:r>
        <w:t>Voice is in the MVP, on ElevenLabs.</w:t>
      </w:r>
    </w:p>
    <w:p w14:paraId="0807F952" w14:textId="77777777" w:rsidR="007C5E23" w:rsidRDefault="00AC238C">
      <w:pPr>
        <w:pStyle w:val="ListBullet"/>
        <w:spacing w:after="60"/>
      </w:pPr>
      <w:r>
        <w:rPr>
          <w:b/>
          <w:color w:val="0E1020"/>
        </w:rPr>
        <w:t xml:space="preserve">Definitions. </w:t>
      </w:r>
      <w:r>
        <w:t>Value-Pocket Clarity grounded in the APR value-pocket definition. Regulatory Complexity split into readiness (scored) and inherent complexity (context).</w:t>
      </w:r>
    </w:p>
    <w:p w14:paraId="34F46E5F" w14:textId="77777777" w:rsidR="007C5E23" w:rsidRDefault="00AC238C">
      <w:pPr>
        <w:pStyle w:val="ListBullet"/>
        <w:spacing w:after="60"/>
      </w:pPr>
      <w:r>
        <w:rPr>
          <w:b/>
          <w:color w:val="0E1020"/>
        </w:rPr>
        <w:t xml:space="preserve">Free output. </w:t>
      </w:r>
      <w:r>
        <w:t>Free-output design rules adopted: walled recommendation, vendor-neutral first moves, standards grounding, confidence and limits, disclosure, integer scores.</w:t>
      </w:r>
    </w:p>
    <w:p w14:paraId="203AF31A" w14:textId="77777777" w:rsidR="007C5E23" w:rsidRDefault="00AC238C">
      <w:pPr>
        <w:pStyle w:val="ListBullet"/>
        <w:spacing w:after="60"/>
      </w:pPr>
      <w:r>
        <w:rPr>
          <w:b/>
          <w:color w:val="0E1020"/>
        </w:rPr>
        <w:t xml:space="preserve">APR content. </w:t>
      </w:r>
      <w:r>
        <w:t>Quick-wins library and industry patterns seeded from the APR playbook library; quick wins tagged by reinvention archetype.</w:t>
      </w:r>
    </w:p>
    <w:p w14:paraId="108CF5F4" w14:textId="77777777" w:rsidR="007C5E23" w:rsidRDefault="00AC238C">
      <w:pPr>
        <w:pStyle w:val="ListBullet"/>
        <w:spacing w:after="60"/>
      </w:pPr>
      <w:r>
        <w:rPr>
          <w:b/>
          <w:color w:val="0E1020"/>
        </w:rPr>
        <w:t xml:space="preserve">Disambiguation. </w:t>
      </w:r>
      <w:r>
        <w:t>Three six-part frameworks kept distinct: readiness dimensions, APR TCS, APR Domains of Agentic Change.</w:t>
      </w:r>
    </w:p>
    <w:p w14:paraId="0AC44C63" w14:textId="77777777" w:rsidR="007C5E23" w:rsidRDefault="00AC238C">
      <w:pPr>
        <w:pStyle w:val="ListBullet"/>
        <w:spacing w:after="60"/>
      </w:pPr>
      <w:r>
        <w:rPr>
          <w:b/>
          <w:color w:val="0E1020"/>
        </w:rPr>
        <w:t xml:space="preserve">Models. </w:t>
      </w:r>
      <w:r>
        <w:t>Model assignments retained: Opus for DES1, SYN2, SYN3, OUT2; Sonnet for the loop, research, output, and post-delivery; Haiku for RUN1.</w:t>
      </w:r>
    </w:p>
    <w:p w14:paraId="27B33507" w14:textId="77777777" w:rsidR="007C5E23" w:rsidRDefault="00AC238C">
      <w:pPr>
        <w:pStyle w:val="ListBullet"/>
        <w:spacing w:after="60"/>
      </w:pPr>
      <w:r>
        <w:rPr>
          <w:b/>
          <w:color w:val="0E1020"/>
        </w:rPr>
        <w:lastRenderedPageBreak/>
        <w:t xml:space="preserve">Analytical foundation. </w:t>
      </w:r>
      <w:r>
        <w:t>Hari's tool is removed from the solution. The AI interview and SYN2 are the analytical foundation; SYN2 scores directly from evidence and research against the rubrics. Supersedes the V4 decision to use it as the C2 foundation.</w:t>
      </w:r>
    </w:p>
    <w:p w14:paraId="210616D3" w14:textId="77777777" w:rsidR="007C5E23" w:rsidRDefault="00AC238C">
      <w:pPr>
        <w:spacing w:after="140" w:line="283" w:lineRule="auto"/>
      </w:pPr>
      <w:r>
        <w:t>This PRD is V5. With the five companion documents, updated as noted, it constitutes the V0 build specification for the DXC AI Readiness Diagnostic.</w:t>
      </w:r>
    </w:p>
    <w:sectPr w:rsidR="007C5E2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0606484">
    <w:abstractNumId w:val="8"/>
  </w:num>
  <w:num w:numId="2" w16cid:durableId="1051728686">
    <w:abstractNumId w:val="6"/>
  </w:num>
  <w:num w:numId="3" w16cid:durableId="851914749">
    <w:abstractNumId w:val="5"/>
  </w:num>
  <w:num w:numId="4" w16cid:durableId="923731097">
    <w:abstractNumId w:val="4"/>
  </w:num>
  <w:num w:numId="5" w16cid:durableId="19547652">
    <w:abstractNumId w:val="7"/>
  </w:num>
  <w:num w:numId="6" w16cid:durableId="1035933751">
    <w:abstractNumId w:val="3"/>
  </w:num>
  <w:num w:numId="7" w16cid:durableId="1169372059">
    <w:abstractNumId w:val="2"/>
  </w:num>
  <w:num w:numId="8" w16cid:durableId="1321301271">
    <w:abstractNumId w:val="1"/>
  </w:num>
  <w:num w:numId="9" w16cid:durableId="1989241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26F4"/>
    <w:rsid w:val="0029639D"/>
    <w:rsid w:val="00326F90"/>
    <w:rsid w:val="007C5E23"/>
    <w:rsid w:val="00A66810"/>
    <w:rsid w:val="00AA1D8D"/>
    <w:rsid w:val="00AC238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88B59DB-4E2E-47FF-A3C5-DBE31065A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A1A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F21DC28C2C20D42B5EB846B80249314" ma:contentTypeVersion="11" ma:contentTypeDescription="Create a new document." ma:contentTypeScope="" ma:versionID="e339436e656a5c8d0743f2310002574b">
  <xsd:schema xmlns:xsd="http://www.w3.org/2001/XMLSchema" xmlns:xs="http://www.w3.org/2001/XMLSchema" xmlns:p="http://schemas.microsoft.com/office/2006/metadata/properties" xmlns:ns2="ea5f7c67-4b3c-436c-98f8-43019c64302b" targetNamespace="http://schemas.microsoft.com/office/2006/metadata/properties" ma:root="true" ma:fieldsID="5b69d610fda19468941cf9aac13486b4" ns2:_="">
    <xsd:import namespace="ea5f7c67-4b3c-436c-98f8-43019c6430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5f7c67-4b3c-436c-98f8-43019c643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8f211cb-e08d-4e65-a875-32590ca7bbf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a5f7c67-4b3c-436c-98f8-43019c64302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7C739EA-E9AC-48C3-BA6B-6E079156A05E}"/>
</file>

<file path=customXml/itemProps3.xml><?xml version="1.0" encoding="utf-8"?>
<ds:datastoreItem xmlns:ds="http://schemas.openxmlformats.org/officeDocument/2006/customXml" ds:itemID="{7095C18A-A5B6-455C-8426-40650BD8669D}"/>
</file>

<file path=customXml/itemProps4.xml><?xml version="1.0" encoding="utf-8"?>
<ds:datastoreItem xmlns:ds="http://schemas.openxmlformats.org/officeDocument/2006/customXml" ds:itemID="{92A68E75-17C4-442F-B919-AB0FE1B953FE}"/>
</file>

<file path=docProps/app.xml><?xml version="1.0" encoding="utf-8"?>
<Properties xmlns="http://schemas.openxmlformats.org/officeDocument/2006/extended-properties" xmlns:vt="http://schemas.openxmlformats.org/officeDocument/2006/docPropsVTypes">
  <Template>Normal.dotm</Template>
  <TotalTime>1</TotalTime>
  <Pages>19</Pages>
  <Words>6855</Words>
  <Characters>37708</Characters>
  <Application>Microsoft Office Word</Application>
  <DocSecurity>0</DocSecurity>
  <Lines>942</Lines>
  <Paragraphs>755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Bryson, Chris</cp:lastModifiedBy>
  <cp:revision>2</cp:revision>
  <dcterms:created xsi:type="dcterms:W3CDTF">2026-06-09T22:51:00Z</dcterms:created>
  <dcterms:modified xsi:type="dcterms:W3CDTF">2026-06-09T22:51:00Z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2026-06-09T22:51:16Z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f2de0e9b-1e07-44e2-8b81-ac72b2ce85e7</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y fmtid="{D5CDD505-2E9C-101B-9397-08002B2CF9AE}" pid="10" name="ContentTypeId">
    <vt:lpwstr>0x010100AF21DC28C2C20D42B5EB846B80249314</vt:lpwstr>
  </property>
</Properties>
</file>