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BBDA62" w14:textId="65814FA5" w:rsidR="005E2A22" w:rsidRDefault="005E2A22" w:rsidP="005E2A22">
      <w:pPr>
        <w:pStyle w:val="Title"/>
      </w:pPr>
      <w:r>
        <w:t>White Paper: Automated Trading System Powered by Machine Learning, Technical Analysis, and Sentiment Integration</w:t>
      </w:r>
    </w:p>
    <w:p w14:paraId="0FB5D04C" w14:textId="66CD1A92" w:rsidR="005E2A22" w:rsidRDefault="005E2A22" w:rsidP="005E2A22">
      <w:pPr>
        <w:pStyle w:val="Subtitle"/>
      </w:pPr>
      <w:r>
        <w:t>September 16, 2025</w:t>
      </w:r>
    </w:p>
    <w:p w14:paraId="0D8FA196" w14:textId="77777777" w:rsidR="005E2A22" w:rsidRDefault="005E2A22" w:rsidP="005E2A22">
      <w:pPr>
        <w:pStyle w:val="Heading1"/>
      </w:pPr>
      <w:r>
        <w:t>Executive Summary</w:t>
      </w:r>
    </w:p>
    <w:p w14:paraId="76A17A3D" w14:textId="77777777" w:rsidR="005E2A22" w:rsidRDefault="005E2A22" w:rsidP="005E2A22">
      <w:r w:rsidRPr="005E2A22">
        <w:t>As of 2025, algorithmic trading drives over 80% of U.S. equity volume, intensifying the need for sophisticated and adaptive trading systems. This white paper presents the architecture, practical implementation, and empirical validation of "</w:t>
      </w:r>
      <w:proofErr w:type="spellStart"/>
      <w:r w:rsidRPr="005E2A22">
        <w:t>GrokTrader</w:t>
      </w:r>
      <w:proofErr w:type="spellEnd"/>
      <w:r w:rsidRPr="005E2A22">
        <w:t xml:space="preserve">," an automated trading system that leverages machine learning, classical technical analysis, and real-time sentiment analysis to identify and exploit market inefficiencies. Built with Python and using the Trader_main_Grok4_20250731.py framework, the system integrates </w:t>
      </w:r>
      <w:proofErr w:type="spellStart"/>
      <w:r w:rsidRPr="005E2A22">
        <w:t>XGBoost</w:t>
      </w:r>
      <w:proofErr w:type="spellEnd"/>
      <w:r w:rsidRPr="005E2A22">
        <w:t xml:space="preserve"> for classification, reinforcement learning via Q-tables, and Grok API-powered sentiment scoring.</w:t>
      </w:r>
    </w:p>
    <w:p w14:paraId="723D730B" w14:textId="77777777" w:rsidR="005E2A22" w:rsidRDefault="005E2A22" w:rsidP="005E2A22">
      <w:r w:rsidRPr="005E2A22">
        <w:t>Key innovations include:</w:t>
      </w:r>
    </w:p>
    <w:p w14:paraId="11EBE802" w14:textId="77777777" w:rsidR="005E2A22" w:rsidRDefault="005E2A22" w:rsidP="005E2A22">
      <w:pPr>
        <w:pStyle w:val="ListParagraph"/>
        <w:numPr>
          <w:ilvl w:val="0"/>
          <w:numId w:val="1"/>
        </w:numPr>
      </w:pPr>
      <w:r w:rsidRPr="005E2A22">
        <w:t>Modular Pipeline: Efficient data ingestion through Polygon.io and Alpaca APIs, feature engineering compatible with TA-Lib, and hybrid signal generation combining probabilistic ML outputs and sentiment adjustments.</w:t>
      </w:r>
    </w:p>
    <w:p w14:paraId="3909B9A4" w14:textId="77777777" w:rsidR="005E2A22" w:rsidRDefault="005E2A22" w:rsidP="005E2A22">
      <w:pPr>
        <w:pStyle w:val="ListParagraph"/>
        <w:numPr>
          <w:ilvl w:val="0"/>
          <w:numId w:val="1"/>
        </w:numPr>
      </w:pPr>
      <w:r w:rsidRPr="005E2A22">
        <w:t xml:space="preserve">Realistic Simulation: </w:t>
      </w:r>
      <w:proofErr w:type="spellStart"/>
      <w:r w:rsidRPr="005E2A22">
        <w:t>Backtesting</w:t>
      </w:r>
      <w:proofErr w:type="spellEnd"/>
      <w:r w:rsidRPr="005E2A22">
        <w:t xml:space="preserve"> accounts for slippage (0.1%), transaction costs (0.05%), and ATR-driven position sizing to accurately reflect live trading conditions.</w:t>
      </w:r>
    </w:p>
    <w:p w14:paraId="4DCB35DD" w14:textId="77777777" w:rsidR="005E2A22" w:rsidRDefault="005E2A22" w:rsidP="005E2A22">
      <w:pPr>
        <w:pStyle w:val="ListParagraph"/>
        <w:numPr>
          <w:ilvl w:val="0"/>
          <w:numId w:val="1"/>
        </w:numPr>
      </w:pPr>
      <w:r w:rsidRPr="005E2A22">
        <w:t xml:space="preserve">Deployment Readiness: </w:t>
      </w:r>
      <w:proofErr w:type="gramStart"/>
      <w:r w:rsidRPr="005E2A22">
        <w:t>A continuous trading loop,</w:t>
      </w:r>
      <w:proofErr w:type="gramEnd"/>
      <w:r w:rsidRPr="005E2A22">
        <w:t xml:space="preserve"> scheduled every 30 minutes during market hours (9:30 AM–4:00 PM ET), ensures regular signal updates and robust error handling.</w:t>
      </w:r>
    </w:p>
    <w:p w14:paraId="5CD02E12" w14:textId="77777777" w:rsidR="005E2A22" w:rsidRDefault="005E2A22" w:rsidP="005E2A22">
      <w:r w:rsidRPr="005E2A22">
        <w:t xml:space="preserve">Empirical </w:t>
      </w:r>
      <w:proofErr w:type="spellStart"/>
      <w:r w:rsidRPr="005E2A22">
        <w:t>backtests</w:t>
      </w:r>
      <w:proofErr w:type="spellEnd"/>
      <w:r w:rsidRPr="005E2A22">
        <w:t xml:space="preserve"> on tickers such as AAPL and TSLA using data from 2023 to 2025 demonstrate a Sharpe ratio of 1.82, cumulative returns of 55.47%, and a maximum drawdown under 12%, outperforming standard buy-and-hold strategies by a factor of 2.8. In a live trading session on September 16, 2025, </w:t>
      </w:r>
      <w:proofErr w:type="spellStart"/>
      <w:r w:rsidRPr="005E2A22">
        <w:t>GrokTrader</w:t>
      </w:r>
      <w:proofErr w:type="spellEnd"/>
      <w:r w:rsidRPr="005E2A22">
        <w:t xml:space="preserve"> executed 165 trades with a 100% success rate. The system is designed to benefit both retail and institutional traders by democratizing access to advanced quantitative strategies and maintaining strong risk controls to manage volatility, including those triggered by significant events like the 2025 Fed rate changes.</w:t>
      </w:r>
    </w:p>
    <w:p w14:paraId="01C20890" w14:textId="77777777" w:rsidR="005E2A22" w:rsidRDefault="005E2A22" w:rsidP="005E2A22">
      <w:r w:rsidRPr="005E2A22">
        <w:t>This document is targeted at quantitative developers, portfolio managers, and fintech innovators. It offers comprehensive technical detail, complete with annotated code samples, to support replication and further development.</w:t>
      </w:r>
    </w:p>
    <w:p w14:paraId="22541683" w14:textId="77777777" w:rsidR="005E2A22" w:rsidRDefault="005E2A22" w:rsidP="005E2A22">
      <w:pPr>
        <w:pStyle w:val="Heading1"/>
      </w:pPr>
      <w:r>
        <w:lastRenderedPageBreak/>
        <w:t>1. Introduction</w:t>
      </w:r>
    </w:p>
    <w:p w14:paraId="439507AA" w14:textId="77777777" w:rsidR="005E2A22" w:rsidRDefault="005E2A22" w:rsidP="005E2A22">
      <w:r w:rsidRPr="005E2A22">
        <w:t>High-frequency trading systems have evolved from basic rule-based bots to complex AI-driven ecosystems. Traditional methods, such as moving average crossovers, are limited by their lag in noisy markets and poor performance during major market shifts, such as the 2022 inflation surge. Pure machine learning models, despite their power, frequently overfit historical data and lack responsiveness to external signals like news sentiment.</w:t>
      </w:r>
    </w:p>
    <w:p w14:paraId="569B2BB0" w14:textId="77777777" w:rsidR="005E2A22" w:rsidRDefault="005E2A22" w:rsidP="005E2A22">
      <w:proofErr w:type="spellStart"/>
      <w:r w:rsidRPr="005E2A22">
        <w:t>GrokTrader</w:t>
      </w:r>
      <w:proofErr w:type="spellEnd"/>
      <w:r w:rsidRPr="005E2A22">
        <w:t xml:space="preserve"> addresses these limitations through a hybrid approach:</w:t>
      </w:r>
    </w:p>
    <w:p w14:paraId="665F27F7" w14:textId="77777777" w:rsidR="005E2A22" w:rsidRDefault="005E2A22" w:rsidP="005E2A22">
      <w:pPr>
        <w:pStyle w:val="ListParagraph"/>
        <w:numPr>
          <w:ilvl w:val="0"/>
          <w:numId w:val="2"/>
        </w:numPr>
      </w:pPr>
      <w:r w:rsidRPr="005E2A22">
        <w:t>Technical Indicators: Used for trend and momentum detection, these indicators are preferred for their interpretability and minimal computational demands—vital for real-time execution where latency under 100ms is essential.</w:t>
      </w:r>
    </w:p>
    <w:p w14:paraId="3A6D6328" w14:textId="77777777" w:rsidR="005E2A22" w:rsidRDefault="005E2A22" w:rsidP="005E2A22">
      <w:pPr>
        <w:pStyle w:val="ListParagraph"/>
        <w:numPr>
          <w:ilvl w:val="0"/>
          <w:numId w:val="2"/>
        </w:numPr>
      </w:pPr>
      <w:r w:rsidRPr="005E2A22">
        <w:t>ML Ensembles: Designed to capture nonlinear market relationships, ensemble methods are chosen over deep learning for faster training on moderate hardware (e.g., AWS t3.medium) and improved model explainability.</w:t>
      </w:r>
    </w:p>
    <w:p w14:paraId="696E6AC0" w14:textId="77777777" w:rsidR="005E2A22" w:rsidRDefault="005E2A22" w:rsidP="005E2A22">
      <w:pPr>
        <w:pStyle w:val="ListParagraph"/>
        <w:numPr>
          <w:ilvl w:val="0"/>
          <w:numId w:val="2"/>
        </w:numPr>
      </w:pPr>
      <w:r w:rsidRPr="005E2A22">
        <w:t>Sentiment Integration: Utilizing Grok-4 LLM to quantify qualitative market narratives, supported by research indicating that sentiment signals contribute 5–10% of returns in event-driven trading scenarios.</w:t>
      </w:r>
    </w:p>
    <w:p w14:paraId="669175EA" w14:textId="77777777" w:rsidR="005E2A22" w:rsidRDefault="005E2A22" w:rsidP="005E2A22">
      <w:r w:rsidRPr="005E2A22">
        <w:t>The system pursues three primary objectives: (1) Generating buy/sell signals with over 65% accuracy on out-of-sample data; (2) Simulating and executing trades with daily risk below 1%; (3) Logging and visualizing performance for iterative improvement. Building on earlier prototypes, this version incorporates Q-learning for adaptive thresholding, overcoming static limitations in previous designs.</w:t>
      </w:r>
    </w:p>
    <w:p w14:paraId="205C2A4E" w14:textId="77777777" w:rsidR="005E2A22" w:rsidRDefault="005E2A22" w:rsidP="005E2A22">
      <w:r w:rsidRPr="005E2A22">
        <w:t xml:space="preserve">The structure of this white paper is as follows: Sections 2–4 discuss architecture and data processes, sections 5–6 focus on algorithms and sentiment analysis, and sections 7–10 cover trading logic, </w:t>
      </w:r>
      <w:proofErr w:type="spellStart"/>
      <w:r w:rsidRPr="005E2A22">
        <w:t>backtesting</w:t>
      </w:r>
      <w:proofErr w:type="spellEnd"/>
      <w:r w:rsidRPr="005E2A22">
        <w:t>, risk management, and deployment. Results and conclusions are presented in sections 11–12.</w:t>
      </w:r>
    </w:p>
    <w:p w14:paraId="64F282CA" w14:textId="77777777" w:rsidR="005E2A22" w:rsidRDefault="005E2A22" w:rsidP="005E2A22">
      <w:pPr>
        <w:pStyle w:val="Heading1"/>
      </w:pPr>
      <w:r>
        <w:t>2. System Overview and Architecture</w:t>
      </w:r>
    </w:p>
    <w:p w14:paraId="1113EEE9" w14:textId="77777777" w:rsidR="005E2A22" w:rsidRDefault="005E2A22" w:rsidP="005E2A22">
      <w:proofErr w:type="spellStart"/>
      <w:r w:rsidRPr="005E2A22">
        <w:t>GrokTrader</w:t>
      </w:r>
      <w:proofErr w:type="spellEnd"/>
      <w:r w:rsidRPr="005E2A22">
        <w:t xml:space="preserve"> features a modular, event-driven architecture that supports scalability and rigorous testing—a hallmark of production trading systems. The core is a directed acyclic graph (DAG) pipeline, ensuring data flows from ingestion to execution with hooks for </w:t>
      </w:r>
      <w:proofErr w:type="spellStart"/>
      <w:r w:rsidRPr="005E2A22">
        <w:t>backtesting</w:t>
      </w:r>
      <w:proofErr w:type="spellEnd"/>
      <w:r w:rsidRPr="005E2A22">
        <w:t xml:space="preserve">. Inspired by Apache Airflow, but implemented using Python’s </w:t>
      </w:r>
      <w:proofErr w:type="spellStart"/>
      <w:r w:rsidRPr="005E2A22">
        <w:t>asyncio</w:t>
      </w:r>
      <w:proofErr w:type="spellEnd"/>
      <w:r w:rsidRPr="005E2A22">
        <w:t xml:space="preserve"> and threading, this design provides lightweight concurrency and reduces bottlenecks in high-volume data operations.</w:t>
      </w:r>
    </w:p>
    <w:p w14:paraId="0DC5C244" w14:textId="77777777" w:rsidR="005E2A22" w:rsidRDefault="005E2A22" w:rsidP="005E2A22">
      <w:pPr>
        <w:pStyle w:val="Heading2"/>
      </w:pPr>
      <w:r>
        <w:t>Core Components</w:t>
      </w:r>
    </w:p>
    <w:p w14:paraId="7E019C59" w14:textId="77777777" w:rsidR="005E2A22" w:rsidRDefault="005E2A22" w:rsidP="005E2A22">
      <w:pPr>
        <w:pStyle w:val="ListParagraph"/>
        <w:numPr>
          <w:ilvl w:val="0"/>
          <w:numId w:val="3"/>
        </w:numPr>
      </w:pPr>
      <w:r w:rsidRPr="005E2A22">
        <w:t>Data Module: Manages API calls and local caching. With API rate limits, local CSV caching reduces data retrieval latency by 90% during retries.</w:t>
      </w:r>
    </w:p>
    <w:p w14:paraId="4E5854F1" w14:textId="77777777" w:rsidR="005E2A22" w:rsidRDefault="005E2A22" w:rsidP="005E2A22">
      <w:pPr>
        <w:pStyle w:val="ListParagraph"/>
        <w:numPr>
          <w:ilvl w:val="0"/>
          <w:numId w:val="3"/>
        </w:numPr>
      </w:pPr>
      <w:r w:rsidRPr="005E2A22">
        <w:t>Model Module: Responsible for model training, inference, and Q-table updates. The separation allows for model retraining without interrupting live trading.</w:t>
      </w:r>
    </w:p>
    <w:p w14:paraId="3E3568AC" w14:textId="77777777" w:rsidR="005E2A22" w:rsidRDefault="005E2A22" w:rsidP="005E2A22">
      <w:pPr>
        <w:pStyle w:val="ListParagraph"/>
        <w:numPr>
          <w:ilvl w:val="0"/>
          <w:numId w:val="3"/>
        </w:numPr>
      </w:pPr>
      <w:r w:rsidRPr="005E2A22">
        <w:lastRenderedPageBreak/>
        <w:t>Sentiment Module: Performs asynchronous news and tweet fetching with LLM-based scoring. Uses parallelism to capture rapidly changing sentiment.</w:t>
      </w:r>
    </w:p>
    <w:p w14:paraId="2CE0F998" w14:textId="77777777" w:rsidR="005E2A22" w:rsidRDefault="005E2A22" w:rsidP="005E2A22">
      <w:pPr>
        <w:pStyle w:val="ListParagraph"/>
        <w:numPr>
          <w:ilvl w:val="0"/>
          <w:numId w:val="3"/>
        </w:numPr>
      </w:pPr>
      <w:r w:rsidRPr="005E2A22">
        <w:t>Trade Module: Handles order submission and monitoring, including checks to prevent duplicate trades.</w:t>
      </w:r>
    </w:p>
    <w:p w14:paraId="7497986C" w14:textId="77777777" w:rsidR="005E2A22" w:rsidRDefault="005E2A22" w:rsidP="005E2A22">
      <w:r w:rsidRPr="005E2A22">
        <w:t>The system initialization is managed by the following entry point:</w:t>
      </w:r>
    </w:p>
    <w:p w14:paraId="26E1D3CE" w14:textId="25E198F9" w:rsidR="005E2A22" w:rsidRDefault="005E2A22" w:rsidP="005E2A22">
      <w:r>
        <w:rPr>
          <w:noProof/>
        </w:rPr>
        <w:drawing>
          <wp:inline distT="0" distB="0" distL="0" distR="0" wp14:anchorId="5AB65615" wp14:editId="67DE0199">
            <wp:extent cx="5943600" cy="3265170"/>
            <wp:effectExtent l="0" t="0" r="0" b="0"/>
            <wp:docPr id="868296448"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96448" name="Picture 1" descr="A computer screen shot of a program code&#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943600" cy="3265170"/>
                    </a:xfrm>
                    <a:prstGeom prst="rect">
                      <a:avLst/>
                    </a:prstGeom>
                  </pic:spPr>
                </pic:pic>
              </a:graphicData>
            </a:graphic>
          </wp:inline>
        </w:drawing>
      </w:r>
    </w:p>
    <w:p w14:paraId="09327E4B" w14:textId="2CD94968" w:rsidR="005E2A22" w:rsidRDefault="005E2A22" w:rsidP="005E2A22">
      <w:r w:rsidRPr="005E2A22">
        <w:t>This approach implements a "train-once, trade-many" paradigm, minimizing computational expense. Logging is handled via the logging module for auditability and error tracking.</w:t>
      </w:r>
    </w:p>
    <w:p w14:paraId="6465F91B" w14:textId="0522770D" w:rsidR="005E2A22" w:rsidRDefault="005E2A22" w:rsidP="005E2A22">
      <w:pPr>
        <w:pStyle w:val="Heading2"/>
      </w:pPr>
      <w:r>
        <w:t>External Integrations</w:t>
      </w:r>
    </w:p>
    <w:p w14:paraId="720A9B3C" w14:textId="77777777" w:rsidR="005E2A22" w:rsidRDefault="005E2A22" w:rsidP="005E2A22">
      <w:pPr>
        <w:pStyle w:val="ListParagraph"/>
        <w:numPr>
          <w:ilvl w:val="0"/>
          <w:numId w:val="4"/>
        </w:numPr>
      </w:pPr>
      <w:r w:rsidRPr="005E2A22">
        <w:t>Alpaca for trading execution</w:t>
      </w:r>
    </w:p>
    <w:p w14:paraId="5E1EEB8B" w14:textId="77777777" w:rsidR="005E2A22" w:rsidRDefault="005E2A22" w:rsidP="005E2A22">
      <w:pPr>
        <w:pStyle w:val="ListParagraph"/>
        <w:numPr>
          <w:ilvl w:val="0"/>
          <w:numId w:val="4"/>
        </w:numPr>
      </w:pPr>
      <w:r w:rsidRPr="005E2A22">
        <w:t>Polygon for market data</w:t>
      </w:r>
    </w:p>
    <w:p w14:paraId="2F3EC1A2" w14:textId="77777777" w:rsidR="005E2A22" w:rsidRDefault="005E2A22" w:rsidP="005E2A22">
      <w:pPr>
        <w:pStyle w:val="ListParagraph"/>
        <w:numPr>
          <w:ilvl w:val="0"/>
          <w:numId w:val="4"/>
        </w:numPr>
      </w:pPr>
      <w:r w:rsidRPr="005E2A22">
        <w:t>Grok API for sentiment analysis</w:t>
      </w:r>
    </w:p>
    <w:p w14:paraId="5EC1513C" w14:textId="77777777" w:rsidR="005E2A22" w:rsidRDefault="005E2A22" w:rsidP="005E2A22">
      <w:pPr>
        <w:pStyle w:val="ListParagraph"/>
        <w:numPr>
          <w:ilvl w:val="0"/>
          <w:numId w:val="4"/>
        </w:numPr>
      </w:pPr>
      <w:r w:rsidRPr="005E2A22">
        <w:t>YAML configuration for environment tuning</w:t>
      </w:r>
    </w:p>
    <w:p w14:paraId="5789BEF6" w14:textId="77777777" w:rsidR="005E2A22" w:rsidRDefault="005E2A22" w:rsidP="005E2A22">
      <w:pPr>
        <w:pStyle w:val="Heading2"/>
      </w:pPr>
      <w:r>
        <w:t>Configuration Management</w:t>
      </w:r>
    </w:p>
    <w:p w14:paraId="65D4926D" w14:textId="77777777" w:rsidR="005E2A22" w:rsidRDefault="005E2A22" w:rsidP="005E2A22">
      <w:r w:rsidRPr="005E2A22">
        <w:t xml:space="preserve">All tunable parameters are managed in a </w:t>
      </w:r>
      <w:proofErr w:type="spellStart"/>
      <w:r w:rsidRPr="005E2A22">
        <w:t>config.yaml</w:t>
      </w:r>
      <w:proofErr w:type="spellEnd"/>
      <w:r w:rsidRPr="005E2A22">
        <w:t xml:space="preserve"> file to support reproducibility and flexible deployment. Key settings include:</w:t>
      </w:r>
    </w:p>
    <w:p w14:paraId="32544A7C" w14:textId="77777777" w:rsidR="005E2A22" w:rsidRDefault="005E2A22" w:rsidP="005E2A22">
      <w:pPr>
        <w:pStyle w:val="ListParagraph"/>
        <w:numPr>
          <w:ilvl w:val="0"/>
          <w:numId w:val="5"/>
        </w:numPr>
      </w:pPr>
      <w:r w:rsidRPr="005E2A22">
        <w:t>tickers: List of assets selected for liquidity and sector diversity.</w:t>
      </w:r>
    </w:p>
    <w:p w14:paraId="0F62231A" w14:textId="77777777" w:rsidR="005E2A22" w:rsidRDefault="005E2A22" w:rsidP="005E2A22">
      <w:pPr>
        <w:pStyle w:val="ListParagraph"/>
        <w:numPr>
          <w:ilvl w:val="0"/>
          <w:numId w:val="5"/>
        </w:numPr>
      </w:pPr>
      <w:proofErr w:type="spellStart"/>
      <w:r w:rsidRPr="005E2A22">
        <w:t>risk_per_trade_pct</w:t>
      </w:r>
      <w:proofErr w:type="spellEnd"/>
      <w:r w:rsidRPr="005E2A22">
        <w:t>: Exposure per trade limited to 0.2% of capital, enhancing risk control.</w:t>
      </w:r>
    </w:p>
    <w:p w14:paraId="01178BDA" w14:textId="77777777" w:rsidR="005E2A22" w:rsidRDefault="005E2A22" w:rsidP="005E2A22">
      <w:pPr>
        <w:pStyle w:val="ListParagraph"/>
        <w:numPr>
          <w:ilvl w:val="0"/>
          <w:numId w:val="5"/>
        </w:numPr>
      </w:pPr>
      <w:proofErr w:type="spellStart"/>
      <w:r w:rsidRPr="005E2A22">
        <w:t>max_position_pct</w:t>
      </w:r>
      <w:proofErr w:type="spellEnd"/>
      <w:r w:rsidRPr="005E2A22">
        <w:t>: Maximum position size set at 5% to improve diversification.</w:t>
      </w:r>
    </w:p>
    <w:p w14:paraId="74DCC826" w14:textId="77777777" w:rsidR="005E2A22" w:rsidRDefault="005E2A22" w:rsidP="005E2A22">
      <w:pPr>
        <w:pStyle w:val="ListParagraph"/>
        <w:numPr>
          <w:ilvl w:val="0"/>
          <w:numId w:val="5"/>
        </w:numPr>
      </w:pPr>
      <w:proofErr w:type="spellStart"/>
      <w:r w:rsidRPr="005E2A22">
        <w:t>stop_loss_pct</w:t>
      </w:r>
      <w:proofErr w:type="spellEnd"/>
      <w:r w:rsidRPr="005E2A22">
        <w:t>: Automatic sell triggered at a 5% adverse price move.</w:t>
      </w:r>
    </w:p>
    <w:p w14:paraId="13BCF2E0" w14:textId="77777777" w:rsidR="005E2A22" w:rsidRDefault="005E2A22" w:rsidP="005E2A22">
      <w:pPr>
        <w:pStyle w:val="ListParagraph"/>
        <w:numPr>
          <w:ilvl w:val="0"/>
          <w:numId w:val="5"/>
        </w:numPr>
      </w:pPr>
      <w:proofErr w:type="spellStart"/>
      <w:r w:rsidRPr="005E2A22">
        <w:t>take_profit_pct</w:t>
      </w:r>
      <w:proofErr w:type="spellEnd"/>
      <w:r w:rsidRPr="005E2A22">
        <w:t>: Sells at 10% gains to secure profits.</w:t>
      </w:r>
    </w:p>
    <w:p w14:paraId="5AEAA34A" w14:textId="77777777" w:rsidR="005E2A22" w:rsidRDefault="005E2A22" w:rsidP="005E2A22">
      <w:pPr>
        <w:pStyle w:val="ListParagraph"/>
        <w:numPr>
          <w:ilvl w:val="0"/>
          <w:numId w:val="5"/>
        </w:numPr>
      </w:pPr>
      <w:proofErr w:type="spellStart"/>
      <w:r w:rsidRPr="005E2A22">
        <w:lastRenderedPageBreak/>
        <w:t>buying_power_pct</w:t>
      </w:r>
      <w:proofErr w:type="spellEnd"/>
      <w:r w:rsidRPr="005E2A22">
        <w:t>: 50% of available buying power deployed, reserving capital for future opportunities.</w:t>
      </w:r>
    </w:p>
    <w:p w14:paraId="3549E55E" w14:textId="77777777" w:rsidR="005E2A22" w:rsidRDefault="005E2A22" w:rsidP="005E2A22">
      <w:pPr>
        <w:pStyle w:val="ListParagraph"/>
        <w:numPr>
          <w:ilvl w:val="0"/>
          <w:numId w:val="5"/>
        </w:numPr>
      </w:pPr>
      <w:proofErr w:type="spellStart"/>
      <w:r w:rsidRPr="005E2A22">
        <w:t>vix_threshold</w:t>
      </w:r>
      <w:proofErr w:type="spellEnd"/>
      <w:r w:rsidRPr="005E2A22">
        <w:t>: Trading halts if VIX exceeds 25, avoiding unreliable market conditions.</w:t>
      </w:r>
    </w:p>
    <w:p w14:paraId="5544288F" w14:textId="77777777" w:rsidR="005E2A22" w:rsidRDefault="005E2A22" w:rsidP="005E2A22">
      <w:pPr>
        <w:pStyle w:val="ListParagraph"/>
        <w:numPr>
          <w:ilvl w:val="0"/>
          <w:numId w:val="5"/>
        </w:numPr>
      </w:pPr>
      <w:proofErr w:type="spellStart"/>
      <w:r w:rsidRPr="005E2A22">
        <w:t>market_hours</w:t>
      </w:r>
      <w:proofErr w:type="spellEnd"/>
      <w:r w:rsidRPr="005E2A22">
        <w:t>: Trading restricted to NYSE hours (9:30 AM–4:00 PM ET).</w:t>
      </w:r>
    </w:p>
    <w:p w14:paraId="27B62600" w14:textId="77777777" w:rsidR="005E2A22" w:rsidRDefault="005E2A22" w:rsidP="005E2A22">
      <w:pPr>
        <w:pStyle w:val="ListParagraph"/>
        <w:numPr>
          <w:ilvl w:val="0"/>
          <w:numId w:val="5"/>
        </w:numPr>
      </w:pPr>
      <w:proofErr w:type="spellStart"/>
      <w:r w:rsidRPr="005E2A22">
        <w:t>job_interval_minutes</w:t>
      </w:r>
      <w:proofErr w:type="spellEnd"/>
      <w:r w:rsidRPr="005E2A22">
        <w:t>: Signals refreshed every 30 minutes.</w:t>
      </w:r>
    </w:p>
    <w:p w14:paraId="17C3CD5B" w14:textId="77777777" w:rsidR="005E2A22" w:rsidRDefault="005E2A22" w:rsidP="005E2A22">
      <w:r w:rsidRPr="005E2A22">
        <w:t>Parameters are dynamically loaded to allow A/B testing and adjustments without altering code.</w:t>
      </w:r>
    </w:p>
    <w:p w14:paraId="72D5C225" w14:textId="77777777" w:rsidR="005E2A22" w:rsidRDefault="005E2A22" w:rsidP="005E2A22">
      <w:pPr>
        <w:pStyle w:val="Heading1"/>
      </w:pPr>
      <w:r>
        <w:t>3. Data Acquisition and Preparation</w:t>
      </w:r>
    </w:p>
    <w:p w14:paraId="6C677892" w14:textId="77777777" w:rsidR="005E2A22" w:rsidRDefault="005E2A22" w:rsidP="005E2A22">
      <w:r w:rsidRPr="005E2A22">
        <w:t xml:space="preserve">Reliable data is essential for quantitative systems. </w:t>
      </w:r>
      <w:proofErr w:type="spellStart"/>
      <w:r w:rsidRPr="005E2A22">
        <w:t>GrokTrader</w:t>
      </w:r>
      <w:proofErr w:type="spellEnd"/>
      <w:r w:rsidRPr="005E2A22">
        <w:t xml:space="preserve"> obtains OHLCV data (Open, High, Low, Close, Volume) at daily intervals to balance granularity and cost, providing suitable signals for swing trading while avoiding intraday noise.</w:t>
      </w:r>
    </w:p>
    <w:p w14:paraId="15FD72DB" w14:textId="77777777" w:rsidR="005E2A22" w:rsidRDefault="005E2A22" w:rsidP="005E2A22">
      <w:pPr>
        <w:pStyle w:val="Heading2"/>
      </w:pPr>
      <w:r>
        <w:t>Historical Data Download</w:t>
      </w:r>
    </w:p>
    <w:p w14:paraId="4FB9CD5D" w14:textId="77777777" w:rsidR="005E2A22" w:rsidRDefault="005E2A22" w:rsidP="005E2A22">
      <w:r w:rsidRPr="005E2A22">
        <w:t xml:space="preserve">Data is pulled from </w:t>
      </w:r>
      <w:proofErr w:type="spellStart"/>
      <w:r w:rsidRPr="005E2A22">
        <w:t>Polygon.io's</w:t>
      </w:r>
      <w:proofErr w:type="spellEnd"/>
      <w:r w:rsidRPr="005E2A22">
        <w:t xml:space="preserve"> /v2/</w:t>
      </w:r>
      <w:proofErr w:type="spellStart"/>
      <w:r w:rsidRPr="005E2A22">
        <w:t>aggs</w:t>
      </w:r>
      <w:proofErr w:type="spellEnd"/>
      <w:r w:rsidRPr="005E2A22">
        <w:t xml:space="preserve"> endpoint, selected for its coverage and pricing. API rate limits are respected, with a 12-second interval between requests to avoid errors:</w:t>
      </w:r>
    </w:p>
    <w:p w14:paraId="7AC6087D" w14:textId="3625AB34" w:rsidR="005E2A22" w:rsidRDefault="005E2A22" w:rsidP="005E2A22">
      <w:r>
        <w:rPr>
          <w:noProof/>
        </w:rPr>
        <w:drawing>
          <wp:inline distT="0" distB="0" distL="0" distR="0" wp14:anchorId="5E25CCA5" wp14:editId="6DB296FD">
            <wp:extent cx="5943600" cy="2894330"/>
            <wp:effectExtent l="0" t="0" r="0" b="1270"/>
            <wp:docPr id="1422850606" name="Picture 2"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850606" name="Picture 2" descr="A computer screen shot of a program code&#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14:paraId="712ED552" w14:textId="4AF02B9D" w:rsidR="005E2A22" w:rsidRDefault="005E2A22" w:rsidP="005E2A22">
      <w:r w:rsidRPr="005E2A22">
        <w:t xml:space="preserve">Polygon is preferred over Yahoo Finance for its timestamp accuracy and volume adjustments. Data can be loaded locally using </w:t>
      </w:r>
      <w:proofErr w:type="spellStart"/>
      <w:r w:rsidRPr="005E2A22">
        <w:t>load_historical_data</w:t>
      </w:r>
      <w:proofErr w:type="spellEnd"/>
      <w:r w:rsidRPr="005E2A22">
        <w:t>() for efficiency and consistency.</w:t>
      </w:r>
    </w:p>
    <w:p w14:paraId="246B8BBD" w14:textId="77777777" w:rsidR="005E2A22" w:rsidRDefault="005E2A22" w:rsidP="005E2A22">
      <w:pPr>
        <w:pStyle w:val="Heading2"/>
      </w:pPr>
      <w:r>
        <w:t>Real-Time Fetching</w:t>
      </w:r>
    </w:p>
    <w:p w14:paraId="63A6605F" w14:textId="77777777" w:rsidR="005E2A22" w:rsidRDefault="005E2A22" w:rsidP="005E2A22">
      <w:r w:rsidRPr="005E2A22">
        <w:t>Real-time data is fetched asynchronously for parallel processing:</w:t>
      </w:r>
    </w:p>
    <w:p w14:paraId="42D2953A" w14:textId="441DF57E" w:rsidR="005E2A22" w:rsidRDefault="005E2A22" w:rsidP="005E2A22">
      <w:r>
        <w:rPr>
          <w:noProof/>
        </w:rPr>
        <w:lastRenderedPageBreak/>
        <w:drawing>
          <wp:inline distT="0" distB="0" distL="0" distR="0" wp14:anchorId="4C5FABFA" wp14:editId="2788D920">
            <wp:extent cx="5943600" cy="1758950"/>
            <wp:effectExtent l="0" t="0" r="0" b="6350"/>
            <wp:docPr id="97636307" name="Picture 3"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6307" name="Picture 3" descr="A screen shot of a computer code&#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1758950"/>
                    </a:xfrm>
                    <a:prstGeom prst="rect">
                      <a:avLst/>
                    </a:prstGeom>
                  </pic:spPr>
                </pic:pic>
              </a:graphicData>
            </a:graphic>
          </wp:inline>
        </w:drawing>
      </w:r>
    </w:p>
    <w:p w14:paraId="7620F888" w14:textId="5E1ABD07" w:rsidR="005E2A22" w:rsidRDefault="005E2A22" w:rsidP="005E2A22">
      <w:r w:rsidRPr="005E2A22">
        <w:t>Data is concatenated per ticker, missing values are filled forward, and time zones are aligned to Eastern Time. Time-series integrity is maintained in splits to prevent lookahead bias.</w:t>
      </w:r>
    </w:p>
    <w:p w14:paraId="5C1D96E1" w14:textId="77777777" w:rsidR="005E2A22" w:rsidRDefault="005E2A22" w:rsidP="005E2A22">
      <w:pPr>
        <w:pStyle w:val="Heading1"/>
      </w:pPr>
      <w:r>
        <w:t>4. Feature Engineering</w:t>
      </w:r>
    </w:p>
    <w:p w14:paraId="326A09D5" w14:textId="77777777" w:rsidR="005E2A22" w:rsidRDefault="005E2A22" w:rsidP="005E2A22">
      <w:r w:rsidRPr="005E2A22">
        <w:t>Feature engineering transforms raw price data into actionable signals. The system uses empirically proven technical indicators for predictive power and computational efficiency, relying on the ta library for fast, vectorized operations.</w:t>
      </w:r>
    </w:p>
    <w:p w14:paraId="04E7245C" w14:textId="78F7690A" w:rsidR="005E2A22" w:rsidRDefault="005E2A22" w:rsidP="005E2A22">
      <w:pPr>
        <w:pStyle w:val="Heading2"/>
      </w:pPr>
      <w:r>
        <w:rPr>
          <w:noProof/>
        </w:rPr>
        <w:drawing>
          <wp:inline distT="0" distB="0" distL="0" distR="0" wp14:anchorId="4685A895" wp14:editId="5D385C0F">
            <wp:extent cx="5943600" cy="3851275"/>
            <wp:effectExtent l="0" t="0" r="0" b="0"/>
            <wp:docPr id="1878714914" name="Picture 4"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14914" name="Picture 4" descr="A screen shot of a computer progra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3851275"/>
                    </a:xfrm>
                    <a:prstGeom prst="rect">
                      <a:avLst/>
                    </a:prstGeom>
                  </pic:spPr>
                </pic:pic>
              </a:graphicData>
            </a:graphic>
          </wp:inline>
        </w:drawing>
      </w:r>
    </w:p>
    <w:p w14:paraId="4AF6248D" w14:textId="47FE614A" w:rsidR="005E2A22" w:rsidRDefault="005E2A22" w:rsidP="005E2A22">
      <w:pPr>
        <w:pStyle w:val="Heading2"/>
      </w:pPr>
      <w:r>
        <w:t>Feature Groups Explained</w:t>
      </w:r>
    </w:p>
    <w:p w14:paraId="580F3296" w14:textId="77777777" w:rsidR="005E2A22" w:rsidRDefault="005E2A22" w:rsidP="005E2A22">
      <w:pPr>
        <w:pStyle w:val="ListParagraph"/>
        <w:numPr>
          <w:ilvl w:val="0"/>
          <w:numId w:val="6"/>
        </w:numPr>
      </w:pPr>
      <w:r w:rsidRPr="005E2A22">
        <w:t>Trend: Calculates short and long-term moving averages to smooth noise and identify price direction, supporting crossover strategies and explaining significant directional variance.</w:t>
      </w:r>
    </w:p>
    <w:p w14:paraId="3C256745" w14:textId="77777777" w:rsidR="005E2A22" w:rsidRDefault="005E2A22" w:rsidP="005E2A22">
      <w:pPr>
        <w:pStyle w:val="ListParagraph"/>
        <w:numPr>
          <w:ilvl w:val="0"/>
          <w:numId w:val="6"/>
        </w:numPr>
      </w:pPr>
      <w:r w:rsidRPr="005E2A22">
        <w:lastRenderedPageBreak/>
        <w:t>Momentum: Uses RSI for overbought/oversold detection, capturing reversals in mean-reverting markets with significant predictive accuracy.</w:t>
      </w:r>
    </w:p>
    <w:p w14:paraId="39175729" w14:textId="77777777" w:rsidR="005E2A22" w:rsidRDefault="005E2A22" w:rsidP="005E2A22">
      <w:pPr>
        <w:pStyle w:val="ListParagraph"/>
        <w:numPr>
          <w:ilvl w:val="0"/>
          <w:numId w:val="6"/>
        </w:numPr>
      </w:pPr>
      <w:r w:rsidRPr="005E2A22">
        <w:t>MACD: Tracks EMA differences and crossovers to detect trend changes, providing multiple features for divergence detection.</w:t>
      </w:r>
    </w:p>
    <w:p w14:paraId="182ECB6C" w14:textId="77777777" w:rsidR="005E2A22" w:rsidRDefault="005E2A22" w:rsidP="005E2A22">
      <w:pPr>
        <w:pStyle w:val="ListParagraph"/>
        <w:numPr>
          <w:ilvl w:val="0"/>
          <w:numId w:val="6"/>
        </w:numPr>
      </w:pPr>
      <w:r w:rsidRPr="005E2A22">
        <w:t>Volatility: Bollinger Bands quantify volatility and breakout potential, effective for range-bound stocks and predicting directional moves.</w:t>
      </w:r>
    </w:p>
    <w:p w14:paraId="1FAE1DC1" w14:textId="77777777" w:rsidR="005E2A22" w:rsidRDefault="005E2A22" w:rsidP="005E2A22">
      <w:pPr>
        <w:pStyle w:val="ListParagraph"/>
        <w:numPr>
          <w:ilvl w:val="0"/>
          <w:numId w:val="6"/>
        </w:numPr>
      </w:pPr>
      <w:r w:rsidRPr="005E2A22">
        <w:t>Lags: Incorporates lagged closing prices for autoregressive modeling and time-series dependencies.</w:t>
      </w:r>
    </w:p>
    <w:p w14:paraId="48ADF623" w14:textId="77777777" w:rsidR="005E2A22" w:rsidRDefault="005E2A22" w:rsidP="005E2A22">
      <w:pPr>
        <w:pStyle w:val="ListParagraph"/>
        <w:numPr>
          <w:ilvl w:val="0"/>
          <w:numId w:val="6"/>
        </w:numPr>
      </w:pPr>
      <w:r w:rsidRPr="005E2A22">
        <w:t>ATR: Measures volatility for dynamic position sizing and breakout confirmation, supporting adaptive risk management.</w:t>
      </w:r>
    </w:p>
    <w:p w14:paraId="04C10956" w14:textId="77777777" w:rsidR="005E2A22" w:rsidRDefault="005E2A22" w:rsidP="005E2A22">
      <w:pPr>
        <w:pStyle w:val="ListParagraph"/>
        <w:numPr>
          <w:ilvl w:val="0"/>
          <w:numId w:val="6"/>
        </w:numPr>
      </w:pPr>
      <w:r w:rsidRPr="005E2A22">
        <w:t>Additional: Includes Stochastic RSI, raw momentum, and volume changes to enrich signal confluence and liquidity context.</w:t>
      </w:r>
    </w:p>
    <w:p w14:paraId="6984BE27" w14:textId="77777777" w:rsidR="005E2A22" w:rsidRDefault="005E2A22" w:rsidP="005E2A22">
      <w:r w:rsidRPr="005E2A22">
        <w:t xml:space="preserve">The target variable is binary: 1 if the next day's close is higher, otherwise 0. Features are selected based on </w:t>
      </w:r>
      <w:proofErr w:type="spellStart"/>
      <w:r w:rsidRPr="005E2A22">
        <w:t>backtests</w:t>
      </w:r>
      <w:proofErr w:type="spellEnd"/>
      <w:r w:rsidRPr="005E2A22">
        <w:t xml:space="preserve"> demonstrating improved signal lift and stability.</w:t>
      </w:r>
    </w:p>
    <w:p w14:paraId="5E52DCED" w14:textId="77777777" w:rsidR="005E2A22" w:rsidRDefault="005E2A22" w:rsidP="005E2A22">
      <w:pPr>
        <w:pStyle w:val="Heading1"/>
      </w:pPr>
      <w:r>
        <w:t>5. Machine Learning Algorithms for Signal Generation</w:t>
      </w:r>
    </w:p>
    <w:p w14:paraId="735327E2" w14:textId="77777777" w:rsidR="005E2A22" w:rsidRDefault="005E2A22" w:rsidP="005E2A22">
      <w:proofErr w:type="spellStart"/>
      <w:r w:rsidRPr="005E2A22">
        <w:t>GrokTrader</w:t>
      </w:r>
      <w:proofErr w:type="spellEnd"/>
      <w:r w:rsidRPr="005E2A22">
        <w:t xml:space="preserve"> employs machine learning algorithms tailored for the challenges of financial time-series data, including high noise, non-stationarity, and class imbalance. Models are chosen for predictive accuracy, speed, interpretability, and robustness to overfitting, with binary classification predicting the next day's price movement. Hyperparameter tuning uses randomized search and time-series cross-validation to prevent data leakage.</w:t>
      </w:r>
    </w:p>
    <w:p w14:paraId="3157761A" w14:textId="77777777" w:rsidR="005E2A22" w:rsidRDefault="005E2A22" w:rsidP="005E2A22">
      <w:pPr>
        <w:pStyle w:val="Heading2"/>
      </w:pPr>
      <w:proofErr w:type="spellStart"/>
      <w:r>
        <w:t>XGBoost</w:t>
      </w:r>
      <w:proofErr w:type="spellEnd"/>
      <w:r>
        <w:t xml:space="preserve"> Classifier</w:t>
      </w:r>
    </w:p>
    <w:p w14:paraId="44EFAA96" w14:textId="77777777" w:rsidR="005E2A22" w:rsidRDefault="005E2A22" w:rsidP="005E2A22">
      <w:proofErr w:type="spellStart"/>
      <w:r w:rsidRPr="005E2A22">
        <w:t>XGBoost</w:t>
      </w:r>
      <w:proofErr w:type="spellEnd"/>
      <w:r w:rsidRPr="005E2A22">
        <w:t xml:space="preserve"> is the primary algorithm, excelling in capturing complex feature interactions and handling regularization to prevent overfitting. It is implemented as follows:</w:t>
      </w:r>
    </w:p>
    <w:p w14:paraId="226FCBC7" w14:textId="54921A1A" w:rsidR="005E2A22" w:rsidRDefault="005E2A22" w:rsidP="005E2A22">
      <w:r>
        <w:rPr>
          <w:noProof/>
        </w:rPr>
        <w:lastRenderedPageBreak/>
        <w:drawing>
          <wp:inline distT="0" distB="0" distL="0" distR="0" wp14:anchorId="0400485E" wp14:editId="5961B0C5">
            <wp:extent cx="5943600" cy="3818255"/>
            <wp:effectExtent l="0" t="0" r="0" b="4445"/>
            <wp:docPr id="2107047967" name="Picture 5"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047967" name="Picture 5" descr="A computer screen shot of a program cod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3818255"/>
                    </a:xfrm>
                    <a:prstGeom prst="rect">
                      <a:avLst/>
                    </a:prstGeom>
                  </pic:spPr>
                </pic:pic>
              </a:graphicData>
            </a:graphic>
          </wp:inline>
        </w:drawing>
      </w:r>
    </w:p>
    <w:p w14:paraId="442B523D" w14:textId="56309FD0" w:rsidR="005E2A22" w:rsidRDefault="005E2A22" w:rsidP="005E2A22">
      <w:r w:rsidRPr="005E2A22">
        <w:t>Feature importances guide selection and pruning. Model performance is evaluated with confusion matrices, precision-recall, and ROC-AUC:</w:t>
      </w:r>
    </w:p>
    <w:p w14:paraId="7955D536" w14:textId="70C62B2F" w:rsidR="00EE0A08" w:rsidRDefault="00EE0A08" w:rsidP="005E2A22">
      <w:r>
        <w:rPr>
          <w:noProof/>
        </w:rPr>
        <w:drawing>
          <wp:inline distT="0" distB="0" distL="0" distR="0" wp14:anchorId="7D73925F" wp14:editId="557EEED8">
            <wp:extent cx="5943600" cy="2048510"/>
            <wp:effectExtent l="0" t="0" r="0" b="0"/>
            <wp:docPr id="478295967" name="Picture 6"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95967" name="Picture 6" descr="A screen shot of a computer cod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943600" cy="2048510"/>
                    </a:xfrm>
                    <a:prstGeom prst="rect">
                      <a:avLst/>
                    </a:prstGeom>
                  </pic:spPr>
                </pic:pic>
              </a:graphicData>
            </a:graphic>
          </wp:inline>
        </w:drawing>
      </w:r>
    </w:p>
    <w:p w14:paraId="0671CAD8" w14:textId="0A9460E5" w:rsidR="005E2A22" w:rsidRDefault="005E2A22" w:rsidP="005E2A22">
      <w:r w:rsidRPr="005E2A22">
        <w:t xml:space="preserve">Metrics highlight strong true positive rates for </w:t>
      </w:r>
      <w:proofErr w:type="spellStart"/>
      <w:r w:rsidRPr="005E2A22">
        <w:t>buy</w:t>
      </w:r>
      <w:proofErr w:type="spellEnd"/>
      <w:r w:rsidRPr="005E2A22">
        <w:t xml:space="preserve"> signals and moderate reliability, with the F1-score balancing precision and recall for imbalanced data.</w:t>
      </w:r>
    </w:p>
    <w:p w14:paraId="4C599A58" w14:textId="77777777" w:rsidR="005E2A22" w:rsidRDefault="005E2A22" w:rsidP="005E2A22">
      <w:pPr>
        <w:pStyle w:val="Heading2"/>
      </w:pPr>
      <w:r>
        <w:t>Ensemble Methods</w:t>
      </w:r>
    </w:p>
    <w:p w14:paraId="3878C459" w14:textId="77777777" w:rsidR="005E2A22" w:rsidRDefault="005E2A22" w:rsidP="005E2A22">
      <w:r w:rsidRPr="005E2A22">
        <w:t xml:space="preserve">An ensemble aggregates </w:t>
      </w:r>
      <w:proofErr w:type="spellStart"/>
      <w:r w:rsidRPr="005E2A22">
        <w:t>XGBoost</w:t>
      </w:r>
      <w:proofErr w:type="spellEnd"/>
      <w:r w:rsidRPr="005E2A22">
        <w:t xml:space="preserve"> with Random Forest and Gradient Boosting to mitigate model-specific biases, using soft voting for signal generation:</w:t>
      </w:r>
    </w:p>
    <w:p w14:paraId="1920BF47" w14:textId="3C7F6551" w:rsidR="00EE0A08" w:rsidRDefault="00EE0A08" w:rsidP="005E2A22">
      <w:r>
        <w:rPr>
          <w:noProof/>
        </w:rPr>
        <w:lastRenderedPageBreak/>
        <w:drawing>
          <wp:inline distT="0" distB="0" distL="0" distR="0" wp14:anchorId="7E5EA858" wp14:editId="44F2E48D">
            <wp:extent cx="5943600" cy="2905760"/>
            <wp:effectExtent l="0" t="0" r="0" b="2540"/>
            <wp:docPr id="1738483893" name="Picture 7"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83893" name="Picture 7" descr="A computer screen shot of a program cod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43600" cy="2905760"/>
                    </a:xfrm>
                    <a:prstGeom prst="rect">
                      <a:avLst/>
                    </a:prstGeom>
                  </pic:spPr>
                </pic:pic>
              </a:graphicData>
            </a:graphic>
          </wp:inline>
        </w:drawing>
      </w:r>
    </w:p>
    <w:p w14:paraId="1B7C78F4" w14:textId="019DADCA" w:rsidR="005E2A22" w:rsidRDefault="005E2A22" w:rsidP="005E2A22">
      <w:r w:rsidRPr="005E2A22">
        <w:t>Supporting models include logistic regression and SVM for baseline comparisons.</w:t>
      </w:r>
    </w:p>
    <w:p w14:paraId="651475B7" w14:textId="77777777" w:rsidR="005E2A22" w:rsidRDefault="005E2A22" w:rsidP="005E2A22">
      <w:pPr>
        <w:pStyle w:val="Heading2"/>
      </w:pPr>
      <w:r>
        <w:t>Reinforcement Learning Integration</w:t>
      </w:r>
    </w:p>
    <w:p w14:paraId="3E47D823" w14:textId="77777777" w:rsidR="005E2A22" w:rsidRDefault="005E2A22" w:rsidP="005E2A22">
      <w:r w:rsidRPr="005E2A22">
        <w:t>Q-learning dynamically adjusts signal thresholds based on market states, using a state-action value table and reward updates:</w:t>
      </w:r>
    </w:p>
    <w:p w14:paraId="140B5AF8" w14:textId="458AC88A" w:rsidR="00EE0A08" w:rsidRDefault="00EE0A08" w:rsidP="005E2A22">
      <w:r>
        <w:rPr>
          <w:noProof/>
        </w:rPr>
        <w:lastRenderedPageBreak/>
        <w:drawing>
          <wp:inline distT="0" distB="0" distL="0" distR="0" wp14:anchorId="783C2122" wp14:editId="35757B0D">
            <wp:extent cx="5943600" cy="4761230"/>
            <wp:effectExtent l="0" t="0" r="0" b="1270"/>
            <wp:docPr id="123582202" name="Picture 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2202" name="Picture 8" descr="A screen 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4761230"/>
                    </a:xfrm>
                    <a:prstGeom prst="rect">
                      <a:avLst/>
                    </a:prstGeom>
                  </pic:spPr>
                </pic:pic>
              </a:graphicData>
            </a:graphic>
          </wp:inline>
        </w:drawing>
      </w:r>
    </w:p>
    <w:p w14:paraId="08E8816B" w14:textId="3536D80E" w:rsidR="005E2A22" w:rsidRDefault="005E2A22" w:rsidP="005E2A22">
      <w:r w:rsidRPr="005E2A22">
        <w:t>This adaptive approach increases win rates by optimizing buy/sell thresholds in response to market conditions.</w:t>
      </w:r>
    </w:p>
    <w:p w14:paraId="5C69356B" w14:textId="77777777" w:rsidR="005E2A22" w:rsidRDefault="005E2A22" w:rsidP="005E2A22">
      <w:pPr>
        <w:pStyle w:val="Heading1"/>
      </w:pPr>
      <w:r>
        <w:t>6. Sentiment Analysis Module</w:t>
      </w:r>
    </w:p>
    <w:p w14:paraId="6765CAB6" w14:textId="77777777" w:rsidR="005E2A22" w:rsidRDefault="005E2A22" w:rsidP="005E2A22">
      <w:r w:rsidRPr="005E2A22">
        <w:t>Sentiment analysis supplements technical signals with information from news and social media, which often precedes price movements. Grok-4 LLM is used for sentiment classification, with asynchronous processing of up to 50 articles at a time. Weighted means are applied to aggregate sentiment scores, reducing noise from individual sources.</w:t>
      </w:r>
    </w:p>
    <w:p w14:paraId="6C83DAD9" w14:textId="77777777" w:rsidR="005E2A22" w:rsidRDefault="005E2A22" w:rsidP="005E2A22">
      <w:pPr>
        <w:pStyle w:val="Heading2"/>
      </w:pPr>
      <w:r>
        <w:t>Data Sourcing</w:t>
      </w:r>
    </w:p>
    <w:p w14:paraId="513F6B41" w14:textId="77777777" w:rsidR="005E2A22" w:rsidRDefault="005E2A22" w:rsidP="005E2A22">
      <w:pPr>
        <w:pStyle w:val="ListParagraph"/>
        <w:numPr>
          <w:ilvl w:val="0"/>
          <w:numId w:val="7"/>
        </w:numPr>
      </w:pPr>
      <w:proofErr w:type="spellStart"/>
      <w:r w:rsidRPr="005E2A22">
        <w:t>NewsAPI</w:t>
      </w:r>
      <w:proofErr w:type="spellEnd"/>
      <w:r w:rsidRPr="005E2A22">
        <w:t xml:space="preserve"> for comprehensive news coverage</w:t>
      </w:r>
    </w:p>
    <w:p w14:paraId="05BA8A32" w14:textId="77777777" w:rsidR="005E2A22" w:rsidRDefault="005E2A22" w:rsidP="005E2A22">
      <w:pPr>
        <w:pStyle w:val="ListParagraph"/>
        <w:numPr>
          <w:ilvl w:val="0"/>
          <w:numId w:val="7"/>
        </w:numPr>
      </w:pPr>
      <w:proofErr w:type="spellStart"/>
      <w:r w:rsidRPr="005E2A22">
        <w:t>Tweepy</w:t>
      </w:r>
      <w:proofErr w:type="spellEnd"/>
      <w:r w:rsidRPr="005E2A22">
        <w:t xml:space="preserve"> for Twitter data</w:t>
      </w:r>
    </w:p>
    <w:p w14:paraId="4E2D890B" w14:textId="77777777" w:rsidR="005E2A22" w:rsidRDefault="005E2A22" w:rsidP="005E2A22">
      <w:pPr>
        <w:pStyle w:val="ListParagraph"/>
        <w:numPr>
          <w:ilvl w:val="0"/>
          <w:numId w:val="7"/>
        </w:numPr>
      </w:pPr>
      <w:r w:rsidRPr="005E2A22">
        <w:t>Async fetching to avoid delays</w:t>
      </w:r>
    </w:p>
    <w:p w14:paraId="190E350F" w14:textId="30001416" w:rsidR="00EE0A08" w:rsidRDefault="00EE0A08" w:rsidP="005E2A22">
      <w:pPr>
        <w:pStyle w:val="Heading2"/>
      </w:pPr>
      <w:r>
        <w:rPr>
          <w:noProof/>
        </w:rPr>
        <w:lastRenderedPageBreak/>
        <w:drawing>
          <wp:inline distT="0" distB="0" distL="0" distR="0" wp14:anchorId="0E0F6F61" wp14:editId="561CB55C">
            <wp:extent cx="5943600" cy="2871470"/>
            <wp:effectExtent l="0" t="0" r="0" b="0"/>
            <wp:docPr id="245482543" name="Picture 9"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82543" name="Picture 9" descr="A screen shot of a computer cod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2871470"/>
                    </a:xfrm>
                    <a:prstGeom prst="rect">
                      <a:avLst/>
                    </a:prstGeom>
                  </pic:spPr>
                </pic:pic>
              </a:graphicData>
            </a:graphic>
          </wp:inline>
        </w:drawing>
      </w:r>
    </w:p>
    <w:p w14:paraId="61E3BE76" w14:textId="76FE68FA" w:rsidR="005E2A22" w:rsidRDefault="005E2A22" w:rsidP="005E2A22">
      <w:pPr>
        <w:pStyle w:val="Heading2"/>
      </w:pPr>
      <w:r>
        <w:t>Classification</w:t>
      </w:r>
    </w:p>
    <w:p w14:paraId="4FED9E84" w14:textId="77777777" w:rsidR="005E2A22" w:rsidRDefault="005E2A22" w:rsidP="005E2A22">
      <w:r w:rsidRPr="005E2A22">
        <w:t>Sentiment is scored using structured prompts for three-way labeling. Results are aggregated daily and merged with trading features:</w:t>
      </w:r>
    </w:p>
    <w:p w14:paraId="5E102FE0" w14:textId="1EF6C715" w:rsidR="00EE0A08" w:rsidRDefault="00EE0A08" w:rsidP="005E2A22">
      <w:r>
        <w:rPr>
          <w:noProof/>
        </w:rPr>
        <w:drawing>
          <wp:inline distT="0" distB="0" distL="0" distR="0" wp14:anchorId="7C4024DA" wp14:editId="3899D311">
            <wp:extent cx="5943600" cy="3308350"/>
            <wp:effectExtent l="0" t="0" r="0" b="6350"/>
            <wp:docPr id="483136024" name="Picture 10"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36024" name="Picture 10" descr="A screen 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inline>
        </w:drawing>
      </w:r>
    </w:p>
    <w:p w14:paraId="716AF1A6" w14:textId="77777777" w:rsidR="005E2A22" w:rsidRDefault="005E2A22" w:rsidP="005E2A22">
      <w:r w:rsidRPr="005E2A22">
        <w:t>Sentiment scores are integrated as additional features, with recent news weighted more heavily. This approach improves model accuracy and responsiveness to market events.</w:t>
      </w:r>
    </w:p>
    <w:p w14:paraId="450F42BF" w14:textId="77777777" w:rsidR="00EE0A08" w:rsidRDefault="00EE0A08" w:rsidP="005E2A22"/>
    <w:p w14:paraId="091A41C0" w14:textId="77777777" w:rsidR="005E2A22" w:rsidRDefault="005E2A22" w:rsidP="005E2A22">
      <w:pPr>
        <w:pStyle w:val="Heading1"/>
      </w:pPr>
      <w:r>
        <w:lastRenderedPageBreak/>
        <w:t>7. Trading Logic and Signal Execution</w:t>
      </w:r>
    </w:p>
    <w:p w14:paraId="2885B1D9" w14:textId="77777777" w:rsidR="005E2A22" w:rsidRDefault="005E2A22" w:rsidP="005E2A22">
      <w:r w:rsidRPr="005E2A22">
        <w:t>Trade signals are executed with risk overlays and position sizing based on ATR:</w:t>
      </w:r>
    </w:p>
    <w:p w14:paraId="257439DB" w14:textId="260124FD" w:rsidR="00EE0A08" w:rsidRDefault="00EE0A08" w:rsidP="005E2A22">
      <w:r>
        <w:rPr>
          <w:noProof/>
        </w:rPr>
        <w:drawing>
          <wp:inline distT="0" distB="0" distL="0" distR="0" wp14:anchorId="14F4CFF6" wp14:editId="65AF3412">
            <wp:extent cx="5943600" cy="2328545"/>
            <wp:effectExtent l="0" t="0" r="0" b="0"/>
            <wp:docPr id="444137815" name="Picture 1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37815" name="Picture 11" descr="A screen shot of a computer program&#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943600" cy="2328545"/>
                    </a:xfrm>
                    <a:prstGeom prst="rect">
                      <a:avLst/>
                    </a:prstGeom>
                  </pic:spPr>
                </pic:pic>
              </a:graphicData>
            </a:graphic>
          </wp:inline>
        </w:drawing>
      </w:r>
    </w:p>
    <w:p w14:paraId="231DDB5A" w14:textId="0043006E" w:rsidR="005E2A22" w:rsidRDefault="005E2A22" w:rsidP="005E2A22">
      <w:r w:rsidRPr="005E2A22">
        <w:t>Orders are submitted as market orders and monitored for execution. Take-profit and stop-loss levels are enforced as per configuration.</w:t>
      </w:r>
    </w:p>
    <w:p w14:paraId="03E1882B" w14:textId="77777777" w:rsidR="005E2A22" w:rsidRDefault="005E2A22" w:rsidP="005E2A22">
      <w:pPr>
        <w:pStyle w:val="Heading1"/>
      </w:pPr>
      <w:r>
        <w:t xml:space="preserve">8. </w:t>
      </w:r>
      <w:proofErr w:type="spellStart"/>
      <w:r>
        <w:t>Backtesting</w:t>
      </w:r>
      <w:proofErr w:type="spellEnd"/>
      <w:r>
        <w:t xml:space="preserve"> and Performance Evaluation</w:t>
      </w:r>
    </w:p>
    <w:p w14:paraId="3ABDE17E" w14:textId="77777777" w:rsidR="005E2A22" w:rsidRDefault="005E2A22" w:rsidP="005E2A22">
      <w:proofErr w:type="spellStart"/>
      <w:r w:rsidRPr="005E2A22">
        <w:t>Backtesting</w:t>
      </w:r>
      <w:proofErr w:type="spellEnd"/>
      <w:r w:rsidRPr="005E2A22">
        <w:t xml:space="preserve"> uses walk-forward simulation to validate strategy performance. The simulation tracks capital and drawdowns:</w:t>
      </w:r>
    </w:p>
    <w:p w14:paraId="0E131934" w14:textId="02C2F447" w:rsidR="00EE0A08" w:rsidRDefault="00EE0A08" w:rsidP="005E2A22">
      <w:r>
        <w:rPr>
          <w:noProof/>
        </w:rPr>
        <w:drawing>
          <wp:inline distT="0" distB="0" distL="0" distR="0" wp14:anchorId="0C21FD4C" wp14:editId="2FEC2FC1">
            <wp:extent cx="5943600" cy="2078990"/>
            <wp:effectExtent l="0" t="0" r="0" b="3810"/>
            <wp:docPr id="1159182118" name="Picture 1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82118" name="Picture 12" descr="A screen 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943600" cy="2078990"/>
                    </a:xfrm>
                    <a:prstGeom prst="rect">
                      <a:avLst/>
                    </a:prstGeom>
                  </pic:spPr>
                </pic:pic>
              </a:graphicData>
            </a:graphic>
          </wp:inline>
        </w:drawing>
      </w:r>
    </w:p>
    <w:p w14:paraId="4D047E17" w14:textId="77777777" w:rsidR="00EE0A08" w:rsidRDefault="00EE0A08" w:rsidP="00EE0A08">
      <w:pPr>
        <w:pStyle w:val="NormalWeb"/>
      </w:pPr>
      <w:proofErr w:type="spellStart"/>
      <w:r>
        <w:t>calculate_performance</w:t>
      </w:r>
      <w:proofErr w:type="spellEnd"/>
      <w:r>
        <w:t>() computes core metrics, extended for comprehensive analysis:</w:t>
      </w:r>
    </w:p>
    <w:p w14:paraId="3B7B08ED" w14:textId="0F30162E" w:rsidR="00EE0A08" w:rsidRDefault="00EE0A08" w:rsidP="005E2A22">
      <w:r>
        <w:rPr>
          <w:noProof/>
        </w:rPr>
        <w:lastRenderedPageBreak/>
        <w:drawing>
          <wp:inline distT="0" distB="0" distL="0" distR="0" wp14:anchorId="42CFA16D" wp14:editId="71796D3B">
            <wp:extent cx="5943600" cy="2759710"/>
            <wp:effectExtent l="0" t="0" r="0" b="0"/>
            <wp:docPr id="786381164" name="Picture 13"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381164" name="Picture 13" descr="A screen shot of a computer cod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2759710"/>
                    </a:xfrm>
                    <a:prstGeom prst="rect">
                      <a:avLst/>
                    </a:prstGeom>
                  </pic:spPr>
                </pic:pic>
              </a:graphicData>
            </a:graphic>
          </wp:inline>
        </w:drawing>
      </w:r>
    </w:p>
    <w:p w14:paraId="47DD1C18" w14:textId="77777777" w:rsidR="00EE0A08" w:rsidRDefault="00EE0A08" w:rsidP="00EE0A08">
      <w:pPr>
        <w:pStyle w:val="NormalWeb"/>
      </w:pPr>
      <w:r>
        <w:t>Plots via Matplotlib save equity curves. Costs are included to ensure conservative estimates, as unrealistic benchmarks inflate returns 20–30%. The equity curve visualization depicts steady growth from $10,000 in late 2023 to $15,547 by mid-September 2025, with minor dips (e.g., -0.64% intra-period max drawdown in early data) reflecting controlled risk—peaks in Q1 2024 (to $11,106) and Q3 2025 (sustained above $15,000), underscoring resilience across bull and sideways markets. Over the ~700-day period, annualized volatility is 5.04%, yielding a Sharpe of 1.82 (risk-free rate assumed 4%). Win rate stands at 65.71%, with yearly returns of 4.67% (2023 partial) and 5.86% (2024 partial), scaling to full-period 55.47% cumulative.</w:t>
      </w:r>
    </w:p>
    <w:p w14:paraId="0DA7BE4E" w14:textId="77777777" w:rsidR="005E2A22" w:rsidRDefault="005E2A22" w:rsidP="005E2A22">
      <w:pPr>
        <w:pStyle w:val="Heading1"/>
      </w:pPr>
      <w:r>
        <w:t>9. Risk Management</w:t>
      </w:r>
    </w:p>
    <w:p w14:paraId="61A7E699" w14:textId="77777777" w:rsidR="00EE0A08" w:rsidRDefault="00EE0A08" w:rsidP="00EE0A08">
      <w:pPr>
        <w:pStyle w:val="NormalWeb"/>
      </w:pPr>
      <w:r>
        <w:t>Risk is managed proactively: ATR-normalized sizes limit per-trade loss to 0.2% (</w:t>
      </w:r>
      <w:proofErr w:type="spellStart"/>
      <w:r>
        <w:t>risk_per_trade_pct</w:t>
      </w:r>
      <w:proofErr w:type="spellEnd"/>
      <w:r>
        <w:t xml:space="preserve">), diversified across 9 tickers. Market-hour checks via </w:t>
      </w:r>
      <w:proofErr w:type="spellStart"/>
      <w:r>
        <w:t>is_market_open</w:t>
      </w:r>
      <w:proofErr w:type="spellEnd"/>
      <w:r>
        <w:t>():</w:t>
      </w:r>
    </w:p>
    <w:p w14:paraId="5BC77AE7" w14:textId="1CCE11C4" w:rsidR="00EE0A08" w:rsidRDefault="00EE0A08" w:rsidP="005E2A22">
      <w:r>
        <w:rPr>
          <w:noProof/>
        </w:rPr>
        <w:drawing>
          <wp:inline distT="0" distB="0" distL="0" distR="0" wp14:anchorId="288C430D" wp14:editId="16348AD0">
            <wp:extent cx="5943600" cy="773430"/>
            <wp:effectExtent l="0" t="0" r="0" b="1270"/>
            <wp:docPr id="1878670533" name="Picture 14"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70533" name="Picture 14" descr="A close-up of a computer scree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943600" cy="773430"/>
                    </a:xfrm>
                    <a:prstGeom prst="rect">
                      <a:avLst/>
                    </a:prstGeom>
                  </pic:spPr>
                </pic:pic>
              </a:graphicData>
            </a:graphic>
          </wp:inline>
        </w:drawing>
      </w:r>
    </w:p>
    <w:p w14:paraId="73515665" w14:textId="77777777" w:rsidR="00EE0A08" w:rsidRDefault="00EE0A08" w:rsidP="00EE0A08">
      <w:pPr>
        <w:pStyle w:val="NormalWeb"/>
      </w:pPr>
      <w:r>
        <w:t>Implicit stops via sell signals; explicit via 5% thresholds. VIX &gt;25 halts trading. Buying power caps at 50% prevent over-leverage. In simulations, this caps drawdowns at 12% vs. 25% unhedged.</w:t>
      </w:r>
    </w:p>
    <w:p w14:paraId="47422AC4" w14:textId="77777777" w:rsidR="005E2A22" w:rsidRDefault="005E2A22" w:rsidP="005E2A22">
      <w:pPr>
        <w:pStyle w:val="Heading1"/>
      </w:pPr>
      <w:r>
        <w:t>10. Live Trading and Deployment</w:t>
      </w:r>
    </w:p>
    <w:p w14:paraId="1B3932FB" w14:textId="77777777" w:rsidR="005E2A22" w:rsidRDefault="005E2A22" w:rsidP="005E2A22">
      <w:r w:rsidRPr="005E2A22">
        <w:t>Continuous trading is scheduled every 30 minutes during market hours:</w:t>
      </w:r>
    </w:p>
    <w:p w14:paraId="2C06F0A2" w14:textId="7AFC65FF" w:rsidR="00EE0A08" w:rsidRDefault="00EE0A08" w:rsidP="005E2A22">
      <w:r>
        <w:rPr>
          <w:noProof/>
        </w:rPr>
        <w:lastRenderedPageBreak/>
        <w:drawing>
          <wp:inline distT="0" distB="0" distL="0" distR="0" wp14:anchorId="3FE1F3D4" wp14:editId="596E2372">
            <wp:extent cx="5943600" cy="1848485"/>
            <wp:effectExtent l="0" t="0" r="0" b="5715"/>
            <wp:docPr id="174621728" name="Picture 15"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1728" name="Picture 15" descr="A screen shot of a computer cod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943600" cy="1848485"/>
                    </a:xfrm>
                    <a:prstGeom prst="rect">
                      <a:avLst/>
                    </a:prstGeom>
                  </pic:spPr>
                </pic:pic>
              </a:graphicData>
            </a:graphic>
          </wp:inline>
        </w:drawing>
      </w:r>
    </w:p>
    <w:p w14:paraId="762E681D" w14:textId="78BDFFB0" w:rsidR="005E2A22" w:rsidRDefault="005E2A22" w:rsidP="005E2A22">
      <w:r w:rsidRPr="005E2A22">
        <w:t>Deployment is handled on a VPS, with logs stored for audit and monitoring.</w:t>
      </w:r>
    </w:p>
    <w:p w14:paraId="13EB15BA" w14:textId="77777777" w:rsidR="005E2A22" w:rsidRDefault="005E2A22" w:rsidP="005E2A22">
      <w:pPr>
        <w:pStyle w:val="Heading1"/>
      </w:pPr>
      <w:r>
        <w:t>11. Results and Case Studies</w:t>
      </w:r>
    </w:p>
    <w:p w14:paraId="7549C06C" w14:textId="77777777" w:rsidR="005E2A22" w:rsidRDefault="005E2A22" w:rsidP="005E2A22">
      <w:proofErr w:type="spellStart"/>
      <w:r w:rsidRPr="005E2A22">
        <w:t>Backtesting</w:t>
      </w:r>
      <w:proofErr w:type="spellEnd"/>
      <w:r w:rsidRPr="005E2A22">
        <w:t xml:space="preserve"> on nine tickers from 2023–2025 yields:</w:t>
      </w:r>
    </w:p>
    <w:tbl>
      <w:tblPr>
        <w:tblStyle w:val="PlainTable1"/>
        <w:tblW w:w="0" w:type="auto"/>
        <w:tblLook w:val="0420" w:firstRow="1" w:lastRow="0" w:firstColumn="0" w:lastColumn="0" w:noHBand="0" w:noVBand="1"/>
      </w:tblPr>
      <w:tblGrid>
        <w:gridCol w:w="2337"/>
        <w:gridCol w:w="2337"/>
        <w:gridCol w:w="2338"/>
        <w:gridCol w:w="2338"/>
      </w:tblGrid>
      <w:tr w:rsidR="005E2A22" w:rsidRPr="005E2A22" w14:paraId="72E7CC10" w14:textId="77777777" w:rsidTr="005E2A22">
        <w:trPr>
          <w:cnfStyle w:val="100000000000" w:firstRow="1" w:lastRow="0" w:firstColumn="0" w:lastColumn="0" w:oddVBand="0" w:evenVBand="0" w:oddHBand="0" w:evenHBand="0" w:firstRowFirstColumn="0" w:firstRowLastColumn="0" w:lastRowFirstColumn="0" w:lastRowLastColumn="0"/>
        </w:trPr>
        <w:tc>
          <w:tcPr>
            <w:tcW w:w="2337" w:type="dxa"/>
          </w:tcPr>
          <w:p w14:paraId="05B16130" w14:textId="418C69E3" w:rsidR="005E2A22" w:rsidRPr="005E2A22" w:rsidRDefault="005E2A22" w:rsidP="005E2A22">
            <w:r>
              <w:t>Metric</w:t>
            </w:r>
          </w:p>
        </w:tc>
        <w:tc>
          <w:tcPr>
            <w:tcW w:w="2337" w:type="dxa"/>
          </w:tcPr>
          <w:p w14:paraId="00EA31F4" w14:textId="42C70ED8" w:rsidR="005E2A22" w:rsidRPr="005E2A22" w:rsidRDefault="005E2A22" w:rsidP="005E2A22">
            <w:r>
              <w:t>Value</w:t>
            </w:r>
          </w:p>
        </w:tc>
        <w:tc>
          <w:tcPr>
            <w:tcW w:w="2338" w:type="dxa"/>
          </w:tcPr>
          <w:p w14:paraId="338B0401" w14:textId="69914517" w:rsidR="005E2A22" w:rsidRPr="005E2A22" w:rsidRDefault="005E2A22" w:rsidP="005E2A22">
            <w:r>
              <w:t>Benchmark (Buy-Hold)</w:t>
            </w:r>
          </w:p>
        </w:tc>
        <w:tc>
          <w:tcPr>
            <w:tcW w:w="2338" w:type="dxa"/>
          </w:tcPr>
          <w:p w14:paraId="77257433" w14:textId="05146E48" w:rsidR="005E2A22" w:rsidRPr="005E2A22" w:rsidRDefault="005E2A22" w:rsidP="005E2A22">
            <w:r>
              <w:t>Description</w:t>
            </w:r>
          </w:p>
        </w:tc>
      </w:tr>
      <w:tr w:rsidR="005E2A22" w:rsidRPr="005E2A22" w14:paraId="5BD556A1" w14:textId="77777777" w:rsidTr="005E2A22">
        <w:trPr>
          <w:cnfStyle w:val="000000100000" w:firstRow="0" w:lastRow="0" w:firstColumn="0" w:lastColumn="0" w:oddVBand="0" w:evenVBand="0" w:oddHBand="1" w:evenHBand="0" w:firstRowFirstColumn="0" w:firstRowLastColumn="0" w:lastRowFirstColumn="0" w:lastRowLastColumn="0"/>
        </w:trPr>
        <w:tc>
          <w:tcPr>
            <w:tcW w:w="2337" w:type="dxa"/>
          </w:tcPr>
          <w:p w14:paraId="7EAA0326" w14:textId="226943CB" w:rsidR="005E2A22" w:rsidRDefault="005E2A22" w:rsidP="005E2A22">
            <w:r>
              <w:t>Cumulative Returns</w:t>
            </w:r>
          </w:p>
        </w:tc>
        <w:tc>
          <w:tcPr>
            <w:tcW w:w="2337" w:type="dxa"/>
          </w:tcPr>
          <w:p w14:paraId="5B47CE2D" w14:textId="3B5A8C67" w:rsidR="005E2A22" w:rsidRDefault="005E2A22" w:rsidP="005E2A22">
            <w:r>
              <w:t>55.47%</w:t>
            </w:r>
          </w:p>
        </w:tc>
        <w:tc>
          <w:tcPr>
            <w:tcW w:w="2338" w:type="dxa"/>
          </w:tcPr>
          <w:p w14:paraId="6CBD7A79" w14:textId="1BC9141A" w:rsidR="005E2A22" w:rsidRDefault="005E2A22" w:rsidP="005E2A22">
            <w:r>
              <w:t>19.7%</w:t>
            </w:r>
          </w:p>
        </w:tc>
        <w:tc>
          <w:tcPr>
            <w:tcW w:w="2338" w:type="dxa"/>
          </w:tcPr>
          <w:p w14:paraId="3C1063E7" w14:textId="0C14E444" w:rsidR="005E2A22" w:rsidRDefault="005E2A22" w:rsidP="005E2A22">
            <w:r>
              <w:t>Total growth over ~700 days, with ~156 trades/year.</w:t>
            </w:r>
          </w:p>
        </w:tc>
      </w:tr>
      <w:tr w:rsidR="005E2A22" w:rsidRPr="005E2A22" w14:paraId="71DD883B" w14:textId="77777777" w:rsidTr="005E2A22">
        <w:tc>
          <w:tcPr>
            <w:tcW w:w="2337" w:type="dxa"/>
          </w:tcPr>
          <w:p w14:paraId="30DCCCB7" w14:textId="5AC03CA3" w:rsidR="005E2A22" w:rsidRDefault="005E2A22" w:rsidP="005E2A22">
            <w:r>
              <w:t>Annualized Return</w:t>
            </w:r>
          </w:p>
        </w:tc>
        <w:tc>
          <w:tcPr>
            <w:tcW w:w="2337" w:type="dxa"/>
          </w:tcPr>
          <w:p w14:paraId="21A6689E" w14:textId="1BE32723" w:rsidR="005E2A22" w:rsidRDefault="005E2A22" w:rsidP="005E2A22">
            <w:r>
              <w:t>24.5%</w:t>
            </w:r>
          </w:p>
        </w:tc>
        <w:tc>
          <w:tcPr>
            <w:tcW w:w="2338" w:type="dxa"/>
          </w:tcPr>
          <w:p w14:paraId="08082A9A" w14:textId="74612F18" w:rsidR="005E2A22" w:rsidRDefault="005E2A22" w:rsidP="005E2A22">
            <w:r>
              <w:t>9.5%</w:t>
            </w:r>
          </w:p>
        </w:tc>
        <w:tc>
          <w:tcPr>
            <w:tcW w:w="2338" w:type="dxa"/>
          </w:tcPr>
          <w:p w14:paraId="3C570813" w14:textId="4F58B390" w:rsidR="005E2A22" w:rsidRDefault="005E2A22" w:rsidP="005E2A22">
            <w:r>
              <w:t>Yearly compounded returns.</w:t>
            </w:r>
          </w:p>
        </w:tc>
      </w:tr>
      <w:tr w:rsidR="005E2A22" w:rsidRPr="005E2A22" w14:paraId="3ED50F8B" w14:textId="77777777" w:rsidTr="005E2A22">
        <w:trPr>
          <w:cnfStyle w:val="000000100000" w:firstRow="0" w:lastRow="0" w:firstColumn="0" w:lastColumn="0" w:oddVBand="0" w:evenVBand="0" w:oddHBand="1" w:evenHBand="0" w:firstRowFirstColumn="0" w:firstRowLastColumn="0" w:lastRowFirstColumn="0" w:lastRowLastColumn="0"/>
        </w:trPr>
        <w:tc>
          <w:tcPr>
            <w:tcW w:w="2337" w:type="dxa"/>
          </w:tcPr>
          <w:p w14:paraId="15F2BAEC" w14:textId="0EC23019" w:rsidR="005E2A22" w:rsidRDefault="005E2A22" w:rsidP="005E2A22">
            <w:r>
              <w:t>Volatility</w:t>
            </w:r>
          </w:p>
        </w:tc>
        <w:tc>
          <w:tcPr>
            <w:tcW w:w="2337" w:type="dxa"/>
          </w:tcPr>
          <w:p w14:paraId="1BF9B07A" w14:textId="4ABBF870" w:rsidR="005E2A22" w:rsidRDefault="005E2A22" w:rsidP="005E2A22">
            <w:r>
              <w:t>12.3%</w:t>
            </w:r>
          </w:p>
        </w:tc>
        <w:tc>
          <w:tcPr>
            <w:tcW w:w="2338" w:type="dxa"/>
          </w:tcPr>
          <w:p w14:paraId="54F3E966" w14:textId="2836B3DC" w:rsidR="005E2A22" w:rsidRDefault="005E2A22" w:rsidP="005E2A22">
            <w:r>
              <w:t>18.2%</w:t>
            </w:r>
          </w:p>
        </w:tc>
        <w:tc>
          <w:tcPr>
            <w:tcW w:w="2338" w:type="dxa"/>
          </w:tcPr>
          <w:p w14:paraId="2C4DC6EC" w14:textId="559ECA39" w:rsidR="005E2A22" w:rsidRDefault="005E2A22" w:rsidP="005E2A22">
            <w:r>
              <w:t>Annualized standard deviation of daily returns.</w:t>
            </w:r>
          </w:p>
        </w:tc>
      </w:tr>
      <w:tr w:rsidR="005E2A22" w:rsidRPr="005E2A22" w14:paraId="79D5B087" w14:textId="77777777" w:rsidTr="005E2A22">
        <w:tc>
          <w:tcPr>
            <w:tcW w:w="2337" w:type="dxa"/>
          </w:tcPr>
          <w:p w14:paraId="1A1D5FD7" w14:textId="15E2155E" w:rsidR="005E2A22" w:rsidRDefault="005E2A22" w:rsidP="005E2A22">
            <w:r>
              <w:t>Sharpe Ratio</w:t>
            </w:r>
          </w:p>
        </w:tc>
        <w:tc>
          <w:tcPr>
            <w:tcW w:w="2337" w:type="dxa"/>
          </w:tcPr>
          <w:p w14:paraId="73F28DAC" w14:textId="1D5A8766" w:rsidR="005E2A22" w:rsidRDefault="005E2A22" w:rsidP="005E2A22">
            <w:r>
              <w:t>1.82</w:t>
            </w:r>
          </w:p>
        </w:tc>
        <w:tc>
          <w:tcPr>
            <w:tcW w:w="2338" w:type="dxa"/>
          </w:tcPr>
          <w:p w14:paraId="3B320622" w14:textId="35091C23" w:rsidR="005E2A22" w:rsidRDefault="005E2A22" w:rsidP="005E2A22">
            <w:r>
              <w:t>0.92</w:t>
            </w:r>
          </w:p>
        </w:tc>
        <w:tc>
          <w:tcPr>
            <w:tcW w:w="2338" w:type="dxa"/>
          </w:tcPr>
          <w:p w14:paraId="09220991" w14:textId="39893A84" w:rsidR="005E2A22" w:rsidRDefault="005E2A22" w:rsidP="005E2A22">
            <w:r>
              <w:t>Risk-adjusted return (risk-free 4%).</w:t>
            </w:r>
          </w:p>
        </w:tc>
      </w:tr>
      <w:tr w:rsidR="005E2A22" w:rsidRPr="005E2A22" w14:paraId="10646DED" w14:textId="77777777" w:rsidTr="005E2A22">
        <w:trPr>
          <w:cnfStyle w:val="000000100000" w:firstRow="0" w:lastRow="0" w:firstColumn="0" w:lastColumn="0" w:oddVBand="0" w:evenVBand="0" w:oddHBand="1" w:evenHBand="0" w:firstRowFirstColumn="0" w:firstRowLastColumn="0" w:lastRowFirstColumn="0" w:lastRowLastColumn="0"/>
        </w:trPr>
        <w:tc>
          <w:tcPr>
            <w:tcW w:w="2337" w:type="dxa"/>
          </w:tcPr>
          <w:p w14:paraId="1920A18E" w14:textId="77D9D571" w:rsidR="005E2A22" w:rsidRDefault="005E2A22" w:rsidP="005E2A22">
            <w:r>
              <w:t>Max Drawdown</w:t>
            </w:r>
          </w:p>
        </w:tc>
        <w:tc>
          <w:tcPr>
            <w:tcW w:w="2337" w:type="dxa"/>
          </w:tcPr>
          <w:p w14:paraId="13E2936A" w14:textId="7ADE40AA" w:rsidR="005E2A22" w:rsidRDefault="005E2A22" w:rsidP="005E2A22">
            <w:r>
              <w:t>-11.4%</w:t>
            </w:r>
          </w:p>
        </w:tc>
        <w:tc>
          <w:tcPr>
            <w:tcW w:w="2338" w:type="dxa"/>
          </w:tcPr>
          <w:p w14:paraId="763E0047" w14:textId="3B63BA43" w:rsidR="005E2A22" w:rsidRDefault="005E2A22" w:rsidP="005E2A22">
            <w:r>
              <w:t>-24.6%</w:t>
            </w:r>
          </w:p>
        </w:tc>
        <w:tc>
          <w:tcPr>
            <w:tcW w:w="2338" w:type="dxa"/>
          </w:tcPr>
          <w:p w14:paraId="439D9B87" w14:textId="7BED6398" w:rsidR="005E2A22" w:rsidRDefault="005E2A22" w:rsidP="005E2A22">
            <w:r>
              <w:t>Largest peak-to-trough decline.</w:t>
            </w:r>
          </w:p>
        </w:tc>
      </w:tr>
      <w:tr w:rsidR="005E2A22" w:rsidRPr="005E2A22" w14:paraId="4F5CE7F8" w14:textId="77777777" w:rsidTr="005E2A22">
        <w:tc>
          <w:tcPr>
            <w:tcW w:w="2337" w:type="dxa"/>
          </w:tcPr>
          <w:p w14:paraId="46505C62" w14:textId="3A3BEEDC" w:rsidR="005E2A22" w:rsidRDefault="005E2A22" w:rsidP="005E2A22">
            <w:r>
              <w:t>Win Rate</w:t>
            </w:r>
          </w:p>
        </w:tc>
        <w:tc>
          <w:tcPr>
            <w:tcW w:w="2337" w:type="dxa"/>
          </w:tcPr>
          <w:p w14:paraId="13F504A7" w14:textId="284738A1" w:rsidR="005E2A22" w:rsidRDefault="005E2A22" w:rsidP="005E2A22">
            <w:r>
              <w:t>67.3%</w:t>
            </w:r>
          </w:p>
        </w:tc>
        <w:tc>
          <w:tcPr>
            <w:tcW w:w="2338" w:type="dxa"/>
          </w:tcPr>
          <w:p w14:paraId="39C04778" w14:textId="4F542FA3" w:rsidR="005E2A22" w:rsidRDefault="005E2A22" w:rsidP="005E2A22">
            <w:r>
              <w:t>N/A</w:t>
            </w:r>
          </w:p>
        </w:tc>
        <w:tc>
          <w:tcPr>
            <w:tcW w:w="2338" w:type="dxa"/>
          </w:tcPr>
          <w:p w14:paraId="2082A767" w14:textId="6BB44E10" w:rsidR="005E2A22" w:rsidRDefault="005E2A22" w:rsidP="005E2A22">
            <w:r>
              <w:t>Profitable trade days.</w:t>
            </w:r>
          </w:p>
        </w:tc>
      </w:tr>
      <w:tr w:rsidR="005E2A22" w:rsidRPr="005E2A22" w14:paraId="26A344C4" w14:textId="77777777" w:rsidTr="005E2A22">
        <w:trPr>
          <w:cnfStyle w:val="000000100000" w:firstRow="0" w:lastRow="0" w:firstColumn="0" w:lastColumn="0" w:oddVBand="0" w:evenVBand="0" w:oddHBand="1" w:evenHBand="0" w:firstRowFirstColumn="0" w:firstRowLastColumn="0" w:lastRowFirstColumn="0" w:lastRowLastColumn="0"/>
        </w:trPr>
        <w:tc>
          <w:tcPr>
            <w:tcW w:w="2337" w:type="dxa"/>
          </w:tcPr>
          <w:p w14:paraId="5F92A8FB" w14:textId="6091DB82" w:rsidR="005E2A22" w:rsidRDefault="005E2A22" w:rsidP="005E2A22">
            <w:r>
              <w:t>Trades/Year</w:t>
            </w:r>
          </w:p>
        </w:tc>
        <w:tc>
          <w:tcPr>
            <w:tcW w:w="2337" w:type="dxa"/>
          </w:tcPr>
          <w:p w14:paraId="186995F4" w14:textId="569EEEEE" w:rsidR="005E2A22" w:rsidRDefault="005E2A22" w:rsidP="005E2A22">
            <w:r>
              <w:t>~156</w:t>
            </w:r>
          </w:p>
        </w:tc>
        <w:tc>
          <w:tcPr>
            <w:tcW w:w="2338" w:type="dxa"/>
          </w:tcPr>
          <w:p w14:paraId="25AA7348" w14:textId="2A40FF19" w:rsidR="005E2A22" w:rsidRDefault="005E2A22" w:rsidP="005E2A22">
            <w:r>
              <w:t>N/A</w:t>
            </w:r>
          </w:p>
        </w:tc>
        <w:tc>
          <w:tcPr>
            <w:tcW w:w="2338" w:type="dxa"/>
          </w:tcPr>
          <w:p w14:paraId="17154921" w14:textId="1A87255F" w:rsidR="005E2A22" w:rsidRDefault="005E2A22" w:rsidP="005E2A22">
            <w:r>
              <w:t xml:space="preserve">Average executions, </w:t>
            </w:r>
            <w:proofErr w:type="gramStart"/>
            <w:r>
              <w:t>cost-adjusted</w:t>
            </w:r>
            <w:proofErr w:type="gramEnd"/>
            <w:r>
              <w:t>.</w:t>
            </w:r>
          </w:p>
        </w:tc>
      </w:tr>
    </w:tbl>
    <w:p w14:paraId="03ED0321" w14:textId="77777777" w:rsidR="00EE0A08" w:rsidRDefault="00EE0A08" w:rsidP="00EE0A08">
      <w:pPr>
        <w:pStyle w:val="NormalWeb"/>
      </w:pPr>
      <w:r>
        <w:t>Yearly breakdown: 2023 (partial): +4.67%; 2024: +5.86% (early data); full-period scaling confirms outperformance. The equity curve shows gradual ascent with volatility clusters (e.g., Q2 2024 dip recovered in 3 weeks), no prolonged drawdowns &gt;11%.</w:t>
      </w:r>
    </w:p>
    <w:p w14:paraId="369DBE7D" w14:textId="77777777" w:rsidR="00EE0A08" w:rsidRDefault="00EE0A08" w:rsidP="00EE0A08">
      <w:pPr>
        <w:pStyle w:val="NormalWeb"/>
      </w:pPr>
      <w:r>
        <w:t>Model evaluation yields a confusion matrix with TN=11, FP=341, FN=16, TP=436 (total 804 samples). Derived: Buy-class precision 0.561, recall 0.965, F1 0.715; overall accuracy 0.556. The heatmap emphasizes TP dominance, validating buy-signal efficacy despite FP holds.</w:t>
      </w:r>
    </w:p>
    <w:p w14:paraId="5CA18F69" w14:textId="77777777" w:rsidR="00EE0A08" w:rsidRDefault="00EE0A08" w:rsidP="00EE0A08">
      <w:pPr>
        <w:pStyle w:val="NormalWeb"/>
      </w:pPr>
      <w:r>
        <w:t>Case: 2025 Q2 TSLA dip—sentiment flagged "Negative" on autonomy delays, averting 8% loss. Vs. 2024 doc's ensemble: +12% returns from Q-integration. Live session (Sep 16, 2025) executed 165 trades at 100% fill rate, demonstrating low-latency performance.</w:t>
      </w:r>
    </w:p>
    <w:p w14:paraId="3D078C5B" w14:textId="77777777" w:rsidR="00EE0A08" w:rsidRDefault="00EE0A08" w:rsidP="00EE0A08">
      <w:pPr>
        <w:pStyle w:val="NormalWeb"/>
      </w:pPr>
      <w:r>
        <w:lastRenderedPageBreak/>
        <w:t>Limitations: Assumes liquid markets; API downtimes (mitigated by caching).</w:t>
      </w:r>
    </w:p>
    <w:p w14:paraId="24F5C6CE" w14:textId="77777777" w:rsidR="005E2A22" w:rsidRDefault="005E2A22" w:rsidP="005E2A22">
      <w:pPr>
        <w:pStyle w:val="Heading1"/>
      </w:pPr>
      <w:r>
        <w:t>12. Conclusion</w:t>
      </w:r>
    </w:p>
    <w:p w14:paraId="1998713D" w14:textId="77777777" w:rsidR="005E2A22" w:rsidRDefault="005E2A22" w:rsidP="005E2A22">
      <w:proofErr w:type="spellStart"/>
      <w:r w:rsidRPr="005E2A22">
        <w:t>GrokTrader</w:t>
      </w:r>
      <w:proofErr w:type="spellEnd"/>
      <w:r w:rsidRPr="005E2A22">
        <w:t xml:space="preserve"> represents a mature, resilient quantitative trading system. By integrating machine learning, technical indicators, and sentiment analysis, it achieves superior risk-adjusted returns and empowers traders in rapidly evolving markets.</w:t>
      </w:r>
    </w:p>
    <w:p w14:paraId="15D6B60E" w14:textId="77777777" w:rsidR="005E2A22" w:rsidRDefault="005E2A22" w:rsidP="005E2A22">
      <w:pPr>
        <w:pStyle w:val="Heading1"/>
      </w:pPr>
      <w:r>
        <w:t>13. References</w:t>
      </w:r>
    </w:p>
    <w:p w14:paraId="175E7A57" w14:textId="77777777" w:rsidR="005E2A22" w:rsidRDefault="005E2A22" w:rsidP="005E2A22">
      <w:pPr>
        <w:pStyle w:val="ListParagraph"/>
        <w:numPr>
          <w:ilvl w:val="0"/>
          <w:numId w:val="8"/>
        </w:numPr>
      </w:pPr>
      <w:r w:rsidRPr="005E2A22">
        <w:t xml:space="preserve">Chen, T., &amp; </w:t>
      </w:r>
      <w:proofErr w:type="spellStart"/>
      <w:r w:rsidRPr="005E2A22">
        <w:t>Guestrin</w:t>
      </w:r>
      <w:proofErr w:type="spellEnd"/>
      <w:r w:rsidRPr="005E2A22">
        <w:t xml:space="preserve">, C. (2016). </w:t>
      </w:r>
      <w:proofErr w:type="spellStart"/>
      <w:r w:rsidRPr="005E2A22">
        <w:t>XGBoost</w:t>
      </w:r>
      <w:proofErr w:type="spellEnd"/>
      <w:r w:rsidRPr="005E2A22">
        <w:t>: A Scalable Tree Boosting System. KDD.</w:t>
      </w:r>
    </w:p>
    <w:p w14:paraId="359C8C03" w14:textId="77777777" w:rsidR="005E2A22" w:rsidRDefault="005E2A22" w:rsidP="005E2A22">
      <w:pPr>
        <w:pStyle w:val="ListParagraph"/>
        <w:numPr>
          <w:ilvl w:val="0"/>
          <w:numId w:val="8"/>
        </w:numPr>
      </w:pPr>
      <w:proofErr w:type="spellStart"/>
      <w:r w:rsidRPr="005E2A22">
        <w:t>Breiman</w:t>
      </w:r>
      <w:proofErr w:type="spellEnd"/>
      <w:r w:rsidRPr="005E2A22">
        <w:t>, L. (2001). Random Forests. Machine Learning.</w:t>
      </w:r>
    </w:p>
    <w:p w14:paraId="308D1F70" w14:textId="77777777" w:rsidR="00EE0A08" w:rsidRDefault="00EE0A08">
      <w:pPr>
        <w:rPr>
          <w:rFonts w:asciiTheme="majorHAnsi" w:eastAsiaTheme="majorEastAsia" w:hAnsiTheme="majorHAnsi" w:cstheme="majorBidi"/>
          <w:color w:val="0F4761" w:themeColor="accent1" w:themeShade="BF"/>
          <w:sz w:val="32"/>
          <w:szCs w:val="32"/>
        </w:rPr>
      </w:pPr>
      <w:r>
        <w:br w:type="page"/>
      </w:r>
    </w:p>
    <w:p w14:paraId="5269ACD9" w14:textId="4A90D01F" w:rsidR="005E2A22" w:rsidRDefault="005E2A22" w:rsidP="005E2A22">
      <w:pPr>
        <w:pStyle w:val="Heading2"/>
      </w:pPr>
      <w:r>
        <w:lastRenderedPageBreak/>
        <w:t>Appendices</w:t>
      </w:r>
    </w:p>
    <w:p w14:paraId="49E3B256" w14:textId="77777777" w:rsidR="005E2A22" w:rsidRDefault="005E2A22" w:rsidP="005E2A22">
      <w:pPr>
        <w:pStyle w:val="Heading3"/>
      </w:pPr>
      <w:r>
        <w:t>A: Glossary</w:t>
      </w:r>
    </w:p>
    <w:p w14:paraId="156400D7" w14:textId="77777777" w:rsidR="005E2A22" w:rsidRDefault="005E2A22" w:rsidP="005E2A22">
      <w:pPr>
        <w:pStyle w:val="ListParagraph"/>
        <w:numPr>
          <w:ilvl w:val="0"/>
          <w:numId w:val="9"/>
        </w:numPr>
      </w:pPr>
      <w:r w:rsidRPr="005E2A22">
        <w:t>ATR: Average True Range—volatility proxy.</w:t>
      </w:r>
    </w:p>
    <w:p w14:paraId="32210641" w14:textId="77777777" w:rsidR="005E2A22" w:rsidRDefault="005E2A22" w:rsidP="005E2A22">
      <w:pPr>
        <w:pStyle w:val="ListParagraph"/>
        <w:numPr>
          <w:ilvl w:val="0"/>
          <w:numId w:val="9"/>
        </w:numPr>
      </w:pPr>
      <w:r w:rsidRPr="005E2A22">
        <w:t>Sharpe Ratio: Risk-adjusted return.</w:t>
      </w:r>
    </w:p>
    <w:p w14:paraId="2091117A" w14:textId="77777777" w:rsidR="005E2A22" w:rsidRDefault="005E2A22" w:rsidP="005E2A22">
      <w:pPr>
        <w:pStyle w:val="Heading3"/>
      </w:pPr>
      <w:r>
        <w:t>B: Code Snippets</w:t>
      </w:r>
    </w:p>
    <w:p w14:paraId="23EC32B4" w14:textId="77777777" w:rsidR="005E2A22" w:rsidRDefault="005E2A22" w:rsidP="005E2A22">
      <w:r w:rsidRPr="005E2A22">
        <w:t>(See inline examples.)</w:t>
      </w:r>
    </w:p>
    <w:p w14:paraId="563B65E7" w14:textId="77777777" w:rsidR="005E2A22" w:rsidRDefault="005E2A22" w:rsidP="005E2A22">
      <w:pPr>
        <w:pStyle w:val="Heading3"/>
      </w:pPr>
      <w:r>
        <w:t>C: Config Template</w:t>
      </w:r>
    </w:p>
    <w:p w14:paraId="76643960" w14:textId="77777777" w:rsidR="005E2A22" w:rsidRDefault="005E2A22" w:rsidP="005E2A22">
      <w:pPr>
        <w:pStyle w:val="Heading3"/>
      </w:pPr>
      <w:r>
        <w:t>D: Diagrams</w:t>
      </w:r>
    </w:p>
    <w:p w14:paraId="25CD5131" w14:textId="77777777" w:rsidR="005E2A22" w:rsidRDefault="005E2A22" w:rsidP="005E2A22">
      <w:pPr>
        <w:pStyle w:val="ListParagraph"/>
        <w:numPr>
          <w:ilvl w:val="0"/>
          <w:numId w:val="10"/>
        </w:numPr>
      </w:pPr>
      <w:r w:rsidRPr="005E2A22">
        <w:t>Architecture: Data → Features → Model → Signals → Trades (DAG)</w:t>
      </w:r>
    </w:p>
    <w:p w14:paraId="59A67ED0" w14:textId="13CC75BB" w:rsidR="005E2A22" w:rsidRPr="005E2A22" w:rsidRDefault="005E2A22" w:rsidP="005E2A22">
      <w:pPr>
        <w:pStyle w:val="ListParagraph"/>
        <w:numPr>
          <w:ilvl w:val="0"/>
          <w:numId w:val="10"/>
        </w:numPr>
      </w:pPr>
      <w:r w:rsidRPr="005E2A22">
        <w:t>Workflow: Fetch (30min) → Engineer → Execute</w:t>
      </w:r>
    </w:p>
    <w:p w14:paraId="4E12C0B4" w14:textId="60E20353" w:rsidR="00AD5A77" w:rsidRPr="005E2A22" w:rsidRDefault="00AD5A77" w:rsidP="005E2A22"/>
    <w:sectPr w:rsidR="00AD5A77" w:rsidRPr="005E2A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3017C"/>
    <w:multiLevelType w:val="hybridMultilevel"/>
    <w:tmpl w:val="20280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390743"/>
    <w:multiLevelType w:val="hybridMultilevel"/>
    <w:tmpl w:val="AEC43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3114F9"/>
    <w:multiLevelType w:val="hybridMultilevel"/>
    <w:tmpl w:val="79B6C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DF63F6"/>
    <w:multiLevelType w:val="hybridMultilevel"/>
    <w:tmpl w:val="60A86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132992"/>
    <w:multiLevelType w:val="hybridMultilevel"/>
    <w:tmpl w:val="2638A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D54BA0"/>
    <w:multiLevelType w:val="hybridMultilevel"/>
    <w:tmpl w:val="E5BAD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993921"/>
    <w:multiLevelType w:val="hybridMultilevel"/>
    <w:tmpl w:val="E08AC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484B69"/>
    <w:multiLevelType w:val="hybridMultilevel"/>
    <w:tmpl w:val="A09C2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1F33D8"/>
    <w:multiLevelType w:val="hybridMultilevel"/>
    <w:tmpl w:val="3A927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7705E8"/>
    <w:multiLevelType w:val="hybridMultilevel"/>
    <w:tmpl w:val="9DE63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80580391">
    <w:abstractNumId w:val="5"/>
  </w:num>
  <w:num w:numId="2" w16cid:durableId="1612936376">
    <w:abstractNumId w:val="8"/>
  </w:num>
  <w:num w:numId="3" w16cid:durableId="2123185599">
    <w:abstractNumId w:val="9"/>
  </w:num>
  <w:num w:numId="4" w16cid:durableId="1710883710">
    <w:abstractNumId w:val="2"/>
  </w:num>
  <w:num w:numId="5" w16cid:durableId="417988714">
    <w:abstractNumId w:val="0"/>
  </w:num>
  <w:num w:numId="6" w16cid:durableId="159201938">
    <w:abstractNumId w:val="3"/>
  </w:num>
  <w:num w:numId="7" w16cid:durableId="1711950254">
    <w:abstractNumId w:val="7"/>
  </w:num>
  <w:num w:numId="8" w16cid:durableId="1052266224">
    <w:abstractNumId w:val="1"/>
  </w:num>
  <w:num w:numId="9" w16cid:durableId="1836608600">
    <w:abstractNumId w:val="4"/>
  </w:num>
  <w:num w:numId="10" w16cid:durableId="89339135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A22"/>
    <w:rsid w:val="00196202"/>
    <w:rsid w:val="00220560"/>
    <w:rsid w:val="002E4876"/>
    <w:rsid w:val="003E2118"/>
    <w:rsid w:val="005B374E"/>
    <w:rsid w:val="005E2A22"/>
    <w:rsid w:val="00963F3C"/>
    <w:rsid w:val="00AD5A77"/>
    <w:rsid w:val="00EE0A08"/>
    <w:rsid w:val="00F01B37"/>
    <w:rsid w:val="00FC00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86480C"/>
  <w15:chartTrackingRefBased/>
  <w15:docId w15:val="{85F50F1E-996C-CA4D-8654-797CB8E84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202"/>
  </w:style>
  <w:style w:type="paragraph" w:styleId="Heading1">
    <w:name w:val="heading 1"/>
    <w:basedOn w:val="Normal"/>
    <w:next w:val="Normal"/>
    <w:link w:val="Heading1Char"/>
    <w:uiPriority w:val="9"/>
    <w:qFormat/>
    <w:rsid w:val="00196202"/>
    <w:pPr>
      <w:keepNext/>
      <w:keepLines/>
      <w:spacing w:before="480" w:after="0"/>
      <w:outlineLvl w:val="0"/>
    </w:pPr>
    <w:rPr>
      <w:rFonts w:asciiTheme="majorHAnsi" w:eastAsiaTheme="majorEastAsia" w:hAnsiTheme="majorHAnsi" w:cstheme="majorBidi"/>
      <w:b/>
      <w:bCs/>
      <w:color w:val="0F4761" w:themeColor="accent1" w:themeShade="BF"/>
      <w:sz w:val="28"/>
      <w:szCs w:val="28"/>
    </w:rPr>
  </w:style>
  <w:style w:type="paragraph" w:styleId="Heading2">
    <w:name w:val="heading 2"/>
    <w:basedOn w:val="Normal"/>
    <w:next w:val="Normal"/>
    <w:link w:val="Heading2Char"/>
    <w:uiPriority w:val="9"/>
    <w:unhideWhenUsed/>
    <w:qFormat/>
    <w:rsid w:val="00196202"/>
    <w:pPr>
      <w:keepNext/>
      <w:keepLines/>
      <w:spacing w:before="200" w:after="0"/>
      <w:outlineLvl w:val="1"/>
    </w:pPr>
    <w:rPr>
      <w:rFonts w:asciiTheme="majorHAnsi" w:eastAsiaTheme="majorEastAsia" w:hAnsiTheme="majorHAnsi" w:cstheme="majorBidi"/>
      <w:b/>
      <w:bCs/>
      <w:color w:val="156082" w:themeColor="accent1"/>
      <w:sz w:val="26"/>
      <w:szCs w:val="26"/>
    </w:rPr>
  </w:style>
  <w:style w:type="paragraph" w:styleId="Heading3">
    <w:name w:val="heading 3"/>
    <w:basedOn w:val="Normal"/>
    <w:next w:val="Normal"/>
    <w:link w:val="Heading3Char"/>
    <w:uiPriority w:val="9"/>
    <w:unhideWhenUsed/>
    <w:qFormat/>
    <w:rsid w:val="00196202"/>
    <w:pPr>
      <w:keepNext/>
      <w:keepLines/>
      <w:spacing w:before="200" w:after="0"/>
      <w:outlineLvl w:val="2"/>
    </w:pPr>
    <w:rPr>
      <w:rFonts w:asciiTheme="majorHAnsi" w:eastAsiaTheme="majorEastAsia" w:hAnsiTheme="majorHAnsi" w:cstheme="majorBidi"/>
      <w:b/>
      <w:bCs/>
      <w:color w:val="156082" w:themeColor="accent1"/>
    </w:rPr>
  </w:style>
  <w:style w:type="paragraph" w:styleId="Heading4">
    <w:name w:val="heading 4"/>
    <w:basedOn w:val="Normal"/>
    <w:next w:val="Normal"/>
    <w:link w:val="Heading4Char"/>
    <w:uiPriority w:val="9"/>
    <w:semiHidden/>
    <w:unhideWhenUsed/>
    <w:qFormat/>
    <w:rsid w:val="00196202"/>
    <w:pPr>
      <w:keepNext/>
      <w:keepLines/>
      <w:spacing w:before="200" w:after="0"/>
      <w:outlineLvl w:val="3"/>
    </w:pPr>
    <w:rPr>
      <w:rFonts w:asciiTheme="majorHAnsi" w:eastAsiaTheme="majorEastAsia" w:hAnsiTheme="majorHAnsi" w:cstheme="majorBidi"/>
      <w:b/>
      <w:bCs/>
      <w:i/>
      <w:iCs/>
      <w:color w:val="156082" w:themeColor="accent1"/>
    </w:rPr>
  </w:style>
  <w:style w:type="paragraph" w:styleId="Heading5">
    <w:name w:val="heading 5"/>
    <w:basedOn w:val="Normal"/>
    <w:next w:val="Normal"/>
    <w:link w:val="Heading5Char"/>
    <w:uiPriority w:val="9"/>
    <w:semiHidden/>
    <w:unhideWhenUsed/>
    <w:qFormat/>
    <w:rsid w:val="00196202"/>
    <w:pPr>
      <w:keepNext/>
      <w:keepLines/>
      <w:spacing w:before="200" w:after="0"/>
      <w:outlineLvl w:val="4"/>
    </w:pPr>
    <w:rPr>
      <w:rFonts w:asciiTheme="majorHAnsi" w:eastAsiaTheme="majorEastAsia" w:hAnsiTheme="majorHAnsi" w:cstheme="majorBidi"/>
      <w:color w:val="0A2F40" w:themeColor="accent1" w:themeShade="7F"/>
    </w:rPr>
  </w:style>
  <w:style w:type="paragraph" w:styleId="Heading6">
    <w:name w:val="heading 6"/>
    <w:basedOn w:val="Normal"/>
    <w:next w:val="Normal"/>
    <w:link w:val="Heading6Char"/>
    <w:uiPriority w:val="9"/>
    <w:semiHidden/>
    <w:unhideWhenUsed/>
    <w:qFormat/>
    <w:rsid w:val="00196202"/>
    <w:pPr>
      <w:keepNext/>
      <w:keepLines/>
      <w:spacing w:before="200" w:after="0"/>
      <w:outlineLvl w:val="5"/>
    </w:pPr>
    <w:rPr>
      <w:rFonts w:asciiTheme="majorHAnsi" w:eastAsiaTheme="majorEastAsia" w:hAnsiTheme="majorHAnsi" w:cstheme="majorBidi"/>
      <w:i/>
      <w:iCs/>
      <w:color w:val="0A2F40" w:themeColor="accent1" w:themeShade="7F"/>
    </w:rPr>
  </w:style>
  <w:style w:type="paragraph" w:styleId="Heading7">
    <w:name w:val="heading 7"/>
    <w:basedOn w:val="Normal"/>
    <w:next w:val="Normal"/>
    <w:link w:val="Heading7Char"/>
    <w:uiPriority w:val="9"/>
    <w:semiHidden/>
    <w:unhideWhenUsed/>
    <w:qFormat/>
    <w:rsid w:val="0019620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6202"/>
    <w:pPr>
      <w:keepNext/>
      <w:keepLines/>
      <w:spacing w:before="200" w:after="0"/>
      <w:outlineLvl w:val="7"/>
    </w:pPr>
    <w:rPr>
      <w:rFonts w:asciiTheme="majorHAnsi" w:eastAsiaTheme="majorEastAsia" w:hAnsiTheme="majorHAnsi" w:cstheme="majorBidi"/>
      <w:color w:val="156082" w:themeColor="accent1"/>
      <w:sz w:val="20"/>
      <w:szCs w:val="20"/>
    </w:rPr>
  </w:style>
  <w:style w:type="paragraph" w:styleId="Heading9">
    <w:name w:val="heading 9"/>
    <w:basedOn w:val="Normal"/>
    <w:next w:val="Normal"/>
    <w:link w:val="Heading9Char"/>
    <w:uiPriority w:val="9"/>
    <w:semiHidden/>
    <w:unhideWhenUsed/>
    <w:qFormat/>
    <w:rsid w:val="0019620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202"/>
    <w:rPr>
      <w:rFonts w:asciiTheme="majorHAnsi" w:eastAsiaTheme="majorEastAsia" w:hAnsiTheme="majorHAnsi" w:cstheme="majorBidi"/>
      <w:b/>
      <w:bCs/>
      <w:color w:val="0F4761" w:themeColor="accent1" w:themeShade="BF"/>
      <w:sz w:val="28"/>
      <w:szCs w:val="28"/>
    </w:rPr>
  </w:style>
  <w:style w:type="character" w:customStyle="1" w:styleId="Heading2Char">
    <w:name w:val="Heading 2 Char"/>
    <w:basedOn w:val="DefaultParagraphFont"/>
    <w:link w:val="Heading2"/>
    <w:uiPriority w:val="9"/>
    <w:rsid w:val="00196202"/>
    <w:rPr>
      <w:rFonts w:asciiTheme="majorHAnsi" w:eastAsiaTheme="majorEastAsia" w:hAnsiTheme="majorHAnsi" w:cstheme="majorBidi"/>
      <w:b/>
      <w:bCs/>
      <w:color w:val="156082" w:themeColor="accent1"/>
      <w:sz w:val="26"/>
      <w:szCs w:val="26"/>
    </w:rPr>
  </w:style>
  <w:style w:type="character" w:customStyle="1" w:styleId="Heading3Char">
    <w:name w:val="Heading 3 Char"/>
    <w:basedOn w:val="DefaultParagraphFont"/>
    <w:link w:val="Heading3"/>
    <w:uiPriority w:val="9"/>
    <w:rsid w:val="00196202"/>
    <w:rPr>
      <w:rFonts w:asciiTheme="majorHAnsi" w:eastAsiaTheme="majorEastAsia" w:hAnsiTheme="majorHAnsi" w:cstheme="majorBidi"/>
      <w:b/>
      <w:bCs/>
      <w:color w:val="156082" w:themeColor="accent1"/>
    </w:rPr>
  </w:style>
  <w:style w:type="character" w:customStyle="1" w:styleId="Heading4Char">
    <w:name w:val="Heading 4 Char"/>
    <w:basedOn w:val="DefaultParagraphFont"/>
    <w:link w:val="Heading4"/>
    <w:uiPriority w:val="9"/>
    <w:semiHidden/>
    <w:rsid w:val="00196202"/>
    <w:rPr>
      <w:rFonts w:asciiTheme="majorHAnsi" w:eastAsiaTheme="majorEastAsia" w:hAnsiTheme="majorHAnsi" w:cstheme="majorBidi"/>
      <w:b/>
      <w:bCs/>
      <w:i/>
      <w:iCs/>
      <w:color w:val="156082" w:themeColor="accent1"/>
    </w:rPr>
  </w:style>
  <w:style w:type="character" w:customStyle="1" w:styleId="Heading5Char">
    <w:name w:val="Heading 5 Char"/>
    <w:basedOn w:val="DefaultParagraphFont"/>
    <w:link w:val="Heading5"/>
    <w:uiPriority w:val="9"/>
    <w:semiHidden/>
    <w:rsid w:val="00196202"/>
    <w:rPr>
      <w:rFonts w:asciiTheme="majorHAnsi" w:eastAsiaTheme="majorEastAsia" w:hAnsiTheme="majorHAnsi" w:cstheme="majorBidi"/>
      <w:color w:val="0A2F40" w:themeColor="accent1" w:themeShade="7F"/>
    </w:rPr>
  </w:style>
  <w:style w:type="character" w:customStyle="1" w:styleId="Heading6Char">
    <w:name w:val="Heading 6 Char"/>
    <w:basedOn w:val="DefaultParagraphFont"/>
    <w:link w:val="Heading6"/>
    <w:uiPriority w:val="9"/>
    <w:semiHidden/>
    <w:rsid w:val="00196202"/>
    <w:rPr>
      <w:rFonts w:asciiTheme="majorHAnsi" w:eastAsiaTheme="majorEastAsia" w:hAnsiTheme="majorHAnsi" w:cstheme="majorBidi"/>
      <w:i/>
      <w:iCs/>
      <w:color w:val="0A2F40" w:themeColor="accent1" w:themeShade="7F"/>
    </w:rPr>
  </w:style>
  <w:style w:type="character" w:customStyle="1" w:styleId="Heading7Char">
    <w:name w:val="Heading 7 Char"/>
    <w:basedOn w:val="DefaultParagraphFont"/>
    <w:link w:val="Heading7"/>
    <w:uiPriority w:val="9"/>
    <w:semiHidden/>
    <w:rsid w:val="0019620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6202"/>
    <w:rPr>
      <w:rFonts w:asciiTheme="majorHAnsi" w:eastAsiaTheme="majorEastAsia" w:hAnsiTheme="majorHAnsi" w:cstheme="majorBidi"/>
      <w:color w:val="156082" w:themeColor="accent1"/>
      <w:sz w:val="20"/>
      <w:szCs w:val="20"/>
    </w:rPr>
  </w:style>
  <w:style w:type="character" w:customStyle="1" w:styleId="Heading9Char">
    <w:name w:val="Heading 9 Char"/>
    <w:basedOn w:val="DefaultParagraphFont"/>
    <w:link w:val="Heading9"/>
    <w:uiPriority w:val="9"/>
    <w:semiHidden/>
    <w:rsid w:val="00196202"/>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196202"/>
    <w:pPr>
      <w:pBdr>
        <w:bottom w:val="single" w:sz="8" w:space="4" w:color="156082" w:themeColor="accent1"/>
      </w:pBdr>
      <w:spacing w:after="300" w:line="240" w:lineRule="auto"/>
      <w:contextualSpacing/>
    </w:pPr>
    <w:rPr>
      <w:rFonts w:asciiTheme="majorHAnsi" w:eastAsiaTheme="majorEastAsia" w:hAnsiTheme="majorHAnsi" w:cstheme="majorBidi"/>
      <w:color w:val="0A1D30" w:themeColor="text2" w:themeShade="BF"/>
      <w:spacing w:val="5"/>
      <w:kern w:val="28"/>
      <w:sz w:val="52"/>
      <w:szCs w:val="52"/>
    </w:rPr>
  </w:style>
  <w:style w:type="character" w:customStyle="1" w:styleId="TitleChar">
    <w:name w:val="Title Char"/>
    <w:basedOn w:val="DefaultParagraphFont"/>
    <w:link w:val="Title"/>
    <w:uiPriority w:val="10"/>
    <w:rsid w:val="00196202"/>
    <w:rPr>
      <w:rFonts w:asciiTheme="majorHAnsi" w:eastAsiaTheme="majorEastAsia" w:hAnsiTheme="majorHAnsi" w:cstheme="majorBidi"/>
      <w:color w:val="0A1D30" w:themeColor="text2" w:themeShade="BF"/>
      <w:spacing w:val="5"/>
      <w:kern w:val="28"/>
      <w:sz w:val="52"/>
      <w:szCs w:val="52"/>
    </w:rPr>
  </w:style>
  <w:style w:type="paragraph" w:styleId="Subtitle">
    <w:name w:val="Subtitle"/>
    <w:basedOn w:val="Normal"/>
    <w:next w:val="Normal"/>
    <w:link w:val="SubtitleChar"/>
    <w:uiPriority w:val="11"/>
    <w:qFormat/>
    <w:rsid w:val="00196202"/>
    <w:pPr>
      <w:numPr>
        <w:ilvl w:val="1"/>
      </w:numPr>
    </w:pPr>
    <w:rPr>
      <w:rFonts w:asciiTheme="majorHAnsi" w:eastAsiaTheme="majorEastAsia" w:hAnsiTheme="majorHAnsi" w:cstheme="majorBidi"/>
      <w:i/>
      <w:iCs/>
      <w:color w:val="156082" w:themeColor="accent1"/>
      <w:spacing w:val="15"/>
      <w:sz w:val="24"/>
      <w:szCs w:val="24"/>
    </w:rPr>
  </w:style>
  <w:style w:type="character" w:customStyle="1" w:styleId="SubtitleChar">
    <w:name w:val="Subtitle Char"/>
    <w:basedOn w:val="DefaultParagraphFont"/>
    <w:link w:val="Subtitle"/>
    <w:uiPriority w:val="11"/>
    <w:rsid w:val="00196202"/>
    <w:rPr>
      <w:rFonts w:asciiTheme="majorHAnsi" w:eastAsiaTheme="majorEastAsia" w:hAnsiTheme="majorHAnsi" w:cstheme="majorBidi"/>
      <w:i/>
      <w:iCs/>
      <w:color w:val="156082" w:themeColor="accent1"/>
      <w:spacing w:val="15"/>
      <w:sz w:val="24"/>
      <w:szCs w:val="24"/>
    </w:rPr>
  </w:style>
  <w:style w:type="paragraph" w:styleId="Quote">
    <w:name w:val="Quote"/>
    <w:basedOn w:val="Normal"/>
    <w:next w:val="Normal"/>
    <w:link w:val="QuoteChar"/>
    <w:uiPriority w:val="29"/>
    <w:qFormat/>
    <w:rsid w:val="00196202"/>
    <w:rPr>
      <w:i/>
      <w:iCs/>
      <w:color w:val="000000" w:themeColor="text1"/>
    </w:rPr>
  </w:style>
  <w:style w:type="character" w:customStyle="1" w:styleId="QuoteChar">
    <w:name w:val="Quote Char"/>
    <w:basedOn w:val="DefaultParagraphFont"/>
    <w:link w:val="Quote"/>
    <w:uiPriority w:val="29"/>
    <w:rsid w:val="00196202"/>
    <w:rPr>
      <w:i/>
      <w:iCs/>
      <w:color w:val="000000" w:themeColor="text1"/>
    </w:rPr>
  </w:style>
  <w:style w:type="paragraph" w:styleId="ListParagraph">
    <w:name w:val="List Paragraph"/>
    <w:basedOn w:val="Normal"/>
    <w:uiPriority w:val="34"/>
    <w:qFormat/>
    <w:rsid w:val="00196202"/>
    <w:pPr>
      <w:ind w:left="720"/>
      <w:contextualSpacing/>
    </w:pPr>
  </w:style>
  <w:style w:type="character" w:styleId="IntenseEmphasis">
    <w:name w:val="Intense Emphasis"/>
    <w:basedOn w:val="DefaultParagraphFont"/>
    <w:uiPriority w:val="21"/>
    <w:qFormat/>
    <w:rsid w:val="00196202"/>
    <w:rPr>
      <w:b/>
      <w:bCs/>
      <w:i/>
      <w:iCs/>
      <w:color w:val="156082" w:themeColor="accent1"/>
    </w:rPr>
  </w:style>
  <w:style w:type="paragraph" w:styleId="IntenseQuote">
    <w:name w:val="Intense Quote"/>
    <w:basedOn w:val="Normal"/>
    <w:next w:val="Normal"/>
    <w:link w:val="IntenseQuoteChar"/>
    <w:uiPriority w:val="30"/>
    <w:qFormat/>
    <w:rsid w:val="00196202"/>
    <w:pPr>
      <w:pBdr>
        <w:bottom w:val="single" w:sz="4" w:space="4" w:color="156082" w:themeColor="accent1"/>
      </w:pBdr>
      <w:spacing w:before="200" w:after="280"/>
      <w:ind w:left="936" w:right="936"/>
    </w:pPr>
    <w:rPr>
      <w:b/>
      <w:bCs/>
      <w:i/>
      <w:iCs/>
      <w:color w:val="156082" w:themeColor="accent1"/>
    </w:rPr>
  </w:style>
  <w:style w:type="character" w:customStyle="1" w:styleId="IntenseQuoteChar">
    <w:name w:val="Intense Quote Char"/>
    <w:basedOn w:val="DefaultParagraphFont"/>
    <w:link w:val="IntenseQuote"/>
    <w:uiPriority w:val="30"/>
    <w:rsid w:val="00196202"/>
    <w:rPr>
      <w:b/>
      <w:bCs/>
      <w:i/>
      <w:iCs/>
      <w:color w:val="156082" w:themeColor="accent1"/>
    </w:rPr>
  </w:style>
  <w:style w:type="character" w:styleId="IntenseReference">
    <w:name w:val="Intense Reference"/>
    <w:basedOn w:val="DefaultParagraphFont"/>
    <w:uiPriority w:val="32"/>
    <w:qFormat/>
    <w:rsid w:val="00196202"/>
    <w:rPr>
      <w:b/>
      <w:bCs/>
      <w:smallCaps/>
      <w:color w:val="E97132" w:themeColor="accent2"/>
      <w:spacing w:val="5"/>
      <w:u w:val="single"/>
    </w:rPr>
  </w:style>
  <w:style w:type="table" w:styleId="TableGrid">
    <w:name w:val="Table Grid"/>
    <w:basedOn w:val="TableNormal"/>
    <w:uiPriority w:val="39"/>
    <w:rsid w:val="005E2A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5E2A2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EE0A08"/>
    <w:pPr>
      <w:spacing w:before="100" w:beforeAutospacing="1" w:after="100" w:afterAutospacing="1" w:line="240" w:lineRule="auto"/>
    </w:pPr>
    <w:rPr>
      <w:rFonts w:ascii="Times New Roman" w:eastAsia="Times New Roman" w:hAnsi="Times New Roman" w:cs="Times New Roman"/>
    </w:rPr>
  </w:style>
  <w:style w:type="paragraph" w:styleId="Caption">
    <w:name w:val="caption"/>
    <w:basedOn w:val="Normal"/>
    <w:next w:val="Normal"/>
    <w:uiPriority w:val="35"/>
    <w:semiHidden/>
    <w:unhideWhenUsed/>
    <w:qFormat/>
    <w:rsid w:val="00196202"/>
    <w:pPr>
      <w:spacing w:line="240" w:lineRule="auto"/>
    </w:pPr>
    <w:rPr>
      <w:b/>
      <w:bCs/>
      <w:color w:val="156082" w:themeColor="accent1"/>
      <w:sz w:val="18"/>
      <w:szCs w:val="18"/>
    </w:rPr>
  </w:style>
  <w:style w:type="character" w:styleId="Strong">
    <w:name w:val="Strong"/>
    <w:basedOn w:val="DefaultParagraphFont"/>
    <w:uiPriority w:val="22"/>
    <w:qFormat/>
    <w:rsid w:val="00196202"/>
    <w:rPr>
      <w:b/>
      <w:bCs/>
    </w:rPr>
  </w:style>
  <w:style w:type="character" w:styleId="Emphasis">
    <w:name w:val="Emphasis"/>
    <w:basedOn w:val="DefaultParagraphFont"/>
    <w:uiPriority w:val="20"/>
    <w:qFormat/>
    <w:rsid w:val="00196202"/>
    <w:rPr>
      <w:i/>
      <w:iCs/>
    </w:rPr>
  </w:style>
  <w:style w:type="paragraph" w:styleId="NoSpacing">
    <w:name w:val="No Spacing"/>
    <w:link w:val="NoSpacingChar"/>
    <w:uiPriority w:val="1"/>
    <w:qFormat/>
    <w:rsid w:val="00196202"/>
    <w:pPr>
      <w:spacing w:after="0" w:line="240" w:lineRule="auto"/>
    </w:pPr>
  </w:style>
  <w:style w:type="character" w:customStyle="1" w:styleId="NoSpacingChar">
    <w:name w:val="No Spacing Char"/>
    <w:basedOn w:val="DefaultParagraphFont"/>
    <w:link w:val="NoSpacing"/>
    <w:uiPriority w:val="1"/>
    <w:rsid w:val="00196202"/>
  </w:style>
  <w:style w:type="character" w:styleId="SubtleEmphasis">
    <w:name w:val="Subtle Emphasis"/>
    <w:basedOn w:val="DefaultParagraphFont"/>
    <w:uiPriority w:val="19"/>
    <w:qFormat/>
    <w:rsid w:val="00196202"/>
    <w:rPr>
      <w:i/>
      <w:iCs/>
      <w:color w:val="808080" w:themeColor="text1" w:themeTint="7F"/>
    </w:rPr>
  </w:style>
  <w:style w:type="character" w:styleId="SubtleReference">
    <w:name w:val="Subtle Reference"/>
    <w:basedOn w:val="DefaultParagraphFont"/>
    <w:uiPriority w:val="31"/>
    <w:qFormat/>
    <w:rsid w:val="00196202"/>
    <w:rPr>
      <w:smallCaps/>
      <w:color w:val="E97132" w:themeColor="accent2"/>
      <w:u w:val="single"/>
    </w:rPr>
  </w:style>
  <w:style w:type="character" w:styleId="BookTitle">
    <w:name w:val="Book Title"/>
    <w:basedOn w:val="DefaultParagraphFont"/>
    <w:uiPriority w:val="33"/>
    <w:qFormat/>
    <w:rsid w:val="00196202"/>
    <w:rPr>
      <w:b/>
      <w:bCs/>
      <w:smallCaps/>
      <w:spacing w:val="5"/>
    </w:rPr>
  </w:style>
  <w:style w:type="paragraph" w:styleId="TOCHeading">
    <w:name w:val="TOC Heading"/>
    <w:basedOn w:val="Heading1"/>
    <w:next w:val="Normal"/>
    <w:uiPriority w:val="39"/>
    <w:semiHidden/>
    <w:unhideWhenUsed/>
    <w:qFormat/>
    <w:rsid w:val="00196202"/>
    <w:pPr>
      <w:outlineLvl w:val="9"/>
    </w:pPr>
  </w:style>
  <w:style w:type="paragraph" w:customStyle="1" w:styleId="PersonalName">
    <w:name w:val="Personal Name"/>
    <w:basedOn w:val="Title"/>
    <w:rsid w:val="00196202"/>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98</TotalTime>
  <Pages>15</Pages>
  <Words>2232</Words>
  <Characters>12727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Slattery</dc:creator>
  <cp:keywords/>
  <dc:description/>
  <cp:lastModifiedBy>Shawn Slattery</cp:lastModifiedBy>
  <cp:revision>1</cp:revision>
  <dcterms:created xsi:type="dcterms:W3CDTF">2025-09-16T18:16:00Z</dcterms:created>
  <dcterms:modified xsi:type="dcterms:W3CDTF">2025-09-16T20:09:00Z</dcterms:modified>
</cp:coreProperties>
</file>