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1BFCE">
      <w:pPr>
        <w:pStyle w:val="2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</w:rPr>
        <w:t>DataRunner AI 项目可行性分析文档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27C55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CD857D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文档版本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F06AFF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修改日期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BB651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修改人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1DC6B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修改说明</w:t>
            </w:r>
          </w:p>
        </w:tc>
      </w:tr>
      <w:tr w14:paraId="3BD65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B5CF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V1.0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67A6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2026-03-23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15A9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产品团队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206D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初稿</w:t>
            </w:r>
          </w:p>
        </w:tc>
      </w:tr>
    </w:tbl>
    <w:p w14:paraId="0196B797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引言</w:t>
      </w:r>
    </w:p>
    <w:p w14:paraId="6DDCB4F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1.1 编写目的</w:t>
      </w:r>
    </w:p>
    <w:p w14:paraId="238CCD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本文档旨在对 DataRunner AI（公司内部AI驱动型自助跑数工具）项目进行全面可行性分析，评估项目在技术、经济、操作、法律等方面的可行性与潜在风险，为项目决策提供依据。</w:t>
      </w:r>
    </w:p>
    <w:p w14:paraId="344D3CC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1.2 项目背景</w:t>
      </w:r>
    </w:p>
    <w:p w14:paraId="381234D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公司社媒营销投入增加，各业务部门对社媒数据（抖音、小红书、微博）的提取与分析需求激增。当前数据获取依赖数据团队手工写SQL，响应周期长，业务人员无法自主分析。本项目拟构建一款AI驱动的自助跑数工具，通过自然语言交互、可视化配置、任务调度等功能，提升数据获取效率，降低数据团队负担。</w:t>
      </w:r>
    </w:p>
    <w:p w14:paraId="16CE458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分析范围</w:t>
      </w:r>
    </w:p>
    <w:p w14:paraId="7F590648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技术可行性：前端技术、后端架构、AI模型集成、数据源接入、性能与扩展性。</w:t>
      </w:r>
    </w:p>
    <w:p w14:paraId="4ED5320D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经济可行性：开发成本、运行成本、预期收益、投资回报率。</w:t>
      </w:r>
    </w:p>
    <w:p w14:paraId="752EE754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操作可行性：用户接受度、培训需求、组织适配。</w:t>
      </w:r>
    </w:p>
    <w:p w14:paraId="227913A7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法律合规性：数据隐私、API使用合规、安全审计。</w:t>
      </w:r>
    </w:p>
    <w:p w14:paraId="60399DB1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风险评估：技术风险、业务风险、安全风险及应对措施。</w:t>
      </w:r>
    </w:p>
    <w:p w14:paraId="342FD95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技术可行性</w:t>
      </w:r>
    </w:p>
    <w:p w14:paraId="16F29C6D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前端技术</w:t>
      </w:r>
    </w:p>
    <w:p w14:paraId="1167294B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技术栈</w:t>
      </w:r>
      <w:r>
        <w:rPr>
          <w:rFonts w:hint="eastAsia" w:ascii="微软雅黑" w:hAnsi="微软雅黑" w:eastAsia="微软雅黑" w:cs="微软雅黑"/>
        </w:rPr>
        <w:t>：基于现代浏览器（Chrome、Edge），使用HTML5/CSS3/JavaScript，可选用React或Vue框架实现组件化开发。当前原型已基于原生JS实现，证明UI交互无技术障碍。</w:t>
      </w:r>
    </w:p>
    <w:p w14:paraId="2AD001FD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可行性</w:t>
      </w:r>
      <w:r>
        <w:rPr>
          <w:rFonts w:hint="eastAsia" w:ascii="微软雅黑" w:hAnsi="微软雅黑" w:eastAsia="微软雅黑" w:cs="微软雅黑"/>
        </w:rPr>
        <w:t>：前端开发成熟度高，团队成员具备相关技能，无技术风险。</w:t>
      </w:r>
    </w:p>
    <w:p w14:paraId="7E650DC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后端技术</w:t>
      </w:r>
    </w:p>
    <w:p w14:paraId="36B42C75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方案</w:t>
      </w:r>
      <w:r>
        <w:rPr>
          <w:rFonts w:hint="eastAsia" w:ascii="微软雅黑" w:hAnsi="微软雅黑" w:eastAsia="微软雅黑" w:cs="微软雅黑"/>
        </w:rPr>
        <w:t>：推荐使用Node.js（Express）或Python（FastAPI）构建RESTful API，负责用户认证、任务调度、模型调用、数据查询等。</w:t>
      </w:r>
    </w:p>
    <w:p w14:paraId="6B6CE29B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数据库</w:t>
      </w:r>
      <w:r>
        <w:rPr>
          <w:rFonts w:hint="eastAsia" w:ascii="微软雅黑" w:hAnsi="微软雅黑" w:eastAsia="微软雅黑" w:cs="微软雅黑"/>
        </w:rPr>
        <w:t>：MySQL存储用户、模板、任务配置；Redis缓存会话；Elasticsearch存储操作日志。</w:t>
      </w:r>
    </w:p>
    <w:p w14:paraId="6B388411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可行性</w:t>
      </w:r>
      <w:r>
        <w:rPr>
          <w:rFonts w:hint="eastAsia" w:ascii="微软雅黑" w:hAnsi="微软雅黑" w:eastAsia="微软雅黑" w:cs="微软雅黑"/>
        </w:rPr>
        <w:t>：公司已有标准技术栈，可复用现有基础设施，开发难度中等。</w:t>
      </w:r>
    </w:p>
    <w:p w14:paraId="19B75E5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2.3 AI模型集成</w:t>
      </w:r>
    </w:p>
    <w:p w14:paraId="34F42636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需求</w:t>
      </w:r>
      <w:r>
        <w:rPr>
          <w:rFonts w:hint="eastAsia" w:ascii="微软雅黑" w:hAnsi="微软雅黑" w:eastAsia="微软雅黑" w:cs="微软雅黑"/>
        </w:rPr>
        <w:t>：调用大模型API（GPT-4、Claude等）进行意图解析、SQL生成、数据分析总结。</w:t>
      </w:r>
    </w:p>
    <w:p w14:paraId="013565E1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技术点</w:t>
      </w:r>
      <w:r>
        <w:rPr>
          <w:rFonts w:hint="eastAsia" w:ascii="微软雅黑" w:hAnsi="微软雅黑" w:eastAsia="微软雅黑" w:cs="微软雅黑"/>
        </w:rPr>
        <w:t>：需封装统一模型网关，管理API Key、Token计数、错误重试。</w:t>
      </w:r>
    </w:p>
    <w:p w14:paraId="636D8F7B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可行性</w:t>
      </w:r>
      <w:r>
        <w:rPr>
          <w:rFonts w:hint="eastAsia" w:ascii="微软雅黑" w:hAnsi="微软雅黑" w:eastAsia="微软雅黑" w:cs="微软雅黑"/>
        </w:rPr>
        <w:t>：各模型厂商均提供稳定API，开源社区有大量调用示例；内部可训练轻量级社媒分析模型作为备选。技术成熟，风险可控。</w:t>
      </w:r>
    </w:p>
    <w:p w14:paraId="01ABA45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2.4 数据源接入</w:t>
      </w:r>
    </w:p>
    <w:p w14:paraId="74953501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需求</w:t>
      </w:r>
      <w:r>
        <w:rPr>
          <w:rFonts w:hint="eastAsia" w:ascii="微软雅黑" w:hAnsi="微软雅黑" w:eastAsia="微软雅黑" w:cs="微软雅黑"/>
        </w:rPr>
        <w:t>：接入公司社媒数据仓库（如Hive、ODPS）及实时数据流。</w:t>
      </w:r>
    </w:p>
    <w:p w14:paraId="18CBF73A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技术点</w:t>
      </w:r>
      <w:r>
        <w:rPr>
          <w:rFonts w:hint="eastAsia" w:ascii="微软雅黑" w:hAnsi="微软雅黑" w:eastAsia="微软雅黑" w:cs="微软雅黑"/>
        </w:rPr>
        <w:t>：需开发数据源适配层，支持JDBC/HTTP连接，处理查询权限、脱敏、结果集分页。</w:t>
      </w:r>
    </w:p>
    <w:p w14:paraId="1080815D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可行性</w:t>
      </w:r>
      <w:r>
        <w:rPr>
          <w:rFonts w:hint="eastAsia" w:ascii="微软雅黑" w:hAnsi="微软雅黑" w:eastAsia="微软雅黑" w:cs="微软雅黑"/>
        </w:rPr>
        <w:t>：公司已有数据中台，提供统一数据服务接口，可直接复用；若需直连数仓，需协调数据平台团队提供只读账号，技术实现可行。</w:t>
      </w:r>
    </w:p>
    <w:p w14:paraId="419009E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2.5 性能与扩展性</w:t>
      </w:r>
    </w:p>
    <w:p w14:paraId="1E480A5C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并发预估</w:t>
      </w:r>
      <w:r>
        <w:rPr>
          <w:rFonts w:hint="eastAsia" w:ascii="微软雅黑" w:hAnsi="微软雅黑" w:eastAsia="微软雅黑" w:cs="微软雅黑"/>
        </w:rPr>
        <w:t>：初期用户约50人，峰值并发查询&lt;10；后期扩展至200人，并发&lt;30。</w:t>
      </w:r>
    </w:p>
    <w:p w14:paraId="62794A2F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响应时间</w:t>
      </w:r>
      <w:r>
        <w:rPr>
          <w:rFonts w:hint="eastAsia" w:ascii="微软雅黑" w:hAnsi="微软雅黑" w:eastAsia="微软雅黑" w:cs="微软雅黑"/>
        </w:rPr>
        <w:t>：模型调用（&lt;15s）、数据查询（&lt;10s）均在可接受范围。</w:t>
      </w:r>
    </w:p>
    <w:p w14:paraId="10CDE37E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扩展性</w:t>
      </w:r>
      <w:r>
        <w:rPr>
          <w:rFonts w:hint="eastAsia" w:ascii="微软雅黑" w:hAnsi="微软雅黑" w:eastAsia="微软雅黑" w:cs="微软雅黑"/>
        </w:rPr>
        <w:t>：后端服务可横向扩展，任务调度采用分布式锁，模型调用可限流降级。</w:t>
      </w:r>
    </w:p>
    <w:p w14:paraId="692866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结论</w:t>
      </w:r>
      <w:r>
        <w:rPr>
          <w:rFonts w:hint="eastAsia" w:ascii="微软雅黑" w:hAnsi="微软雅黑" w:eastAsia="微软雅黑" w:cs="微软雅黑"/>
        </w:rPr>
        <w:t>：技术方案成熟，团队具备实现能力，技术风险低。</w:t>
      </w:r>
    </w:p>
    <w:p w14:paraId="2FD929C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经济可行性</w:t>
      </w:r>
    </w:p>
    <w:p w14:paraId="25CD671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开发成本估算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0CE7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20C161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F0DC07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人力投入（人月）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01EED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单价（万元/人月）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BF7CAA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成本（万元）</w:t>
            </w:r>
          </w:p>
        </w:tc>
      </w:tr>
      <w:tr w14:paraId="4B00A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A6C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产品设计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055D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802F6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F97A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2.5</w:t>
            </w:r>
          </w:p>
        </w:tc>
      </w:tr>
      <w:tr w14:paraId="77754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B139D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UI设计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C429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50A2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55694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1.0</w:t>
            </w:r>
          </w:p>
        </w:tc>
      </w:tr>
      <w:tr w14:paraId="35109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C182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前端开发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BCB3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94CD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D482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5.0</w:t>
            </w:r>
          </w:p>
        </w:tc>
      </w:tr>
      <w:tr w14:paraId="7F03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F2A75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后端开发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4CFB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D3463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C482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6.25</w:t>
            </w:r>
          </w:p>
        </w:tc>
      </w:tr>
      <w:tr w14:paraId="11DC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FEFEF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测试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A4E4F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1B93D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E24C2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2.0</w:t>
            </w:r>
          </w:p>
        </w:tc>
      </w:tr>
      <w:tr w14:paraId="7BC0C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85CF1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060E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7939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DAA8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1.25</w:t>
            </w:r>
          </w:p>
        </w:tc>
      </w:tr>
      <w:tr w14:paraId="7450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623E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合计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F6AFB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7.5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2E537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4017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18.0</w:t>
            </w:r>
          </w:p>
        </w:tc>
      </w:tr>
    </w:tbl>
    <w:p w14:paraId="3A52EC3F">
      <w:pPr>
        <w:rPr>
          <w:rFonts w:hint="eastAsia" w:ascii="微软雅黑" w:hAnsi="微软雅黑" w:eastAsia="微软雅黑" w:cs="微软雅黑"/>
        </w:rPr>
      </w:pPr>
      <w:r>
        <w:rPr>
          <w:rStyle w:val="7"/>
          <w:rFonts w:hint="eastAsia" w:ascii="微软雅黑" w:hAnsi="微软雅黑" w:eastAsia="微软雅黑" w:cs="微软雅黑"/>
        </w:rPr>
        <w:t>注：以上为预估，实际可能根据人员复用、现有组件复用有所降低。</w:t>
      </w:r>
    </w:p>
    <w:p w14:paraId="4EBCE81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运行成本估算（年度）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6EBA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6F9352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5B7666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8BA0D9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成本（万元/年）</w:t>
            </w:r>
          </w:p>
        </w:tc>
      </w:tr>
      <w:tr w14:paraId="5D9B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1771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服务器资源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4CD5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云主机、数据库、存储（可复用现有）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1772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2.0</w:t>
            </w:r>
          </w:p>
        </w:tc>
      </w:tr>
      <w:tr w14:paraId="536AE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1CA3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大模型API调用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C50A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假设日均500次查询，单次平均0.1元（GPT-4成本约0.03元/次，内部模型更低）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BE04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1.8</w:t>
            </w:r>
          </w:p>
        </w:tc>
      </w:tr>
      <w:tr w14:paraId="0DA74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7A00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运维人力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9405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兼职运维（0.2人月）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02A9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0.5</w:t>
            </w:r>
          </w:p>
        </w:tc>
      </w:tr>
      <w:tr w14:paraId="7073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4174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合计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D47D3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C460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4.3</w:t>
            </w:r>
          </w:p>
        </w:tc>
      </w:tr>
    </w:tbl>
    <w:p w14:paraId="6EFADE2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收益预测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7CEB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C7EEC0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收益项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B05EDF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量化说明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F40652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年收益（万元）</w:t>
            </w:r>
          </w:p>
        </w:tc>
      </w:tr>
      <w:tr w14:paraId="2B1C5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5397C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数据团队效率提升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3CEB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当前数据团队每月处理60个取数需求，每个需求耗时0.5天，工具上线后减少80%工作量，节约人力成本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DE5A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12.0</w:t>
            </w:r>
          </w:p>
        </w:tc>
      </w:tr>
      <w:tr w14:paraId="1564E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8B7BB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业务人员自主分析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1461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减少业务人员等待时间，提升决策效率（难以量化，暂不计）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8C4D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</w:tr>
      <w:tr w14:paraId="3587B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192E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沉淀知识资产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8C05E5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通过Prompt工坊积累分析模板，降低重复开发成本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84370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5.0</w:t>
            </w:r>
          </w:p>
        </w:tc>
      </w:tr>
      <w:tr w14:paraId="2A88D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F7719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合计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2C27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-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8F6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17.0</w:t>
            </w:r>
          </w:p>
        </w:tc>
      </w:tr>
    </w:tbl>
    <w:p w14:paraId="676E57C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投资回报分析</w:t>
      </w:r>
    </w:p>
    <w:p w14:paraId="3AF9F957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开发投入</w:t>
      </w:r>
      <w:r>
        <w:rPr>
          <w:rFonts w:hint="eastAsia" w:ascii="微软雅黑" w:hAnsi="微软雅黑" w:eastAsia="微软雅黑" w:cs="微软雅黑"/>
        </w:rPr>
        <w:t>：18万元（一次性）</w:t>
      </w:r>
    </w:p>
    <w:p w14:paraId="0F487B1A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年运行成本</w:t>
      </w:r>
      <w:r>
        <w:rPr>
          <w:rFonts w:hint="eastAsia" w:ascii="微软雅黑" w:hAnsi="微软雅黑" w:eastAsia="微软雅黑" w:cs="微软雅黑"/>
        </w:rPr>
        <w:t>：4.3万元</w:t>
      </w:r>
    </w:p>
    <w:p w14:paraId="177D65D4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年收益</w:t>
      </w:r>
      <w:r>
        <w:rPr>
          <w:rFonts w:hint="eastAsia" w:ascii="微软雅黑" w:hAnsi="微软雅黑" w:eastAsia="微软雅黑" w:cs="微软雅黑"/>
        </w:rPr>
        <w:t>：17万元</w:t>
      </w:r>
    </w:p>
    <w:p w14:paraId="2112F076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静态投资回收期</w:t>
      </w:r>
      <w:r>
        <w:rPr>
          <w:rFonts w:hint="eastAsia" w:ascii="微软雅黑" w:hAnsi="微软雅黑" w:eastAsia="微软雅黑" w:cs="微软雅黑"/>
        </w:rPr>
        <w:t>：18 / (17 - 4.3) ≈ 1.4年</w:t>
      </w:r>
    </w:p>
    <w:p w14:paraId="17CE430E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三年净现值</w:t>
      </w:r>
      <w:r>
        <w:rPr>
          <w:rFonts w:hint="eastAsia" w:ascii="微软雅黑" w:hAnsi="微软雅黑" w:eastAsia="微软雅黑" w:cs="微软雅黑"/>
        </w:rPr>
        <w:t>（折现率10%）：约28万元，IRR &gt; 30%</w:t>
      </w:r>
    </w:p>
    <w:p w14:paraId="56DEFC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结论</w:t>
      </w:r>
      <w:r>
        <w:rPr>
          <w:rFonts w:hint="eastAsia" w:ascii="微软雅黑" w:hAnsi="微软雅黑" w:eastAsia="微软雅黑" w:cs="微软雅黑"/>
        </w:rPr>
        <w:t>：项目经济效益显著，投资回报期短，经济可行。</w:t>
      </w:r>
    </w:p>
    <w:p w14:paraId="26BD2ED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操作可行性</w:t>
      </w:r>
    </w:p>
    <w:p w14:paraId="2CE9099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用户接受度</w:t>
      </w:r>
    </w:p>
    <w:p w14:paraId="7BF71017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目标用户包括市场、运营、数据分析师，普遍具备计算机基础，对AI工具接受度高。</w:t>
      </w:r>
    </w:p>
    <w:p w14:paraId="337F020D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通过自然语言交互，极大降低使用门槛，预计初期试点部门用户满意度可达80%以上。</w:t>
      </w:r>
    </w:p>
    <w:p w14:paraId="45CFD92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培训需求</w:t>
      </w:r>
    </w:p>
    <w:p w14:paraId="0048020D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培训内容</w:t>
      </w:r>
      <w:r>
        <w:rPr>
          <w:rFonts w:hint="eastAsia" w:ascii="微软雅黑" w:hAnsi="微软雅黑" w:eastAsia="微软雅黑" w:cs="微软雅黑"/>
        </w:rPr>
        <w:t>：基础操作（登录、自然语言查询）、模板使用、任务配置。</w:t>
      </w:r>
    </w:p>
    <w:p w14:paraId="1AAD3996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培训方式</w:t>
      </w:r>
      <w:r>
        <w:rPr>
          <w:rFonts w:hint="eastAsia" w:ascii="微软雅黑" w:hAnsi="微软雅黑" w:eastAsia="微软雅黑" w:cs="微软雅黑"/>
        </w:rPr>
        <w:t>：录制操作视频+现场培训（2小时），提供文档手册。</w:t>
      </w:r>
    </w:p>
    <w:p w14:paraId="1FF6F065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培训成本</w:t>
      </w:r>
      <w:r>
        <w:rPr>
          <w:rFonts w:hint="eastAsia" w:ascii="微软雅黑" w:hAnsi="微软雅黑" w:eastAsia="微软雅黑" w:cs="微软雅黑"/>
        </w:rPr>
        <w:t>：低（内部讲师，无需外部费用）。</w:t>
      </w:r>
    </w:p>
    <w:p w14:paraId="34123B1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组织适配</w:t>
      </w:r>
    </w:p>
    <w:p w14:paraId="322AB5D5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工具将作为数据服务的统一入口，与现有数据中台、BI系统并行，不替代现有系统。</w:t>
      </w:r>
    </w:p>
    <w:p w14:paraId="73F90DFB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需数据团队提供技术支持（数据源授权、模型调优），但工作量可控。</w:t>
      </w:r>
    </w:p>
    <w:p w14:paraId="5FB9C1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结论</w:t>
      </w:r>
      <w:r>
        <w:rPr>
          <w:rFonts w:hint="eastAsia" w:ascii="微软雅黑" w:hAnsi="微软雅黑" w:eastAsia="微软雅黑" w:cs="微软雅黑"/>
        </w:rPr>
        <w:t>：操作层面无明显障碍，用户易上手，组织可平滑过渡。</w:t>
      </w:r>
    </w:p>
    <w:p w14:paraId="72B5F22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法律合规性</w:t>
      </w:r>
    </w:p>
    <w:p w14:paraId="501D9C4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数据隐私与安全</w:t>
      </w:r>
    </w:p>
    <w:p w14:paraId="4269C25E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社媒数据</w:t>
      </w:r>
      <w:r>
        <w:rPr>
          <w:rFonts w:hint="eastAsia" w:ascii="微软雅黑" w:hAnsi="微软雅黑" w:eastAsia="微软雅黑" w:cs="微软雅黑"/>
        </w:rPr>
        <w:t>：公司已通过合法渠道获取社媒数据（API授权、公开数据爬取符合平台规则），用户评论内容不涉及个人敏感信息。</w:t>
      </w:r>
    </w:p>
    <w:p w14:paraId="39FA324C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内部数据</w:t>
      </w:r>
      <w:r>
        <w:rPr>
          <w:rFonts w:hint="eastAsia" w:ascii="微软雅黑" w:hAnsi="微软雅黑" w:eastAsia="微软雅黑" w:cs="微软雅黑"/>
        </w:rPr>
        <w:t>：员工信息、任务配置等内部数据，按照公司数据安全等级分类，仅授权人员可访问。</w:t>
      </w:r>
    </w:p>
    <w:p w14:paraId="2B339615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合规措施</w:t>
      </w:r>
      <w:r>
        <w:rPr>
          <w:rFonts w:hint="eastAsia" w:ascii="微软雅黑" w:hAnsi="微软雅黑" w:eastAsia="微软雅黑" w:cs="微软雅黑"/>
        </w:rPr>
        <w:t>：</w:t>
      </w:r>
    </w:p>
    <w:p w14:paraId="3A47FC26">
      <w:pPr>
        <w:numPr>
          <w:ilvl w:val="1"/>
          <w:numId w:val="11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所有用户操作记录审计日志。</w:t>
      </w:r>
    </w:p>
    <w:p w14:paraId="174E0F4A">
      <w:pPr>
        <w:numPr>
          <w:ilvl w:val="1"/>
          <w:numId w:val="11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敏感字段（如手机号）自动脱敏展示。</w:t>
      </w:r>
    </w:p>
    <w:p w14:paraId="6A693B6E">
      <w:pPr>
        <w:numPr>
          <w:ilvl w:val="1"/>
          <w:numId w:val="11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数据导出需审批（管理员配置）。</w:t>
      </w:r>
    </w:p>
    <w:p w14:paraId="49D2845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大模型API使用合规</w:t>
      </w:r>
    </w:p>
    <w:p w14:paraId="0053F923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使用OpenAI、Claude等API需遵守其服务条款，不得用于非法用途，不得输入公司敏感商业机密。</w:t>
      </w:r>
    </w:p>
    <w:p w14:paraId="62CB9F70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建议优先使用内部微调模型或私有化部署模型，避免数据外传风险。</w:t>
      </w:r>
    </w:p>
    <w:p w14:paraId="6C17477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知识产权</w:t>
      </w:r>
    </w:p>
    <w:p w14:paraId="070A1827">
      <w:pPr>
        <w:numPr>
          <w:ilvl w:val="0"/>
          <w:numId w:val="1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工具代码为公司自有知识产权，Prompt模板归创建者所有，但使用权限归属公司。</w:t>
      </w:r>
    </w:p>
    <w:p w14:paraId="74B785D3">
      <w:pPr>
        <w:numPr>
          <w:ilvl w:val="0"/>
          <w:numId w:val="1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用户生成的分析报告、洞察结论，归属公司所有。</w:t>
      </w:r>
    </w:p>
    <w:p w14:paraId="742F75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结论</w:t>
      </w:r>
      <w:r>
        <w:rPr>
          <w:rFonts w:hint="eastAsia" w:ascii="微软雅黑" w:hAnsi="微软雅黑" w:eastAsia="微软雅黑" w:cs="微软雅黑"/>
        </w:rPr>
        <w:t>：通过合理的技术与管理制度，可满足法律合规要求，风险可控。</w:t>
      </w:r>
    </w:p>
    <w:p w14:paraId="40C0361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风险评估与应对措施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0594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9DB85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风险类型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71F72C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风险描述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8D6B9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可能性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70C59EB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影响程度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B1E875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应对措施</w:t>
            </w:r>
          </w:p>
        </w:tc>
      </w:tr>
      <w:tr w14:paraId="4E1FA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D0547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技术风险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A2E6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大模型API不稳定、限流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D7F2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2553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E9EB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接入多家模型，支持自动降级切换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增加本地缓存，减少重复调用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设置超时重试机制</w:t>
            </w:r>
          </w:p>
        </w:tc>
      </w:tr>
      <w:tr w14:paraId="64A8D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13F8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技术风险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2966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数据源查询性能瓶颈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F77A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8EF4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4BEE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查询结果缓存（结果集缓存5分钟）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限制单次查询数据量，提示用户优化条件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异步执行大数据量查询</w:t>
            </w:r>
          </w:p>
        </w:tc>
      </w:tr>
      <w:tr w14:paraId="1690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175F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成本风险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BACD9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模型调用成本失控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41478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E584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1682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设置部门/用户/任务每日Token上限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超阈值发送告警，需审批提额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定期出成本报表，提醒各部门</w:t>
            </w:r>
          </w:p>
        </w:tc>
      </w:tr>
      <w:tr w14:paraId="20030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29DE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安全风险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8219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用户误导出敏感数据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284D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3B557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DC4A3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敏感字段自动脱敏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导出记录审计日志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高敏数据导出需上级审批</w:t>
            </w:r>
          </w:p>
        </w:tc>
      </w:tr>
      <w:tr w14:paraId="7B842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A44A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用户采纳风险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4757F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用户不愿改变习惯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1EB0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C34C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57B0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试点部门先行，树立标杆案例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提供激励（如分析之星评选）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持续收集反馈，快速迭代优化</w:t>
            </w:r>
          </w:p>
        </w:tc>
      </w:tr>
      <w:tr w14:paraId="05EF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C4565E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运维风险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192A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服务宕机影响业务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140F1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95277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中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CB41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1. 采用高可用架构（多实例）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2. 关键服务降级方案（如模型调用失败时提示用户重试）</w:t>
            </w:r>
            <w:r>
              <w:rPr>
                <w:rFonts w:hint="eastAsia" w:ascii="微软雅黑" w:hAnsi="微软雅黑" w:eastAsia="微软雅黑" w:cs="微软雅黑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</w:rPr>
              <w:t>3. 监控告警及时响应</w:t>
            </w:r>
          </w:p>
        </w:tc>
      </w:tr>
    </w:tbl>
    <w:p w14:paraId="0B6480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风险总体可控</w:t>
      </w:r>
      <w:r>
        <w:rPr>
          <w:rFonts w:hint="eastAsia" w:ascii="微软雅黑" w:hAnsi="微软雅黑" w:eastAsia="微软雅黑" w:cs="微软雅黑"/>
        </w:rPr>
        <w:t>，通过预案可降低影响。</w:t>
      </w:r>
    </w:p>
    <w:p w14:paraId="70FBB72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结论</w:t>
      </w:r>
    </w:p>
    <w:p w14:paraId="23D0D2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综合以上分析，DataRunner AI项目在</w:t>
      </w:r>
      <w:r>
        <w:rPr>
          <w:rFonts w:hint="eastAsia" w:ascii="微软雅黑" w:hAnsi="微软雅黑" w:eastAsia="微软雅黑" w:cs="微软雅黑"/>
          <w:b/>
        </w:rPr>
        <w:t>技术、经济、操作、法律</w:t>
      </w:r>
      <w:r>
        <w:rPr>
          <w:rFonts w:hint="eastAsia" w:ascii="微软雅黑" w:hAnsi="微软雅黑" w:eastAsia="微软雅黑" w:cs="微软雅黑"/>
        </w:rPr>
        <w:t>各方面均具备可行性：</w:t>
      </w:r>
    </w:p>
    <w:p w14:paraId="2E305F7D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技术可行</w:t>
      </w:r>
      <w:r>
        <w:rPr>
          <w:rFonts w:hint="eastAsia" w:ascii="微软雅黑" w:hAnsi="微软雅黑" w:eastAsia="微软雅黑" w:cs="微软雅黑"/>
        </w:rPr>
        <w:t>：采用成熟技术栈，AI集成方案清晰，公司有基础支撑。</w:t>
      </w:r>
    </w:p>
    <w:p w14:paraId="1994B78F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经济可行</w:t>
      </w:r>
      <w:r>
        <w:rPr>
          <w:rFonts w:hint="eastAsia" w:ascii="微软雅黑" w:hAnsi="微软雅黑" w:eastAsia="微软雅黑" w:cs="微软雅黑"/>
        </w:rPr>
        <w:t>：投资回收期短（约1.4年），长期收益显著。</w:t>
      </w:r>
    </w:p>
    <w:p w14:paraId="16975276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操作可行</w:t>
      </w:r>
      <w:r>
        <w:rPr>
          <w:rFonts w:hint="eastAsia" w:ascii="微软雅黑" w:hAnsi="微软雅黑" w:eastAsia="微软雅黑" w:cs="微软雅黑"/>
        </w:rPr>
        <w:t>：用户上手容易，培训成本低，组织适配良好。</w:t>
      </w:r>
    </w:p>
    <w:p w14:paraId="375E5E6A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法律合规</w:t>
      </w:r>
      <w:r>
        <w:rPr>
          <w:rFonts w:hint="eastAsia" w:ascii="微软雅黑" w:hAnsi="微软雅黑" w:eastAsia="微软雅黑" w:cs="微软雅黑"/>
        </w:rPr>
        <w:t>：通过权限控制、数据脱敏、审计日志满足合规要求。</w:t>
      </w:r>
    </w:p>
    <w:p w14:paraId="67D1C2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建议</w:t>
      </w:r>
      <w:r>
        <w:rPr>
          <w:rFonts w:hint="eastAsia" w:ascii="微软雅黑" w:hAnsi="微软雅黑" w:eastAsia="微软雅黑" w:cs="微软雅黑"/>
        </w:rPr>
        <w:t>：启动项目，按照规划分阶段实施，优先完成核心功能上线，再逐步完善高级特性。同时建议成立项目专项小组，定期评估风险与进展，确保项目成功落地。</w:t>
      </w:r>
    </w:p>
    <w:bookmarkEnd w:id="0"/>
    <w:p w14:paraId="32A952E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45FA9"/>
    <w:multiLevelType w:val="singleLevel"/>
    <w:tmpl w:val="9E645F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026233"/>
    <w:multiLevelType w:val="singleLevel"/>
    <w:tmpl w:val="A702623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EA0A5C32"/>
    <w:multiLevelType w:val="singleLevel"/>
    <w:tmpl w:val="EA0A5C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EDCE33DD"/>
    <w:multiLevelType w:val="multilevel"/>
    <w:tmpl w:val="EDCE33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F198FD24"/>
    <w:multiLevelType w:val="singleLevel"/>
    <w:tmpl w:val="F198FD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F1FDC8FC"/>
    <w:multiLevelType w:val="singleLevel"/>
    <w:tmpl w:val="F1FDC8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025B1E5C"/>
    <w:multiLevelType w:val="singleLevel"/>
    <w:tmpl w:val="025B1E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0B74BEE4"/>
    <w:multiLevelType w:val="singleLevel"/>
    <w:tmpl w:val="0B74BE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18408E54"/>
    <w:multiLevelType w:val="singleLevel"/>
    <w:tmpl w:val="18408E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18E3083B"/>
    <w:multiLevelType w:val="singleLevel"/>
    <w:tmpl w:val="18E308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30FCE03A"/>
    <w:multiLevelType w:val="singleLevel"/>
    <w:tmpl w:val="30FCE0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37B6B47F"/>
    <w:multiLevelType w:val="singleLevel"/>
    <w:tmpl w:val="37B6B4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55131FAB"/>
    <w:multiLevelType w:val="singleLevel"/>
    <w:tmpl w:val="55131F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6DDAEF53"/>
    <w:multiLevelType w:val="singleLevel"/>
    <w:tmpl w:val="6DDAEF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2"/>
  </w:num>
  <w:num w:numId="2">
    <w:abstractNumId w:val="4"/>
  </w:num>
  <w:num w:numId="3">
    <w:abstractNumId w:val="13"/>
  </w:num>
  <w:num w:numId="4">
    <w:abstractNumId w:val="0"/>
  </w:num>
  <w:num w:numId="5">
    <w:abstractNumId w:val="1"/>
  </w:num>
  <w:num w:numId="6">
    <w:abstractNumId w:val="9"/>
  </w:num>
  <w:num w:numId="7">
    <w:abstractNumId w:val="7"/>
  </w:num>
  <w:num w:numId="8">
    <w:abstractNumId w:val="11"/>
  </w:num>
  <w:num w:numId="9">
    <w:abstractNumId w:val="5"/>
  </w:num>
  <w:num w:numId="10">
    <w:abstractNumId w:val="2"/>
  </w:num>
  <w:num w:numId="11">
    <w:abstractNumId w:val="3"/>
  </w:num>
  <w:num w:numId="12">
    <w:abstractNumId w:val="6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2C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2947</Words>
  <Characters>3746</Characters>
  <Lines>0</Lines>
  <Paragraphs>0</Paragraphs>
  <TotalTime>0</TotalTime>
  <ScaleCrop>false</ScaleCrop>
  <LinksUpToDate>false</LinksUpToDate>
  <CharactersWithSpaces>4091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2026-03-23T07:59:21Z</dcterms:created>
  <dc:creator>Administrator</dc:creator>
  <cp:lastModifiedBy>周子博</cp:lastModifiedBy>
  <dcterms:modified xsi:type="dcterms:W3CDTF">2026-03-23T07:59:39Z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eyJoZGlkIjoiMmNiNDM4MTJkN2E5MjM0Y2UzNzVhNjhhMDZkZGY1ODYiLCJ1c2VySWQiOiIxNDU3MzgxNTAwIn0=</vt:lpwstr>
  </property>
  <property fmtid="{D5CDD505-2E9C-101B-9397-08002B2CF9AE}" pid="4" name="ICV">
    <vt:lpwstr>27EC1113572B482495A2EDCAAFFC1073_12</vt:lpwstr>
  </property>
</Properties>
</file>