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6636F"/>
          <w:sz w:val="22"/>
          <w:szCs w:val="22"/>
        </w:rPr>
        <w:t xml:space="preserve">PlanIT Control</w:t>
      </w:r>
    </w:p>
    <w:p>
      <w:pPr>
        <w:spacing w:after="120"/>
      </w:pPr>
      <w:r>
        <w:rPr>
          <w:rFonts w:ascii="Calibri" w:cs="Calibri" w:eastAsia="Calibri" w:hAnsi="Calibri"/>
          <w:b/>
          <w:bCs/>
          <w:color w:val="1F4E79"/>
          <w:sz w:val="44"/>
          <w:szCs w:val="44"/>
        </w:rPr>
        <w:t xml:space="preserve">Ingestion Data Sources</w:t>
      </w:r>
    </w:p>
    <w:p>
      <w:pPr>
        <w:spacing w:after="100" w:line="276"/>
      </w:pPr>
      <w:r>
        <w:rPr>
          <w:rFonts w:ascii="Calibri" w:cs="Calibri" w:eastAsia="Calibri" w:hAnsi="Calibri"/>
          <w:color w:val="56636F"/>
          <w:sz w:val="21"/>
          <w:szCs w:val="21"/>
        </w:rPr>
        <w:t xml:space="preserve">Every outside dataset the monitoring backend reads, how often, what it writes, and what we have and have not verified. Status as of 17 October 2026, hosted Supabase project zarkusdtiwdquimnplya.</w:t>
      </w:r>
    </w:p>
    <w:p>
      <w:pPr>
        <w:pStyle w:val="Heading1"/>
        <w:spacing w:after="120" w:before="300"/>
      </w:pPr>
      <w:r>
        <w:rPr>
          <w:rFonts w:ascii="Calibri" w:cs="Calibri" w:eastAsia="Calibri" w:hAnsi="Calibri"/>
          <w:b/>
          <w:bCs/>
          <w:color w:val="1F4E79"/>
          <w:sz w:val="30"/>
          <w:szCs w:val="30"/>
        </w:rPr>
        <w:t xml:space="preserve">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700"/>
        <w:gridCol w:w="1600"/>
        <w:gridCol w:w="2080"/>
      </w:tblGrid>
      <w:tr>
        <w:trPr>
          <w:cantSplit/>
          <w:tblHeader/>
        </w:trPr>
        <w:tc>
          <w:tcPr>
            <w:tcW w:type="dxa" w:w="2200"/>
            <w:tcBorders>
              <w:top w:val="single" w:color="CFD6DD" w:sz="4"/>
              <w:left w:val="single" w:color="CFD6DD" w:sz="4"/>
              <w:bottom w:val="single" w:color="CFD6DD" w:sz="4"/>
              <w:right w:val="single" w:color="CFD6DD" w:sz="4"/>
            </w:tcBorders>
            <w:shd w:fill="1F4E79" w:color="auto" w:val="clear"/>
            <w:tcMar>
              <w:top w:type="dxa" w:w="70"/>
              <w:left w:type="dxa" w:w="110"/>
              <w:bottom w:type="dxa" w:w="70"/>
              <w:right w:type="dxa" w:w="110"/>
            </w:tcMar>
          </w:tcPr>
          <w:p>
            <w:pPr>
              <w:spacing w:after="20" w:line="258"/>
            </w:pPr>
            <w:r>
              <w:rPr>
                <w:rFonts w:ascii="Calibri" w:cs="Calibri" w:eastAsia="Calibri" w:hAnsi="Calibri"/>
                <w:b/>
                <w:bCs/>
                <w:color w:val="FFFFFF"/>
                <w:sz w:val="19"/>
                <w:szCs w:val="19"/>
              </w:rPr>
              <w:t xml:space="preserve">Source</w:t>
            </w:r>
          </w:p>
        </w:tc>
        <w:tc>
          <w:tcPr>
            <w:tcW w:type="dxa" w:w="2500"/>
            <w:tcBorders>
              <w:top w:val="single" w:color="CFD6DD" w:sz="4"/>
              <w:left w:val="single" w:color="CFD6DD" w:sz="4"/>
              <w:bottom w:val="single" w:color="CFD6DD" w:sz="4"/>
              <w:right w:val="single" w:color="CFD6DD" w:sz="4"/>
            </w:tcBorders>
            <w:shd w:fill="1F4E79" w:color="auto" w:val="clear"/>
            <w:tcMar>
              <w:top w:type="dxa" w:w="70"/>
              <w:left w:type="dxa" w:w="110"/>
              <w:bottom w:type="dxa" w:w="70"/>
              <w:right w:type="dxa" w:w="110"/>
            </w:tcMar>
          </w:tcPr>
          <w:p>
            <w:pPr>
              <w:spacing w:after="20" w:line="258"/>
            </w:pPr>
            <w:r>
              <w:rPr>
                <w:rFonts w:ascii="Calibri" w:cs="Calibri" w:eastAsia="Calibri" w:hAnsi="Calibri"/>
                <w:b/>
                <w:bCs/>
                <w:color w:val="FFFFFF"/>
                <w:sz w:val="19"/>
                <w:szCs w:val="19"/>
              </w:rPr>
              <w:t xml:space="preserve">Provides</w:t>
            </w:r>
          </w:p>
        </w:tc>
        <w:tc>
          <w:tcPr>
            <w:tcW w:type="dxa" w:w="1700"/>
            <w:tcBorders>
              <w:top w:val="single" w:color="CFD6DD" w:sz="4"/>
              <w:left w:val="single" w:color="CFD6DD" w:sz="4"/>
              <w:bottom w:val="single" w:color="CFD6DD" w:sz="4"/>
              <w:right w:val="single" w:color="CFD6DD" w:sz="4"/>
            </w:tcBorders>
            <w:shd w:fill="1F4E79" w:color="auto" w:val="clear"/>
            <w:tcMar>
              <w:top w:type="dxa" w:w="70"/>
              <w:left w:type="dxa" w:w="110"/>
              <w:bottom w:type="dxa" w:w="70"/>
              <w:right w:type="dxa" w:w="110"/>
            </w:tcMar>
          </w:tcPr>
          <w:p>
            <w:pPr>
              <w:spacing w:after="20" w:line="258"/>
            </w:pPr>
            <w:r>
              <w:rPr>
                <w:rFonts w:ascii="Calibri" w:cs="Calibri" w:eastAsia="Calibri" w:hAnsi="Calibri"/>
                <w:b/>
                <w:bCs/>
                <w:color w:val="FFFFFF"/>
                <w:sz w:val="19"/>
                <w:szCs w:val="19"/>
              </w:rPr>
              <w:t xml:space="preserve">Cadence</w:t>
            </w:r>
          </w:p>
        </w:tc>
        <w:tc>
          <w:tcPr>
            <w:tcW w:type="dxa" w:w="1600"/>
            <w:tcBorders>
              <w:top w:val="single" w:color="CFD6DD" w:sz="4"/>
              <w:left w:val="single" w:color="CFD6DD" w:sz="4"/>
              <w:bottom w:val="single" w:color="CFD6DD" w:sz="4"/>
              <w:right w:val="single" w:color="CFD6DD" w:sz="4"/>
            </w:tcBorders>
            <w:shd w:fill="1F4E79" w:color="auto" w:val="clear"/>
            <w:tcMar>
              <w:top w:type="dxa" w:w="70"/>
              <w:left w:type="dxa" w:w="110"/>
              <w:bottom w:type="dxa" w:w="70"/>
              <w:right w:type="dxa" w:w="110"/>
            </w:tcMar>
          </w:tcPr>
          <w:p>
            <w:pPr>
              <w:spacing w:after="20" w:line="258"/>
            </w:pPr>
            <w:r>
              <w:rPr>
                <w:rFonts w:ascii="Calibri" w:cs="Calibri" w:eastAsia="Calibri" w:hAnsi="Calibri"/>
                <w:b/>
                <w:bCs/>
                <w:color w:val="FFFFFF"/>
                <w:sz w:val="19"/>
                <w:szCs w:val="19"/>
              </w:rPr>
              <w:t xml:space="preserve">Where it runs</w:t>
            </w:r>
          </w:p>
        </w:tc>
        <w:tc>
          <w:tcPr>
            <w:tcW w:type="dxa" w:w="2080"/>
            <w:tcBorders>
              <w:top w:val="single" w:color="CFD6DD" w:sz="4"/>
              <w:left w:val="single" w:color="CFD6DD" w:sz="4"/>
              <w:bottom w:val="single" w:color="CFD6DD" w:sz="4"/>
              <w:right w:val="single" w:color="CFD6DD" w:sz="4"/>
            </w:tcBorders>
            <w:shd w:fill="1F4E79" w:color="auto" w:val="clear"/>
            <w:tcMar>
              <w:top w:type="dxa" w:w="70"/>
              <w:left w:type="dxa" w:w="110"/>
              <w:bottom w:type="dxa" w:w="70"/>
              <w:right w:type="dxa" w:w="110"/>
            </w:tcMar>
          </w:tcPr>
          <w:p>
            <w:pPr>
              <w:spacing w:after="20" w:line="258"/>
            </w:pPr>
            <w:r>
              <w:rPr>
                <w:rFonts w:ascii="Calibri" w:cs="Calibri" w:eastAsia="Calibri" w:hAnsi="Calibri"/>
                <w:b/>
                <w:bCs/>
                <w:color w:val="FFFFFF"/>
                <w:sz w:val="19"/>
                <w:szCs w:val="19"/>
              </w:rPr>
              <w:t xml:space="preserve">Writes</w:t>
            </w:r>
          </w:p>
        </w:tc>
      </w:tr>
      <w:tr>
        <w:trPr>
          <w:cantSplit/>
        </w:trPr>
        <w:tc>
          <w:tcPr>
            <w:tcW w:type="dxa" w:w="22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EIA-860M</w:t>
            </w:r>
          </w:p>
        </w:tc>
        <w:tc>
          <w:tcPr>
            <w:tcW w:type="dxa" w:w="25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Power plant registry</w:t>
            </w:r>
          </w:p>
        </w:tc>
        <w:tc>
          <w:tcPr>
            <w:tcW w:type="dxa" w:w="17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One time</w:t>
            </w:r>
          </w:p>
        </w:tc>
        <w:tc>
          <w:tcPr>
            <w:tcW w:type="dxa" w:w="16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scripts/load-sites.mjs</w:t>
            </w:r>
          </w:p>
        </w:tc>
        <w:tc>
          <w:tcPr>
            <w:tcW w:type="dxa" w:w="20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sites</w:t>
            </w:r>
          </w:p>
        </w:tc>
      </w:tr>
      <w:tr>
        <w:trPr>
          <w:cantSplit/>
        </w:trPr>
        <w:tc>
          <w:tcPr>
            <w:tcW w:type="dxa" w:w="22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FEMA NFHL</w:t>
            </w:r>
          </w:p>
        </w:tc>
        <w:tc>
          <w:tcPr>
            <w:tcW w:type="dxa" w:w="25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Flood zone per plant</w:t>
            </w:r>
          </w:p>
        </w:tc>
        <w:tc>
          <w:tcPr>
            <w:tcW w:type="dxa" w:w="17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One time</w:t>
            </w:r>
          </w:p>
        </w:tc>
        <w:tc>
          <w:tcPr>
            <w:tcW w:type="dxa" w:w="16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scripts/load-sites.mjs</w:t>
            </w:r>
          </w:p>
        </w:tc>
        <w:tc>
          <w:tcPr>
            <w:tcW w:type="dxa" w:w="20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sites</w:t>
            </w:r>
          </w:p>
        </w:tc>
      </w:tr>
      <w:tr>
        <w:trPr>
          <w:cantSplit/>
        </w:trPr>
        <w:tc>
          <w:tcPr>
            <w:tcW w:type="dxa" w:w="22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USGS site service</w:t>
            </w:r>
          </w:p>
        </w:tc>
        <w:tc>
          <w:tcPr>
            <w:tcW w:type="dxa" w:w="25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Nearest stream gauge</w:t>
            </w:r>
          </w:p>
        </w:tc>
        <w:tc>
          <w:tcPr>
            <w:tcW w:type="dxa" w:w="17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One time</w:t>
            </w:r>
          </w:p>
        </w:tc>
        <w:tc>
          <w:tcPr>
            <w:tcW w:type="dxa" w:w="16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scripts/load-sites.mjs</w:t>
            </w:r>
          </w:p>
        </w:tc>
        <w:tc>
          <w:tcPr>
            <w:tcW w:type="dxa" w:w="20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sites</w:t>
            </w:r>
          </w:p>
        </w:tc>
      </w:tr>
      <w:tr>
        <w:trPr>
          <w:cantSplit/>
        </w:trPr>
        <w:tc>
          <w:tcPr>
            <w:tcW w:type="dxa" w:w="22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Open-Meteo</w:t>
            </w:r>
          </w:p>
        </w:tc>
        <w:tc>
          <w:tcPr>
            <w:tcW w:type="dxa" w:w="25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Heat, weather, rain, soil, forecast</w:t>
            </w:r>
          </w:p>
        </w:tc>
        <w:tc>
          <w:tcPr>
            <w:tcW w:type="dxa" w:w="17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Every 15 min (:02)</w:t>
            </w:r>
          </w:p>
        </w:tc>
        <w:tc>
          <w:tcPr>
            <w:tcW w:type="dxa" w:w="16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ingest-openmeteo</w:t>
            </w:r>
          </w:p>
        </w:tc>
        <w:tc>
          <w:tcPr>
            <w:tcW w:type="dxa" w:w="20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readings</w:t>
            </w:r>
          </w:p>
        </w:tc>
      </w:tr>
      <w:tr>
        <w:trPr>
          <w:cantSplit/>
        </w:trPr>
        <w:tc>
          <w:tcPr>
            <w:tcW w:type="dxa" w:w="22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NWS alerts</w:t>
            </w:r>
          </w:p>
        </w:tc>
        <w:tc>
          <w:tcPr>
            <w:tcW w:type="dxa" w:w="25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Alert severity, flood warnings</w:t>
            </w:r>
          </w:p>
        </w:tc>
        <w:tc>
          <w:tcPr>
            <w:tcW w:type="dxa" w:w="17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Every 15 min (:07)</w:t>
            </w:r>
          </w:p>
        </w:tc>
        <w:tc>
          <w:tcPr>
            <w:tcW w:type="dxa" w:w="16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ingest-nws</w:t>
            </w:r>
          </w:p>
        </w:tc>
        <w:tc>
          <w:tcPr>
            <w:tcW w:type="dxa" w:w="20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readings</w:t>
            </w:r>
          </w:p>
        </w:tc>
      </w:tr>
      <w:tr>
        <w:trPr>
          <w:cantSplit/>
        </w:trPr>
        <w:tc>
          <w:tcPr>
            <w:tcW w:type="dxa" w:w="22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NOAA NWPS, USGS</w:t>
            </w:r>
          </w:p>
        </w:tc>
        <w:tc>
          <w:tcPr>
            <w:tcW w:type="dxa" w:w="25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River stage, flood stage</w:t>
            </w:r>
          </w:p>
        </w:tc>
        <w:tc>
          <w:tcPr>
            <w:tcW w:type="dxa" w:w="17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Every 15 min (:12)</w:t>
            </w:r>
          </w:p>
        </w:tc>
        <w:tc>
          <w:tcPr>
            <w:tcW w:type="dxa" w:w="16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ingest-gauges</w:t>
            </w:r>
          </w:p>
        </w:tc>
        <w:tc>
          <w:tcPr>
            <w:tcW w:type="dxa" w:w="20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readings</w:t>
            </w:r>
          </w:p>
        </w:tc>
      </w:tr>
      <w:tr>
        <w:trPr>
          <w:cantSplit/>
        </w:trPr>
        <w:tc>
          <w:tcPr>
            <w:tcW w:type="dxa" w:w="22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NIFC WFIGS</w:t>
            </w:r>
          </w:p>
        </w:tc>
        <w:tc>
          <w:tcPr>
            <w:tcW w:type="dxa" w:w="25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Active wildfires</w:t>
            </w:r>
          </w:p>
        </w:tc>
        <w:tc>
          <w:tcPr>
            <w:tcW w:type="dxa" w:w="17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Every 30 min (:01, :31)</w:t>
            </w:r>
          </w:p>
        </w:tc>
        <w:tc>
          <w:tcPr>
            <w:tcW w:type="dxa" w:w="16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ingest-wildfire</w:t>
            </w:r>
          </w:p>
        </w:tc>
        <w:tc>
          <w:tcPr>
            <w:tcW w:type="dxa" w:w="20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readings</w:t>
            </w:r>
          </w:p>
        </w:tc>
      </w:tr>
      <w:tr>
        <w:trPr>
          <w:cantSplit/>
        </w:trPr>
        <w:tc>
          <w:tcPr>
            <w:tcW w:type="dxa" w:w="22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NOAA GOES-East GLM</w:t>
            </w:r>
          </w:p>
        </w:tc>
        <w:tc>
          <w:tcPr>
            <w:tcW w:type="dxa" w:w="25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Lightning flashes</w:t>
            </w:r>
          </w:p>
        </w:tc>
        <w:tc>
          <w:tcPr>
            <w:tcW w:type="dxa" w:w="17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Every minute</w:t>
            </w:r>
          </w:p>
        </w:tc>
        <w:tc>
          <w:tcPr>
            <w:tcW w:type="dxa" w:w="16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ingest-lightning</w:t>
            </w:r>
          </w:p>
        </w:tc>
        <w:tc>
          <w:tcPr>
            <w:tcW w:type="dxa" w:w="20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lightning_strikes</w:t>
            </w:r>
          </w:p>
        </w:tc>
      </w:tr>
      <w:tr>
        <w:trPr>
          <w:cantSplit/>
        </w:trPr>
        <w:tc>
          <w:tcPr>
            <w:tcW w:type="dxa" w:w="22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Crew reports and locations</w:t>
            </w:r>
          </w:p>
        </w:tc>
        <w:tc>
          <w:tcPr>
            <w:tcW w:type="dxa" w:w="25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Hazard pins, positions</w:t>
            </w:r>
          </w:p>
        </w:tc>
        <w:tc>
          <w:tcPr>
            <w:tcW w:type="dxa" w:w="17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Live, from the app</w:t>
            </w:r>
          </w:p>
        </w:tc>
        <w:tc>
          <w:tcPr>
            <w:tcW w:type="dxa" w:w="16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Client RPCs</w:t>
            </w:r>
          </w:p>
        </w:tc>
        <w:tc>
          <w:tcPr>
            <w:tcW w:type="dxa" w:w="20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hazard_reports, crew_locations</w:t>
            </w:r>
          </w:p>
        </w:tc>
      </w:tr>
    </w:tbl>
    <w:p>
      <w:pPr>
        <w:spacing w:after="60"/>
      </w:pPr>
    </w:p>
    <w:p>
      <w:pPr>
        <w:spacing w:after="100" w:line="276"/>
      </w:pPr>
      <w:r>
        <w:rPr>
          <w:rFonts w:ascii="Calibri" w:cs="Calibri" w:eastAsia="Calibri" w:hAnsi="Calibri"/>
          <w:color w:val="16202B"/>
          <w:sz w:val="21"/>
          <w:szCs w:val="21"/>
        </w:rPr>
        <w:t xml:space="preserve">All four Edge Functions and the lightning function are triggered by pg_cron through pg_net with a shared secret held in Supabase Vault. After each ingest the function calls evaluate_all_sites(), which turns readings into subscores, alerts and risk. The loader script runs by hand.</w:t>
      </w:r>
    </w:p>
    <w:p>
      <w:pPr>
        <w:spacing w:after="100" w:line="276"/>
      </w:pPr>
      <w:r>
        <w:rPr>
          <w:rFonts w:ascii="Calibri" w:cs="Calibri" w:eastAsia="Calibri" w:hAnsi="Calibri"/>
          <w:color w:val="16202B"/>
          <w:sz w:val="21"/>
          <w:szCs w:val="21"/>
        </w:rPr>
        <w:t xml:space="preserve">Sixty plants are monitored. Each Open-Meteo, NWS, wildfire and gauge run handles all of them in one invocation.</w:t>
      </w:r>
    </w:p>
    <w:p>
      <w:pPr>
        <w:pStyle w:val="Heading1"/>
        <w:spacing w:after="120" w:before="300"/>
      </w:pPr>
      <w:r>
        <w:rPr>
          <w:rFonts w:ascii="Calibri" w:cs="Calibri" w:eastAsia="Calibri" w:hAnsi="Calibri"/>
          <w:b/>
          <w:bCs/>
          <w:color w:val="1F4E79"/>
          <w:sz w:val="30"/>
          <w:szCs w:val="30"/>
        </w:rPr>
        <w:t xml:space="preserve">Where each source came from</w:t>
      </w:r>
    </w:p>
    <w:p>
      <w:pPr>
        <w:pStyle w:val="ListParagraph"/>
        <w:numPr>
          <w:ilvl w:val="0"/>
          <w:numId w:val="2"/>
        </w:numPr>
        <w:spacing w:after="60" w:line="270"/>
      </w:pPr>
      <w:r>
        <w:rPr>
          <w:rFonts w:ascii="Calibri" w:cs="Calibri" w:eastAsia="Calibri" w:hAnsi="Calibri"/>
          <w:b/>
          <w:bCs/>
          <w:color w:val="16202B"/>
          <w:sz w:val="21"/>
          <w:szCs w:val="21"/>
        </w:rPr>
        <w:t xml:space="preserve">Named in your team's documents: </w:t>
      </w:r>
      <w:r>
        <w:rPr>
          <w:rFonts w:ascii="Calibri" w:cs="Calibri" w:eastAsia="Calibri" w:hAnsi="Calibri"/>
          <w:color w:val="16202B"/>
          <w:sz w:val="21"/>
          <w:szCs w:val="21"/>
        </w:rPr>
        <w:t xml:space="preserve">EIA-860M, FEMA flood maps, NWS, USGS gauges, NOAA data. The brief's own EIA link points to the wrong page, so the workbook link was found on the EIA data page.</w:t>
      </w:r>
    </w:p>
    <w:p>
      <w:pPr>
        <w:pStyle w:val="ListParagraph"/>
        <w:numPr>
          <w:ilvl w:val="0"/>
          <w:numId w:val="2"/>
        </w:numPr>
        <w:spacing w:after="60" w:line="270"/>
      </w:pPr>
      <w:r>
        <w:rPr>
          <w:rFonts w:ascii="Calibri" w:cs="Calibri" w:eastAsia="Calibri" w:hAnsi="Calibri"/>
          <w:b/>
          <w:bCs/>
          <w:color w:val="16202B"/>
          <w:sz w:val="21"/>
          <w:szCs w:val="21"/>
        </w:rPr>
        <w:t xml:space="preserve">Chosen by the assistant from general knowledge, then tested live: </w:t>
      </w:r>
      <w:r>
        <w:rPr>
          <w:rFonts w:ascii="Calibri" w:cs="Calibri" w:eastAsia="Calibri" w:hAnsi="Calibri"/>
          <w:color w:val="16202B"/>
          <w:sz w:val="21"/>
          <w:szCs w:val="21"/>
        </w:rPr>
        <w:t xml:space="preserve">Open-Meteo, the NOAA NWPS gauge API, the NIFC wildfire layer, the FEMA NFHL point query and NOAA GOES GLM. Each was called once before use, but their terms of use have not been read.</w:t>
      </w:r>
    </w:p>
    <w:p>
      <w:pPr>
        <w:pStyle w:val="ListParagraph"/>
        <w:numPr>
          <w:ilvl w:val="0"/>
          <w:numId w:val="2"/>
        </w:numPr>
        <w:spacing w:after="60" w:line="270"/>
      </w:pPr>
      <w:r>
        <w:rPr>
          <w:rFonts w:ascii="Calibri" w:cs="Calibri" w:eastAsia="Calibri" w:hAnsi="Calibri"/>
          <w:b/>
          <w:bCs/>
          <w:color w:val="16202B"/>
          <w:sz w:val="21"/>
          <w:szCs w:val="21"/>
        </w:rPr>
        <w:t xml:space="preserve">Proposed and rejected: </w:t>
      </w:r>
      <w:r>
        <w:rPr>
          <w:rFonts w:ascii="Calibri" w:cs="Calibri" w:eastAsia="Calibri" w:hAnsi="Calibri"/>
          <w:color w:val="16202B"/>
          <w:sz w:val="21"/>
          <w:szCs w:val="21"/>
        </w:rPr>
        <w:t xml:space="preserve">Blitzortung. Its terms forbid use in storm warning systems, which this is.</w:t>
      </w:r>
    </w:p>
    <w:p>
      <w:pPr>
        <w:pStyle w:val="Heading1"/>
        <w:spacing w:after="120" w:before="300"/>
      </w:pPr>
      <w:r>
        <w:rPr>
          <w:rFonts w:ascii="Calibri" w:cs="Calibri" w:eastAsia="Calibri" w:hAnsi="Calibri"/>
          <w:b/>
          <w:bCs/>
          <w:color w:val="1F4E79"/>
          <w:sz w:val="30"/>
          <w:szCs w:val="30"/>
        </w:rPr>
        <w:t xml:space="preserve">Plant registry sources</w:t>
      </w:r>
    </w:p>
    <w:p>
      <w:pPr>
        <w:pStyle w:val="Heading2"/>
        <w:keepNext/>
        <w:spacing w:after="100" w:before="280"/>
      </w:pPr>
      <w:r>
        <w:rPr>
          <w:rFonts w:ascii="Calibri" w:cs="Calibri" w:eastAsia="Calibri" w:hAnsi="Calibri"/>
          <w:b/>
          <w:bCs/>
          <w:color w:val="16202B"/>
          <w:sz w:val="25"/>
          <w:szCs w:val="25"/>
        </w:rPr>
        <w:t xml:space="preserve">EIA-860M, plant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Provider</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U.S. Energy Information Administration</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Endpoint</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https://www.eia.gov/electricity/data/eia860m/xls/august_generator2026.xlsx</w:t>
            </w:r>
          </w:p>
          <w:p>
            <w:pPr>
              <w:spacing w:after="20" w:line="258"/>
            </w:pPr>
            <w:r>
              <w:rPr>
                <w:rFonts w:ascii="Calibri" w:cs="Calibri" w:eastAsia="Calibri" w:hAnsi="Calibri"/>
                <w:b w:val="false"/>
                <w:bCs w:val="false"/>
                <w:color w:val="16202B"/>
                <w:sz w:val="19"/>
                <w:szCs w:val="19"/>
              </w:rPr>
              <w:t xml:space="preserve">Sheet: Operating</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What we pull</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Plant ID, name, state, county, owner (used as utility), technology, nameplate MW, latitude and longitude.</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Selection</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Status (OP) operating, plant total of at least 100 MW, with a per-state quota to spread plants across the Mississippi basin, the Gulf coast, Florida, the Southwest and the West. 60 plants selected from 14,182.</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Written to</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sites: name, latitude, longitude, eia_plant_id, utility, plant_type (largest technology by capacity), timezone (from coordinates, offline).</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Provenance</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Named in the brief. The October and December links on the EIA page returned a web page, not a workbook; the August 2026 file is real.</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Caveats</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Includes non-thermal plants (for example a wind farm and a hydro dam). Coordinates are the plant point, not a work-site boundary. A newer monthly file can be loaded by re-running the script.</w:t>
            </w:r>
          </w:p>
        </w:tc>
      </w:tr>
    </w:tbl>
    <w:p>
      <w:pPr>
        <w:pStyle w:val="Heading2"/>
        <w:keepNext/>
        <w:spacing w:after="100" w:before="280"/>
      </w:pPr>
      <w:r>
        <w:rPr>
          <w:rFonts w:ascii="Calibri" w:cs="Calibri" w:eastAsia="Calibri" w:hAnsi="Calibri"/>
          <w:b/>
          <w:bCs/>
          <w:color w:val="16202B"/>
          <w:sz w:val="25"/>
          <w:szCs w:val="25"/>
        </w:rPr>
        <w:t xml:space="preserve">FEMA National Flood Hazard Layer, flood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Provider</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FEMA</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Endpoint</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https://hazards.fema.gov/arcgis/rest/services/public/NFHL/MapServer/28/query</w:t>
            </w:r>
          </w:p>
          <w:p>
            <w:pPr>
              <w:spacing w:after="20" w:line="258"/>
            </w:pPr>
            <w:r>
              <w:rPr>
                <w:rFonts w:ascii="Calibri" w:cs="Calibri" w:eastAsia="Calibri" w:hAnsi="Calibri"/>
                <w:b w:val="false"/>
                <w:bCs w:val="false"/>
                <w:color w:val="16202B"/>
                <w:sz w:val="19"/>
                <w:szCs w:val="19"/>
              </w:rPr>
              <w:t xml:space="preserve">(point query, field FLD_ZONE)</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Written to</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sites.fema_flood_zone. 54 of 60 plants returned a zone; the rest are null.</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Used by</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Flood rule. Special flood hazard zones (A, AE, AH, AO, AR, A99, V, VE) count a site as riverside and raise the flood subscore by 30 percent.</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Provenance</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The brief lists the FEMA Map Service Center. The assistant used the NFHL map service behind it, chosen from memory and tested with a New Orleans coordinate.</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Caveats</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Some rural areas have no mapped zone. Zone is looked up once, not refreshed.</w:t>
            </w:r>
          </w:p>
        </w:tc>
      </w:tr>
    </w:tbl>
    <w:p>
      <w:pPr>
        <w:pStyle w:val="Heading2"/>
        <w:keepNext/>
        <w:spacing w:after="100" w:before="280"/>
      </w:pPr>
      <w:r>
        <w:rPr>
          <w:rFonts w:ascii="Calibri" w:cs="Calibri" w:eastAsia="Calibri" w:hAnsi="Calibri"/>
          <w:b/>
          <w:bCs/>
          <w:color w:val="16202B"/>
          <w:sz w:val="25"/>
          <w:szCs w:val="25"/>
        </w:rPr>
        <w:t xml:space="preserve">USGS site service, nearest stream gauge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Provider</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U.S. Geological Survey</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Endpoint</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https://waterservices.usgs.gov/nwis/site/</w:t>
            </w:r>
          </w:p>
          <w:p>
            <w:pPr>
              <w:spacing w:after="20" w:line="258"/>
            </w:pPr>
            <w:r>
              <w:rPr>
                <w:rFonts w:ascii="Calibri" w:cs="Calibri" w:eastAsia="Calibri" w:hAnsi="Calibri"/>
                <w:b w:val="false"/>
                <w:bCs w:val="false"/>
                <w:color w:val="16202B"/>
                <w:sz w:val="19"/>
                <w:szCs w:val="19"/>
              </w:rPr>
              <w:t xml:space="preserve">(bounding box of 0.3 degrees, stream sites with active gage height)</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Written to</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sites.usgs_gauge_id and usgs_gauge_distance_m. river_distance_m holds the same distance. 58 of 60 plants have a gauge.</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Used by</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Flood rule: a gauge within 5 km marks a site as riverside. The gauge id drives ingest-gauges.</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Caveats</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Distance to a gauge is only a proxy for how close the plant is to a river. A gauge can be on a different stream than the one that floods the plant.</w:t>
            </w:r>
          </w:p>
        </w:tc>
      </w:tr>
    </w:tbl>
    <w:p>
      <w:pPr>
        <w:pStyle w:val="Heading1"/>
        <w:spacing w:after="120" w:before="300"/>
      </w:pPr>
      <w:r>
        <w:rPr>
          <w:rFonts w:ascii="Calibri" w:cs="Calibri" w:eastAsia="Calibri" w:hAnsi="Calibri"/>
          <w:b/>
          <w:bCs/>
          <w:color w:val="1F4E79"/>
          <w:sz w:val="30"/>
          <w:szCs w:val="30"/>
        </w:rPr>
        <w:t xml:space="preserve">Live feed sources</w:t>
      </w:r>
    </w:p>
    <w:p>
      <w:pPr>
        <w:pStyle w:val="Heading2"/>
        <w:keepNext/>
        <w:spacing w:after="100" w:before="280"/>
      </w:pPr>
      <w:r>
        <w:rPr>
          <w:rFonts w:ascii="Calibri" w:cs="Calibri" w:eastAsia="Calibri" w:hAnsi="Calibri"/>
          <w:b/>
          <w:bCs/>
          <w:color w:val="16202B"/>
          <w:sz w:val="25"/>
          <w:szCs w:val="25"/>
        </w:rPr>
        <w:t xml:space="preserve">Open-Meteo, weather model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Provider</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Open-Meteo (open-meteo.com)</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Endpoint</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https://api.open-meteo.com/v1/forecast</w:t>
            </w:r>
          </w:p>
          <w:p>
            <w:pPr>
              <w:spacing w:after="20" w:line="258"/>
            </w:pPr>
            <w:r>
              <w:rPr>
                <w:rFonts w:ascii="Calibri" w:cs="Calibri" w:eastAsia="Calibri" w:hAnsi="Calibri"/>
                <w:b w:val="false"/>
                <w:bCs w:val="false"/>
                <w:color w:val="16202B"/>
                <w:sz w:val="19"/>
                <w:szCs w:val="19"/>
              </w:rPr>
              <w:t xml:space="preserve">All 60 sites in one request, times in UTC, Fahrenheit, mph, mm, 2 past days and 3 forecast days.</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Variables</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temperature_2m, relative_humidity_2m, wind_speed_10m, wind_gusts_10m, shortwave_radiation, precipitation, precipitation_probability, soil_moisture_0_to_1cm</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Function</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ingest-openmeteo, minutes 2, 17, 32 and 47 of each hour</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Writes</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Live and next-two-days forecast readings; see the reading table below. WBGT and heat index are computed by this project from the raw variables.</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Used by</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Heat tiers, weather subscore, flood rain totals, soil subscore, tomorrow's risk and the 6 PM briefing.</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Provenance</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Chosen by the assistant from memory. The context file suggested computing WBGT from Open-Meteo.</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Caveats</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Model output, not station observations. WBGT is a simplified estimate (Stull wet bulb plus a sun and wind adjustment), not the Liljegren method, and has not been validated. Free-tier terms are understood to be non-commercial; confirm before any commercial use.</w:t>
            </w:r>
          </w:p>
        </w:tc>
      </w:tr>
    </w:tbl>
    <w:p>
      <w:pPr>
        <w:pStyle w:val="Heading2"/>
        <w:keepNext/>
        <w:spacing w:after="100" w:before="280"/>
      </w:pPr>
      <w:r>
        <w:rPr>
          <w:rFonts w:ascii="Calibri" w:cs="Calibri" w:eastAsia="Calibri" w:hAnsi="Calibri"/>
          <w:b/>
          <w:bCs/>
          <w:color w:val="16202B"/>
          <w:sz w:val="25"/>
          <w:szCs w:val="25"/>
        </w:rPr>
        <w:t xml:space="preserve">National Weather Service alerts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Provider</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NOAA National Weather Service</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Endpoint</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https://api.weather.gov/alerts/active?point=&lt;lat&gt;,&lt;lon&gt;</w:t>
            </w:r>
          </w:p>
          <w:p>
            <w:pPr>
              <w:spacing w:after="20" w:line="258"/>
            </w:pPr>
            <w:r>
              <w:rPr>
                <w:rFonts w:ascii="Calibri" w:cs="Calibri" w:eastAsia="Calibri" w:hAnsi="Calibri"/>
                <w:b w:val="false"/>
                <w:bCs w:val="false"/>
                <w:color w:val="16202B"/>
                <w:sz w:val="19"/>
                <w:szCs w:val="19"/>
              </w:rPr>
              <w:t xml:space="preserve">One call per site, six at a time. A User-Agent header is required.</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Function</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ingest-nws, minutes 7, 22, 37 and 52</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Writes</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nws_alert_severity (0 to 4: Minor 1, Moderate 2, Severe 3, Extreme 4, worst active alert) and nws_flood_warning (1 when a flood warning or statement is in effect). Only status Actual counts.</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Used by</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Weather subscore and a general weather alert at severity 3 or higher; flood alert.</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Provenance</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Named in the whiteboard and context file.</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Caveats</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Severity Severe covers many alert types, not only thunderstorms, so the weather subscore can run high. If a site's call fails the previous reading stays in use for up to 3 hours. U.S. coverage only. Set NWS_USER_AGENT to your own contact.</w:t>
            </w:r>
          </w:p>
        </w:tc>
      </w:tr>
    </w:tbl>
    <w:p>
      <w:pPr>
        <w:pStyle w:val="Heading2"/>
        <w:keepNext/>
        <w:spacing w:after="100" w:before="280"/>
      </w:pPr>
      <w:r>
        <w:rPr>
          <w:rFonts w:ascii="Calibri" w:cs="Calibri" w:eastAsia="Calibri" w:hAnsi="Calibri"/>
          <w:b/>
          <w:bCs/>
          <w:color w:val="16202B"/>
          <w:sz w:val="25"/>
          <w:szCs w:val="25"/>
        </w:rPr>
        <w:t xml:space="preserve">NOAA NWPS and USGS, river gauges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Provider</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NOAA National Water Prediction Service, with USGS as fallback</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Endpoints</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https://api.water.noaa.gov/nwps/v1/gauges/&lt;usgs id&gt;</w:t>
            </w:r>
          </w:p>
          <w:p>
            <w:pPr>
              <w:spacing w:after="20" w:line="258"/>
            </w:pPr>
            <w:r>
              <w:rPr>
                <w:rFonts w:ascii="Calibri" w:cs="Calibri" w:eastAsia="Calibri" w:hAnsi="Calibri"/>
                <w:b w:val="false"/>
                <w:bCs w:val="false"/>
                <w:color w:val="16202B"/>
                <w:sz w:val="19"/>
                <w:szCs w:val="19"/>
              </w:rPr>
              <w:t xml:space="preserve">https://waterservices.usgs.gov/nwis/iv/ (parameter 00065, gage height)</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Function</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ingest-gauges, minutes 12, 27, 42 and 57</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Writes</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gauge_stage_ft and, from NWPS, gauge_flood_stage_ft (the minor flood category stage). In the last run 36 gauges came from NWPS and 22 from USGS.</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Used by</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Flood rule: stage at or above flood stage raises a flood warning, 80 percent of flood stage marks a site as riverside.</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Provenance</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NWPS chosen by the assistant from memory; a test call on a Mississippi River gauge confirmed the fields.</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Caveats</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Gauges that fall back to USGS have no flood stage, so the stage rule cannot fire for them. Some NWPS gauges report an undefined flood stage (a negative sentinel), which is ignored.</w:t>
            </w:r>
          </w:p>
        </w:tc>
      </w:tr>
    </w:tbl>
    <w:p>
      <w:pPr>
        <w:pStyle w:val="Heading2"/>
        <w:keepNext/>
        <w:spacing w:after="100" w:before="280"/>
      </w:pPr>
      <w:r>
        <w:rPr>
          <w:rFonts w:ascii="Calibri" w:cs="Calibri" w:eastAsia="Calibri" w:hAnsi="Calibri"/>
          <w:b/>
          <w:bCs/>
          <w:color w:val="16202B"/>
          <w:sz w:val="25"/>
          <w:szCs w:val="25"/>
        </w:rPr>
        <w:t xml:space="preserve">NIFC WFIGS, active wildfires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Provider</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Appears to be the National Interagency Fire Center (WFIGS Incident Locations, Current). The layer's own metadata does not state the owner or license.</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Endpoint</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https://services3.arcgis.com/T4QMspbfLg3qTGWY/arcgis/rest/services/WFIGS_Incident_Locations_Current/FeatureServer/0/query</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Query</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Wildfire incidents (IncidentTypeCategory WF) that are not fully contained. This project also drops incidents under 10 acres.</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Function</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ingest-wildfire, minutes 1 and 31</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Writes</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nearest_fire_mi (999 when no active fire is known, so a cleared fire replaces the old reading) and fires_within_25mi.</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Used by</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Wildfire alert within 25 miles (stop work within 5), wildfire subscore, smoke note in the briefing, and tomorrow's risk.</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Provenance</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Chosen by the assistant from memory in place of NASA FIRMS, which needs an API key. 122 active incidents were returned at the last run, and the layer had been edited minutes earlier.</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Caveats</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Reported incidents, not satellite detections, so new or remote fires can appear late. Distance is to the incident point, not the fire edge. Smoke is not measured. U.S. wildland agencies only. Confirm ownership and license on NIFC's open data site.</w:t>
            </w:r>
          </w:p>
        </w:tc>
      </w:tr>
    </w:tbl>
    <w:p>
      <w:pPr>
        <w:pStyle w:val="Heading2"/>
        <w:keepNext/>
        <w:spacing w:after="100" w:before="280"/>
      </w:pPr>
      <w:r>
        <w:rPr>
          <w:rFonts w:ascii="Calibri" w:cs="Calibri" w:eastAsia="Calibri" w:hAnsi="Calibri"/>
          <w:b/>
          <w:bCs/>
          <w:color w:val="16202B"/>
          <w:sz w:val="25"/>
          <w:szCs w:val="25"/>
        </w:rPr>
        <w:t xml:space="preserve">NOAA GOES-East GLM, lightning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Provider</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NOAA, GOES-19 Geostationary Lightning Mapper, Level 2 LCFA, via the public noaa-goes19 AWS bucket</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Endpoint</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https://noaa-goes19.s3.amazonaws.com/GLM-L2-LCFA/&lt;year&gt;/&lt;day of year&gt;/&lt;hour&gt;/</w:t>
            </w:r>
          </w:p>
          <w:p>
            <w:pPr>
              <w:spacing w:after="20" w:line="258"/>
            </w:pPr>
            <w:r>
              <w:rPr>
                <w:rFonts w:ascii="Calibri" w:cs="Calibri" w:eastAsia="Calibri" w:hAnsi="Calibri"/>
                <w:b w:val="false"/>
                <w:bCs w:val="false"/>
                <w:color w:val="16202B"/>
                <w:sz w:val="19"/>
                <w:szCs w:val="19"/>
              </w:rPr>
              <w:t xml:space="preserve">One netCDF4 file about every 20 seconds, around 260 KB each.</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Function</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ingest-lightning, every minute. Reads files published in the last 150 seconds; repeats are ignored.</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What we pull</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flash_lat, flash_lon, flash_time_offset_of_first_event, flash_quality_flag and product_time. Only quality flag 0 is kept, inside a box 0.5 degrees around the plants.</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Writes</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lightning_strikes (source goes-glm). The database then applies the rule: a flash within 10 miles sets stop work and restarts the 30 minute countdown; 30 minutes without a flash clears it.</w:t>
            </w:r>
          </w:p>
        </w:tc>
      </w:tr>
      <w:tr>
        <w:trPr>
          <w:cantSplit/>
        </w:trPr>
        <w:tc>
          <w:tcPr>
            <w:tcW w:type="dxa" w:w="21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Provenance</w:t>
            </w:r>
          </w:p>
        </w:tc>
        <w:tc>
          <w:tcPr>
            <w:tcW w:type="dxa" w:w="79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Chosen after Blitzortung was ruled out. A real file was downloaded and parsed with the jsfive HDF5 reader; its start time matched the filename and the flash times fell inside the 20 second window.</w:t>
            </w:r>
          </w:p>
        </w:tc>
      </w:tr>
      <w:tr>
        <w:trPr>
          <w:cantSplit/>
        </w:trPr>
        <w:tc>
          <w:tcPr>
            <w:tcW w:type="dxa" w:w="21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Caveats</w:t>
            </w:r>
          </w:p>
        </w:tc>
        <w:tc>
          <w:tcPr>
            <w:tcW w:type="dxa" w:w="79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Optical detection from orbit, not a ground strike network, so accuracy near a plant must be validated. The time packing (scale 3.8147554e-4, offset 9.5) comes from memory of the GLM product spec, not read from the file. Files appear about 30 to 40 seconds after the observation. GOES-East only. Bucket data is open NOAA data; terms not reviewed.</w:t>
            </w:r>
          </w:p>
        </w:tc>
      </w:tr>
    </w:tbl>
    <w:p>
      <w:pPr>
        <w:pStyle w:val="Heading1"/>
        <w:spacing w:after="120" w:before="300"/>
      </w:pPr>
      <w:r>
        <w:rPr>
          <w:rFonts w:ascii="Calibri" w:cs="Calibri" w:eastAsia="Calibri" w:hAnsi="Calibri"/>
          <w:b/>
          <w:bCs/>
          <w:color w:val="1F4E79"/>
          <w:sz w:val="30"/>
          <w:szCs w:val="30"/>
        </w:rPr>
        <w:t xml:space="preserve">Crew-generated data</w:t>
      </w:r>
    </w:p>
    <w:p>
      <w:pPr>
        <w:spacing w:after="100" w:line="276"/>
      </w:pPr>
      <w:r>
        <w:rPr>
          <w:rFonts w:ascii="Calibri" w:cs="Calibri" w:eastAsia="Calibri" w:hAnsi="Calibri"/>
          <w:color w:val="16202B"/>
          <w:sz w:val="21"/>
          <w:szCs w:val="21"/>
        </w:rPr>
        <w:t xml:space="preserve">Not external, but it feeds the same scores.</w:t>
      </w:r>
    </w:p>
    <w:p>
      <w:pPr>
        <w:pStyle w:val="ListParagraph"/>
        <w:numPr>
          <w:ilvl w:val="0"/>
          <w:numId w:val="2"/>
        </w:numPr>
        <w:spacing w:after="60" w:line="270"/>
      </w:pPr>
      <w:r>
        <w:rPr>
          <w:rFonts w:ascii="Calibri" w:cs="Calibri" w:eastAsia="Calibri" w:hAnsi="Calibri"/>
          <w:b/>
          <w:bCs/>
          <w:color w:val="16202B"/>
          <w:sz w:val="21"/>
          <w:szCs w:val="21"/>
        </w:rPr>
        <w:t xml:space="preserve">Hazard reports </w:t>
      </w:r>
      <w:r>
        <w:rPr>
          <w:rFonts w:ascii="Calibri" w:cs="Calibri" w:eastAsia="Calibri" w:hAnsi="Calibri"/>
          <w:color w:val="16202B"/>
          <w:sz w:val="21"/>
          <w:szCs w:val="21"/>
        </w:rPr>
        <w:t xml:space="preserve">(debris, wildlife, downed line, washout, other; severity 1 to 3). They merge within 100 m and 24 hours, expire after 48 hours without confirmation, and drive the crew term (cap 2) and the wildlife subscore.</w:t>
      </w:r>
    </w:p>
    <w:p>
      <w:pPr>
        <w:pStyle w:val="ListParagraph"/>
        <w:numPr>
          <w:ilvl w:val="0"/>
          <w:numId w:val="2"/>
        </w:numPr>
        <w:spacing w:after="60" w:line="270"/>
      </w:pPr>
      <w:r>
        <w:rPr>
          <w:rFonts w:ascii="Calibri" w:cs="Calibri" w:eastAsia="Calibri" w:hAnsi="Calibri"/>
          <w:b/>
          <w:bCs/>
          <w:color w:val="16202B"/>
          <w:sz w:val="21"/>
          <w:szCs w:val="21"/>
        </w:rPr>
        <w:t xml:space="preserve">Crew locations </w:t>
      </w:r>
      <w:r>
        <w:rPr>
          <w:rFonts w:ascii="Calibri" w:cs="Calibri" w:eastAsia="Calibri" w:hAnsi="Calibri"/>
          <w:color w:val="16202B"/>
          <w:sz w:val="21"/>
          <w:szCs w:val="21"/>
        </w:rPr>
        <w:t xml:space="preserve">(one latest row per person, stale after 5 minutes). Used to count crew exposed to a lightning alert. The crew app does not send locations yet.</w:t>
      </w:r>
    </w:p>
    <w:p>
      <w:pPr>
        <w:pStyle w:val="Heading1"/>
        <w:spacing w:after="120" w:before="300"/>
      </w:pPr>
      <w:r>
        <w:rPr>
          <w:rFonts w:ascii="Calibri" w:cs="Calibri" w:eastAsia="Calibri" w:hAnsi="Calibri"/>
          <w:b/>
          <w:bCs/>
          <w:color w:val="1F4E79"/>
          <w:sz w:val="30"/>
          <w:szCs w:val="30"/>
        </w:rPr>
        <w:t xml:space="preserve">What gets written</w:t>
      </w:r>
    </w:p>
    <w:p>
      <w:pPr>
        <w:spacing w:after="100" w:line="276"/>
      </w:pPr>
      <w:r>
        <w:rPr>
          <w:rFonts w:ascii="Calibri" w:cs="Calibri" w:eastAsia="Calibri" w:hAnsi="Calibri"/>
          <w:color w:val="16202B"/>
          <w:sz w:val="21"/>
          <w:szCs w:val="21"/>
        </w:rPr>
        <w:t xml:space="preserve">Every reading is identified by site, hazard, unit, time, forecast time and source. Live values use the start of the hour or 5 to 30 minute bucket as the time, so reruns overwrite instead of piling up. Forecast rows are one value per local day, stamped at local noon.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900"/>
        <w:gridCol w:w="4380"/>
      </w:tblGrid>
      <w:tr>
        <w:trPr>
          <w:cantSplit/>
          <w:tblHeader/>
        </w:trPr>
        <w:tc>
          <w:tcPr>
            <w:tcW w:type="dxa" w:w="1300"/>
            <w:tcBorders>
              <w:top w:val="single" w:color="CFD6DD" w:sz="4"/>
              <w:left w:val="single" w:color="CFD6DD" w:sz="4"/>
              <w:bottom w:val="single" w:color="CFD6DD" w:sz="4"/>
              <w:right w:val="single" w:color="CFD6DD" w:sz="4"/>
            </w:tcBorders>
            <w:shd w:fill="1F4E79" w:color="auto" w:val="clear"/>
            <w:tcMar>
              <w:top w:type="dxa" w:w="70"/>
              <w:left w:type="dxa" w:w="110"/>
              <w:bottom w:type="dxa" w:w="70"/>
              <w:right w:type="dxa" w:w="110"/>
            </w:tcMar>
          </w:tcPr>
          <w:p>
            <w:pPr>
              <w:spacing w:after="20" w:line="258"/>
            </w:pPr>
            <w:r>
              <w:rPr>
                <w:rFonts w:ascii="Calibri" w:cs="Calibri" w:eastAsia="Calibri" w:hAnsi="Calibri"/>
                <w:b/>
                <w:bCs/>
                <w:color w:val="FFFFFF"/>
                <w:sz w:val="19"/>
                <w:szCs w:val="19"/>
              </w:rPr>
              <w:t xml:space="preserve">Hazard</w:t>
            </w:r>
          </w:p>
        </w:tc>
        <w:tc>
          <w:tcPr>
            <w:tcW w:type="dxa" w:w="2500"/>
            <w:tcBorders>
              <w:top w:val="single" w:color="CFD6DD" w:sz="4"/>
              <w:left w:val="single" w:color="CFD6DD" w:sz="4"/>
              <w:bottom w:val="single" w:color="CFD6DD" w:sz="4"/>
              <w:right w:val="single" w:color="CFD6DD" w:sz="4"/>
            </w:tcBorders>
            <w:shd w:fill="1F4E79" w:color="auto" w:val="clear"/>
            <w:tcMar>
              <w:top w:type="dxa" w:w="70"/>
              <w:left w:type="dxa" w:w="110"/>
              <w:bottom w:type="dxa" w:w="70"/>
              <w:right w:type="dxa" w:w="110"/>
            </w:tcMar>
          </w:tcPr>
          <w:p>
            <w:pPr>
              <w:spacing w:after="20" w:line="258"/>
            </w:pPr>
            <w:r>
              <w:rPr>
                <w:rFonts w:ascii="Calibri" w:cs="Calibri" w:eastAsia="Calibri" w:hAnsi="Calibri"/>
                <w:b/>
                <w:bCs/>
                <w:color w:val="FFFFFF"/>
                <w:sz w:val="19"/>
                <w:szCs w:val="19"/>
              </w:rPr>
              <w:t xml:space="preserve">Unit</w:t>
            </w:r>
          </w:p>
        </w:tc>
        <w:tc>
          <w:tcPr>
            <w:tcW w:type="dxa" w:w="1900"/>
            <w:tcBorders>
              <w:top w:val="single" w:color="CFD6DD" w:sz="4"/>
              <w:left w:val="single" w:color="CFD6DD" w:sz="4"/>
              <w:bottom w:val="single" w:color="CFD6DD" w:sz="4"/>
              <w:right w:val="single" w:color="CFD6DD" w:sz="4"/>
            </w:tcBorders>
            <w:shd w:fill="1F4E79" w:color="auto" w:val="clear"/>
            <w:tcMar>
              <w:top w:type="dxa" w:w="70"/>
              <w:left w:type="dxa" w:w="110"/>
              <w:bottom w:type="dxa" w:w="70"/>
              <w:right w:type="dxa" w:w="110"/>
            </w:tcMar>
          </w:tcPr>
          <w:p>
            <w:pPr>
              <w:spacing w:after="20" w:line="258"/>
            </w:pPr>
            <w:r>
              <w:rPr>
                <w:rFonts w:ascii="Calibri" w:cs="Calibri" w:eastAsia="Calibri" w:hAnsi="Calibri"/>
                <w:b/>
                <w:bCs/>
                <w:color w:val="FFFFFF"/>
                <w:sz w:val="19"/>
                <w:szCs w:val="19"/>
              </w:rPr>
              <w:t xml:space="preserve">Source</w:t>
            </w:r>
          </w:p>
        </w:tc>
        <w:tc>
          <w:tcPr>
            <w:tcW w:type="dxa" w:w="4380"/>
            <w:tcBorders>
              <w:top w:val="single" w:color="CFD6DD" w:sz="4"/>
              <w:left w:val="single" w:color="CFD6DD" w:sz="4"/>
              <w:bottom w:val="single" w:color="CFD6DD" w:sz="4"/>
              <w:right w:val="single" w:color="CFD6DD" w:sz="4"/>
            </w:tcBorders>
            <w:shd w:fill="1F4E79" w:color="auto" w:val="clear"/>
            <w:tcMar>
              <w:top w:type="dxa" w:w="70"/>
              <w:left w:type="dxa" w:w="110"/>
              <w:bottom w:type="dxa" w:w="70"/>
              <w:right w:type="dxa" w:w="110"/>
            </w:tcMar>
          </w:tcPr>
          <w:p>
            <w:pPr>
              <w:spacing w:after="20" w:line="258"/>
            </w:pPr>
            <w:r>
              <w:rPr>
                <w:rFonts w:ascii="Calibri" w:cs="Calibri" w:eastAsia="Calibri" w:hAnsi="Calibri"/>
                <w:b/>
                <w:bCs/>
                <w:color w:val="FFFFFF"/>
                <w:sz w:val="19"/>
                <w:szCs w:val="19"/>
              </w:rPr>
              <w:t xml:space="preserve">Meaning</w:t>
            </w:r>
          </w:p>
        </w:tc>
      </w:tr>
      <w:tr>
        <w:trPr>
          <w:cantSplit/>
        </w:trPr>
        <w:tc>
          <w:tcPr>
            <w:tcW w:type="dxa" w:w="13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heat</w:t>
            </w:r>
          </w:p>
        </w:tc>
        <w:tc>
          <w:tcPr>
            <w:tcW w:type="dxa" w:w="25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onsolas" w:cs="Consolas" w:eastAsia="Consolas" w:hAnsi="Consolas"/>
                <w:color w:val="16202B"/>
                <w:sz w:val="17"/>
                <w:szCs w:val="17"/>
              </w:rPr>
              <w:t xml:space="preserve">wbgt_f</w:t>
            </w:r>
          </w:p>
        </w:tc>
        <w:tc>
          <w:tcPr>
            <w:tcW w:type="dxa" w:w="19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Open-Meteo, computed</w:t>
            </w:r>
          </w:p>
        </w:tc>
        <w:tc>
          <w:tcPr>
            <w:tcW w:type="dxa" w:w="43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Wet bulb globe temperature estimate, F</w:t>
            </w:r>
          </w:p>
        </w:tc>
      </w:tr>
      <w:tr>
        <w:trPr>
          <w:cantSplit/>
        </w:trPr>
        <w:tc>
          <w:tcPr>
            <w:tcW w:type="dxa" w:w="13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heat</w:t>
            </w:r>
          </w:p>
        </w:tc>
        <w:tc>
          <w:tcPr>
            <w:tcW w:type="dxa" w:w="25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onsolas" w:cs="Consolas" w:eastAsia="Consolas" w:hAnsi="Consolas"/>
                <w:color w:val="16202B"/>
                <w:sz w:val="17"/>
                <w:szCs w:val="17"/>
              </w:rPr>
              <w:t xml:space="preserve">heat_index_f</w:t>
            </w:r>
          </w:p>
        </w:tc>
        <w:tc>
          <w:tcPr>
            <w:tcW w:type="dxa" w:w="19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Open-Meteo, computed</w:t>
            </w:r>
          </w:p>
        </w:tc>
        <w:tc>
          <w:tcPr>
            <w:tcW w:type="dxa" w:w="43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NWS heat index, F</w:t>
            </w:r>
          </w:p>
        </w:tc>
      </w:tr>
      <w:tr>
        <w:trPr>
          <w:cantSplit/>
        </w:trPr>
        <w:tc>
          <w:tcPr>
            <w:tcW w:type="dxa" w:w="13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weather</w:t>
            </w:r>
          </w:p>
        </w:tc>
        <w:tc>
          <w:tcPr>
            <w:tcW w:type="dxa" w:w="25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onsolas" w:cs="Consolas" w:eastAsia="Consolas" w:hAnsi="Consolas"/>
                <w:color w:val="16202B"/>
                <w:sz w:val="17"/>
                <w:szCs w:val="17"/>
              </w:rPr>
              <w:t xml:space="preserve">temp_f, wind_gust_mph</w:t>
            </w:r>
          </w:p>
        </w:tc>
        <w:tc>
          <w:tcPr>
            <w:tcW w:type="dxa" w:w="19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Open-Meteo</w:t>
            </w:r>
          </w:p>
        </w:tc>
        <w:tc>
          <w:tcPr>
            <w:tcW w:type="dxa" w:w="43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Current or daily maximum</w:t>
            </w:r>
          </w:p>
        </w:tc>
      </w:tr>
      <w:tr>
        <w:trPr>
          <w:cantSplit/>
        </w:trPr>
        <w:tc>
          <w:tcPr>
            <w:tcW w:type="dxa" w:w="13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weather</w:t>
            </w:r>
          </w:p>
        </w:tc>
        <w:tc>
          <w:tcPr>
            <w:tcW w:type="dxa" w:w="25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onsolas" w:cs="Consolas" w:eastAsia="Consolas" w:hAnsi="Consolas"/>
                <w:color w:val="16202B"/>
                <w:sz w:val="17"/>
                <w:szCs w:val="17"/>
              </w:rPr>
              <w:t xml:space="preserve">precip_prob_pct</w:t>
            </w:r>
          </w:p>
        </w:tc>
        <w:tc>
          <w:tcPr>
            <w:tcW w:type="dxa" w:w="19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Open-Meteo</w:t>
            </w:r>
          </w:p>
        </w:tc>
        <w:tc>
          <w:tcPr>
            <w:tcW w:type="dxa" w:w="43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Chance of rain, percent</w:t>
            </w:r>
          </w:p>
        </w:tc>
      </w:tr>
      <w:tr>
        <w:trPr>
          <w:cantSplit/>
        </w:trPr>
        <w:tc>
          <w:tcPr>
            <w:tcW w:type="dxa" w:w="13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weather</w:t>
            </w:r>
          </w:p>
        </w:tc>
        <w:tc>
          <w:tcPr>
            <w:tcW w:type="dxa" w:w="25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onsolas" w:cs="Consolas" w:eastAsia="Consolas" w:hAnsi="Consolas"/>
                <w:color w:val="16202B"/>
                <w:sz w:val="17"/>
                <w:szCs w:val="17"/>
              </w:rPr>
              <w:t xml:space="preserve">nws_alert_severity</w:t>
            </w:r>
          </w:p>
        </w:tc>
        <w:tc>
          <w:tcPr>
            <w:tcW w:type="dxa" w:w="19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NWS</w:t>
            </w:r>
          </w:p>
        </w:tc>
        <w:tc>
          <w:tcPr>
            <w:tcW w:type="dxa" w:w="43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0 to 4, worst active alert</w:t>
            </w:r>
          </w:p>
        </w:tc>
      </w:tr>
      <w:tr>
        <w:trPr>
          <w:cantSplit/>
        </w:trPr>
        <w:tc>
          <w:tcPr>
            <w:tcW w:type="dxa" w:w="13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flood</w:t>
            </w:r>
          </w:p>
        </w:tc>
        <w:tc>
          <w:tcPr>
            <w:tcW w:type="dxa" w:w="25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onsolas" w:cs="Consolas" w:eastAsia="Consolas" w:hAnsi="Consolas"/>
                <w:color w:val="16202B"/>
                <w:sz w:val="17"/>
                <w:szCs w:val="17"/>
              </w:rPr>
              <w:t xml:space="preserve">precip_mm_overnight</w:t>
            </w:r>
          </w:p>
        </w:tc>
        <w:tc>
          <w:tcPr>
            <w:tcW w:type="dxa" w:w="19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Open-Meteo</w:t>
            </w:r>
          </w:p>
        </w:tc>
        <w:tc>
          <w:tcPr>
            <w:tcW w:type="dxa" w:w="43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Rain in the latest 6 PM to 6 AM local window</w:t>
            </w:r>
          </w:p>
        </w:tc>
      </w:tr>
      <w:tr>
        <w:trPr>
          <w:cantSplit/>
        </w:trPr>
        <w:tc>
          <w:tcPr>
            <w:tcW w:type="dxa" w:w="13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flood</w:t>
            </w:r>
          </w:p>
        </w:tc>
        <w:tc>
          <w:tcPr>
            <w:tcW w:type="dxa" w:w="25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onsolas" w:cs="Consolas" w:eastAsia="Consolas" w:hAnsi="Consolas"/>
                <w:color w:val="16202B"/>
                <w:sz w:val="17"/>
                <w:szCs w:val="17"/>
              </w:rPr>
              <w:t xml:space="preserve">precip_mm_24h</w:t>
            </w:r>
          </w:p>
        </w:tc>
        <w:tc>
          <w:tcPr>
            <w:tcW w:type="dxa" w:w="19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Open-Meteo</w:t>
            </w:r>
          </w:p>
        </w:tc>
        <w:tc>
          <w:tcPr>
            <w:tcW w:type="dxa" w:w="43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Rolling 24 hour rain, or daily total when forecast</w:t>
            </w:r>
          </w:p>
        </w:tc>
      </w:tr>
      <w:tr>
        <w:trPr>
          <w:cantSplit/>
        </w:trPr>
        <w:tc>
          <w:tcPr>
            <w:tcW w:type="dxa" w:w="13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flood</w:t>
            </w:r>
          </w:p>
        </w:tc>
        <w:tc>
          <w:tcPr>
            <w:tcW w:type="dxa" w:w="25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onsolas" w:cs="Consolas" w:eastAsia="Consolas" w:hAnsi="Consolas"/>
                <w:color w:val="16202B"/>
                <w:sz w:val="17"/>
                <w:szCs w:val="17"/>
              </w:rPr>
              <w:t xml:space="preserve">gauge_stage_ft, gauge_flood_stage_ft</w:t>
            </w:r>
          </w:p>
        </w:tc>
        <w:tc>
          <w:tcPr>
            <w:tcW w:type="dxa" w:w="19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NOAA NWPS, USGS</w:t>
            </w:r>
          </w:p>
        </w:tc>
        <w:tc>
          <w:tcPr>
            <w:tcW w:type="dxa" w:w="43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River stage and flood stage, feet</w:t>
            </w:r>
          </w:p>
        </w:tc>
      </w:tr>
      <w:tr>
        <w:trPr>
          <w:cantSplit/>
        </w:trPr>
        <w:tc>
          <w:tcPr>
            <w:tcW w:type="dxa" w:w="13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flood</w:t>
            </w:r>
          </w:p>
        </w:tc>
        <w:tc>
          <w:tcPr>
            <w:tcW w:type="dxa" w:w="25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onsolas" w:cs="Consolas" w:eastAsia="Consolas" w:hAnsi="Consolas"/>
                <w:color w:val="16202B"/>
                <w:sz w:val="17"/>
                <w:szCs w:val="17"/>
              </w:rPr>
              <w:t xml:space="preserve">nws_flood_warning</w:t>
            </w:r>
          </w:p>
        </w:tc>
        <w:tc>
          <w:tcPr>
            <w:tcW w:type="dxa" w:w="19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NWS</w:t>
            </w:r>
          </w:p>
        </w:tc>
        <w:tc>
          <w:tcPr>
            <w:tcW w:type="dxa" w:w="43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1 when a flood warning is active</w:t>
            </w:r>
          </w:p>
        </w:tc>
      </w:tr>
      <w:tr>
        <w:trPr>
          <w:cantSplit/>
        </w:trPr>
        <w:tc>
          <w:tcPr>
            <w:tcW w:type="dxa" w:w="13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soil</w:t>
            </w:r>
          </w:p>
        </w:tc>
        <w:tc>
          <w:tcPr>
            <w:tcW w:type="dxa" w:w="25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onsolas" w:cs="Consolas" w:eastAsia="Consolas" w:hAnsi="Consolas"/>
                <w:color w:val="16202B"/>
                <w:sz w:val="17"/>
                <w:szCs w:val="17"/>
              </w:rPr>
              <w:t xml:space="preserve">soil_moisture_frac</w:t>
            </w:r>
          </w:p>
        </w:tc>
        <w:tc>
          <w:tcPr>
            <w:tcW w:type="dxa" w:w="19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Open-Meteo</w:t>
            </w:r>
          </w:p>
        </w:tc>
        <w:tc>
          <w:tcPr>
            <w:tcW w:type="dxa" w:w="43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Top layer, 0 to 1</w:t>
            </w:r>
          </w:p>
        </w:tc>
      </w:tr>
      <w:tr>
        <w:trPr>
          <w:cantSplit/>
        </w:trPr>
        <w:tc>
          <w:tcPr>
            <w:tcW w:type="dxa" w:w="13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wildfire</w:t>
            </w:r>
          </w:p>
        </w:tc>
        <w:tc>
          <w:tcPr>
            <w:tcW w:type="dxa" w:w="25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onsolas" w:cs="Consolas" w:eastAsia="Consolas" w:hAnsi="Consolas"/>
                <w:color w:val="16202B"/>
                <w:sz w:val="17"/>
                <w:szCs w:val="17"/>
              </w:rPr>
              <w:t xml:space="preserve">nearest_fire_mi, fires_within_25mi</w:t>
            </w:r>
          </w:p>
        </w:tc>
        <w:tc>
          <w:tcPr>
            <w:tcW w:type="dxa" w:w="19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NIFC</w:t>
            </w:r>
          </w:p>
        </w:tc>
        <w:tc>
          <w:tcPr>
            <w:tcW w:type="dxa" w:w="43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Distance and count</w:t>
            </w:r>
          </w:p>
        </w:tc>
      </w:tr>
      <w:tr>
        <w:trPr>
          <w:cantSplit/>
        </w:trPr>
        <w:tc>
          <w:tcPr>
            <w:tcW w:type="dxa" w:w="13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lightning</w:t>
            </w:r>
          </w:p>
        </w:tc>
        <w:tc>
          <w:tcPr>
            <w:tcW w:type="dxa" w:w="25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onsolas" w:cs="Consolas" w:eastAsia="Consolas" w:hAnsi="Consolas"/>
                <w:color w:val="16202B"/>
                <w:sz w:val="17"/>
                <w:szCs w:val="17"/>
              </w:rPr>
              <w:t xml:space="preserve">(strike rows)</w:t>
            </w:r>
          </w:p>
        </w:tc>
        <w:tc>
          <w:tcPr>
            <w:tcW w:type="dxa" w:w="19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NOAA GOES GLM</w:t>
            </w:r>
          </w:p>
        </w:tc>
        <w:tc>
          <w:tcPr>
            <w:tcW w:type="dxa" w:w="43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color w:val="16202B"/>
                <w:sz w:val="19"/>
                <w:szCs w:val="19"/>
              </w:rPr>
              <w:t xml:space="preserve">Latitude, longitude, time, in lightning_strikes</w:t>
            </w:r>
          </w:p>
        </w:tc>
      </w:tr>
    </w:tbl>
    <w:p>
      <w:pPr>
        <w:spacing w:after="60"/>
      </w:pPr>
    </w:p>
    <w:p>
      <w:pPr>
        <w:spacing w:after="100" w:line="276"/>
      </w:pPr>
      <w:r>
        <w:rPr>
          <w:rFonts w:ascii="Calibri" w:cs="Calibri" w:eastAsia="Calibri" w:hAnsi="Calibri"/>
          <w:color w:val="16202B"/>
          <w:sz w:val="21"/>
          <w:szCs w:val="21"/>
        </w:rPr>
        <w:t xml:space="preserve">Readings are kept 5 days and strikes 7 days, then pruned daily.</w:t>
      </w:r>
    </w:p>
    <w:p>
      <w:pPr>
        <w:pStyle w:val="Heading1"/>
        <w:spacing w:after="120" w:before="300"/>
      </w:pPr>
      <w:r>
        <w:rPr>
          <w:rFonts w:ascii="Calibri" w:cs="Calibri" w:eastAsia="Calibri" w:hAnsi="Calibri"/>
          <w:b/>
          <w:bCs/>
          <w:color w:val="1F4E79"/>
          <w:sz w:val="30"/>
          <w:szCs w:val="30"/>
        </w:rPr>
        <w:t xml:space="preserve">Considered and not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trPr>
        <w:tc>
          <w:tcPr>
            <w:tcW w:type="dxa" w:w="2600"/>
            <w:tcBorders>
              <w:top w:val="single" w:color="CFD6DD" w:sz="4"/>
              <w:left w:val="single" w:color="CFD6DD" w:sz="4"/>
              <w:bottom w:val="single" w:color="CFD6DD" w:sz="4"/>
              <w:right w:val="single" w:color="CFD6DD" w:sz="4"/>
            </w:tcBorders>
            <w:shd w:fill="1F4E79" w:color="auto" w:val="clear"/>
            <w:tcMar>
              <w:top w:type="dxa" w:w="70"/>
              <w:left w:type="dxa" w:w="110"/>
              <w:bottom w:type="dxa" w:w="70"/>
              <w:right w:type="dxa" w:w="110"/>
            </w:tcMar>
          </w:tcPr>
          <w:p>
            <w:pPr>
              <w:spacing w:after="20" w:line="258"/>
            </w:pPr>
            <w:r>
              <w:rPr>
                <w:rFonts w:ascii="Calibri" w:cs="Calibri" w:eastAsia="Calibri" w:hAnsi="Calibri"/>
                <w:b/>
                <w:bCs/>
                <w:color w:val="FFFFFF"/>
                <w:sz w:val="19"/>
                <w:szCs w:val="19"/>
              </w:rPr>
              <w:t xml:space="preserve">Source</w:t>
            </w:r>
          </w:p>
        </w:tc>
        <w:tc>
          <w:tcPr>
            <w:tcW w:type="dxa" w:w="7480"/>
            <w:tcBorders>
              <w:top w:val="single" w:color="CFD6DD" w:sz="4"/>
              <w:left w:val="single" w:color="CFD6DD" w:sz="4"/>
              <w:bottom w:val="single" w:color="CFD6DD" w:sz="4"/>
              <w:right w:val="single" w:color="CFD6DD" w:sz="4"/>
            </w:tcBorders>
            <w:shd w:fill="1F4E79" w:color="auto" w:val="clear"/>
            <w:tcMar>
              <w:top w:type="dxa" w:w="70"/>
              <w:left w:type="dxa" w:w="110"/>
              <w:bottom w:type="dxa" w:w="70"/>
              <w:right w:type="dxa" w:w="110"/>
            </w:tcMar>
          </w:tcPr>
          <w:p>
            <w:pPr>
              <w:spacing w:after="20" w:line="258"/>
            </w:pPr>
            <w:r>
              <w:rPr>
                <w:rFonts w:ascii="Calibri" w:cs="Calibri" w:eastAsia="Calibri" w:hAnsi="Calibri"/>
                <w:b/>
                <w:bCs/>
                <w:color w:val="FFFFFF"/>
                <w:sz w:val="19"/>
                <w:szCs w:val="19"/>
              </w:rPr>
              <w:t xml:space="preserve">Why not</w:t>
            </w:r>
          </w:p>
        </w:tc>
      </w:tr>
      <w:tr>
        <w:trPr>
          <w:cantSplit/>
        </w:trPr>
        <w:tc>
          <w:tcPr>
            <w:tcW w:type="dxa" w:w="26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Blitzortung</w:t>
            </w:r>
          </w:p>
        </w:tc>
        <w:tc>
          <w:tcPr>
            <w:tcW w:type="dxa" w:w="74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Terms forbid use in storm warning systems, even through third parties.</w:t>
            </w:r>
          </w:p>
        </w:tc>
      </w:tr>
      <w:tr>
        <w:trPr>
          <w:cantSplit/>
        </w:trPr>
        <w:tc>
          <w:tcPr>
            <w:tcW w:type="dxa" w:w="26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NASA FIRMS</w:t>
            </w:r>
          </w:p>
        </w:tc>
        <w:tc>
          <w:tcPr>
            <w:tcW w:type="dxa" w:w="74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Needs a free MAP_KEY that the team does not have. Would add satellite hotspots that NIFC lacks; a good second source.</w:t>
            </w:r>
          </w:p>
        </w:tc>
      </w:tr>
      <w:tr>
        <w:trPr>
          <w:cantSplit/>
        </w:trPr>
        <w:tc>
          <w:tcPr>
            <w:tcW w:type="dxa" w:w="26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NWS WBGT grids (NDFD)</w:t>
            </w:r>
          </w:p>
        </w:tc>
        <w:tc>
          <w:tcPr>
            <w:tcW w:type="dxa" w:w="74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GRIB2 files are heavy to parse in an Edge Function. WBGT is estimated from Open-Meteo instead.</w:t>
            </w:r>
          </w:p>
        </w:tc>
      </w:tr>
      <w:tr>
        <w:trPr>
          <w:cantSplit/>
        </w:trPr>
        <w:tc>
          <w:tcPr>
            <w:tcW w:type="dxa" w:w="260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NOAA Storm Events, IEM warning archive, OSHA Severe Injury Reports</w:t>
            </w:r>
          </w:p>
        </w:tc>
        <w:tc>
          <w:tcPr>
            <w:tcW w:type="dxa" w:w="7480"/>
            <w:tcBorders>
              <w:top w:val="single" w:color="CFD6DD" w:sz="4"/>
              <w:left w:val="single" w:color="CFD6DD" w:sz="4"/>
              <w:bottom w:val="single" w:color="CFD6DD" w:sz="4"/>
              <w:right w:val="single" w:color="CFD6DD" w:sz="4"/>
            </w:tcBorders>
            <w:shd w:fill="F2F5F8" w:color="auto" w:val="clear"/>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Training and labeling data for the ML model. ML is out of scope for this phase, so they are not ingested.</w:t>
            </w:r>
          </w:p>
        </w:tc>
      </w:tr>
      <w:tr>
        <w:trPr>
          <w:cantSplit/>
        </w:trPr>
        <w:tc>
          <w:tcPr>
            <w:tcW w:type="dxa" w:w="260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bCs/>
                <w:color w:val="16202B"/>
                <w:sz w:val="19"/>
                <w:szCs w:val="19"/>
              </w:rPr>
              <w:t xml:space="preserve">National Levee Database, NOAA Tides and Currents</w:t>
            </w:r>
          </w:p>
        </w:tc>
        <w:tc>
          <w:tcPr>
            <w:tcW w:type="dxa" w:w="7480"/>
            <w:tcBorders>
              <w:top w:val="single" w:color="CFD6DD" w:sz="4"/>
              <w:left w:val="single" w:color="CFD6DD" w:sz="4"/>
              <w:bottom w:val="single" w:color="CFD6DD" w:sz="4"/>
              <w:right w:val="single" w:color="CFD6DD" w:sz="4"/>
            </w:tcBorders>
            <w:tcMar>
              <w:top w:type="dxa" w:w="70"/>
              <w:left w:type="dxa" w:w="110"/>
              <w:bottom w:type="dxa" w:w="70"/>
              <w:right w:type="dxa" w:w="110"/>
            </w:tcMar>
          </w:tcPr>
          <w:p>
            <w:pPr>
              <w:spacing w:after="20" w:line="258"/>
            </w:pPr>
            <w:r>
              <w:rPr>
                <w:rFonts w:ascii="Calibri" w:cs="Calibri" w:eastAsia="Calibri" w:hAnsi="Calibri"/>
                <w:b w:val="false"/>
                <w:bCs w:val="false"/>
                <w:color w:val="16202B"/>
                <w:sz w:val="19"/>
                <w:szCs w:val="19"/>
              </w:rPr>
              <w:t xml:space="preserve">Listed in the brief as optional. Not wired in; useful later for levee and coastal sites.</w:t>
            </w:r>
          </w:p>
        </w:tc>
      </w:tr>
    </w:tbl>
    <w:p>
      <w:pPr>
        <w:pStyle w:val="Heading1"/>
        <w:spacing w:after="120" w:before="300"/>
      </w:pPr>
      <w:r>
        <w:rPr>
          <w:rFonts w:ascii="Calibri" w:cs="Calibri" w:eastAsia="Calibri" w:hAnsi="Calibri"/>
          <w:b/>
          <w:bCs/>
          <w:color w:val="1F4E79"/>
          <w:sz w:val="30"/>
          <w:szCs w:val="30"/>
        </w:rPr>
        <w:t xml:space="preserve">Open items to confirm</w:t>
      </w:r>
    </w:p>
    <w:p>
      <w:pPr>
        <w:pStyle w:val="ListParagraph"/>
        <w:numPr>
          <w:ilvl w:val="0"/>
          <w:numId w:val="2"/>
        </w:numPr>
        <w:spacing w:after="60" w:line="270"/>
      </w:pPr>
      <w:r>
        <w:rPr>
          <w:rFonts w:ascii="Calibri" w:cs="Calibri" w:eastAsia="Calibri" w:hAnsi="Calibri"/>
          <w:color w:val="16202B"/>
          <w:sz w:val="21"/>
          <w:szCs w:val="21"/>
        </w:rPr>
        <w:t xml:space="preserve">Terms of use for Open-Meteo (free tier non-commercial), NIFC WFIGS (owner and license) and the other public APIs. None have been read.</w:t>
      </w:r>
    </w:p>
    <w:p>
      <w:pPr>
        <w:pStyle w:val="ListParagraph"/>
        <w:numPr>
          <w:ilvl w:val="0"/>
          <w:numId w:val="2"/>
        </w:numPr>
        <w:spacing w:after="60" w:line="270"/>
      </w:pPr>
      <w:r>
        <w:rPr>
          <w:rFonts w:ascii="Calibri" w:cs="Calibri" w:eastAsia="Calibri" w:hAnsi="Calibri"/>
          <w:color w:val="16202B"/>
          <w:sz w:val="21"/>
          <w:szCs w:val="21"/>
        </w:rPr>
        <w:t xml:space="preserve">Validate the WBGT estimate and the heat tiers (82, 85, 88, 90 F) against TB MED 507 and a reference WBGT source.</w:t>
      </w:r>
    </w:p>
    <w:p>
      <w:pPr>
        <w:pStyle w:val="ListParagraph"/>
        <w:numPr>
          <w:ilvl w:val="0"/>
          <w:numId w:val="2"/>
        </w:numPr>
        <w:spacing w:after="60" w:line="270"/>
      </w:pPr>
      <w:r>
        <w:rPr>
          <w:rFonts w:ascii="Calibri" w:cs="Calibri" w:eastAsia="Calibri" w:hAnsi="Calibri"/>
          <w:color w:val="16202B"/>
          <w:sz w:val="21"/>
          <w:szCs w:val="21"/>
        </w:rPr>
        <w:t xml:space="preserve">Validate GLM lightning against a ground network, and read the time offset packing from the file attributes.</w:t>
      </w:r>
    </w:p>
    <w:p>
      <w:pPr>
        <w:pStyle w:val="ListParagraph"/>
        <w:numPr>
          <w:ilvl w:val="0"/>
          <w:numId w:val="2"/>
        </w:numPr>
        <w:spacing w:after="60" w:line="270"/>
      </w:pPr>
      <w:r>
        <w:rPr>
          <w:rFonts w:ascii="Calibri" w:cs="Calibri" w:eastAsia="Calibri" w:hAnsi="Calibri"/>
          <w:color w:val="16202B"/>
          <w:sz w:val="21"/>
          <w:szCs w:val="21"/>
        </w:rPr>
        <w:t xml:space="preserve">Replace the gauge distance proxy with a true river distance if riverside accuracy matters.</w:t>
      </w:r>
    </w:p>
    <w:p>
      <w:pPr>
        <w:pStyle w:val="ListParagraph"/>
        <w:numPr>
          <w:ilvl w:val="0"/>
          <w:numId w:val="2"/>
        </w:numPr>
        <w:spacing w:after="60" w:line="270"/>
      </w:pPr>
      <w:r>
        <w:rPr>
          <w:rFonts w:ascii="Calibri" w:cs="Calibri" w:eastAsia="Calibri" w:hAnsi="Calibri"/>
          <w:color w:val="16202B"/>
          <w:sz w:val="21"/>
          <w:szCs w:val="21"/>
        </w:rPr>
        <w:t xml:space="preserve">Decide whether to add NASA FIRMS (needs a MAP_KEY) as a second wildfire source.</w:t>
      </w:r>
    </w:p>
    <w:p>
      <w:pPr>
        <w:pStyle w:val="ListParagraph"/>
        <w:numPr>
          <w:ilvl w:val="0"/>
          <w:numId w:val="2"/>
        </w:numPr>
        <w:spacing w:after="60" w:line="270"/>
      </w:pPr>
      <w:r>
        <w:rPr>
          <w:rFonts w:ascii="Calibri" w:cs="Calibri" w:eastAsia="Calibri" w:hAnsi="Calibri"/>
          <w:color w:val="16202B"/>
          <w:sz w:val="21"/>
          <w:szCs w:val="21"/>
        </w:rPr>
        <w:t xml:space="preserve">Set NWS_USER_AGENT to a real team contact.</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6636F"/>
        <w:sz w:val="17"/>
        <w:szCs w:val="17"/>
      </w:rPr>
      <w:t xml:space="preserve">PlanIT Control · Ingestion data sources · page </w:t>
    </w:r>
    <w:r>
      <w:rPr>
        <w:rFonts w:ascii="Calibri" w:cs="Calibri" w:eastAsia="Calibri" w:hAnsi="Calibri"/>
        <w:color w:val="56636F"/>
        <w:sz w:val="17"/>
        <w:szCs w:val="17"/>
      </w:rPr>
      <w:fldChar w:fldCharType="begin"/>
    </w:r>
    <w:r>
      <w:rPr>
        <w:rFonts w:ascii="Calibri" w:cs="Calibri" w:eastAsia="Calibri" w:hAnsi="Calibri"/>
        <w:color w:val="56636F"/>
        <w:sz w:val="17"/>
        <w:szCs w:val="17"/>
      </w:rPr>
      <w:instrText xml:space="preserve">PAGE</w:instrText>
    </w:r>
    <w:r>
      <w:rPr>
        <w:rFonts w:ascii="Calibri" w:cs="Calibri" w:eastAsia="Calibri" w:hAnsi="Calibri"/>
        <w:color w:val="56636F"/>
        <w:sz w:val="17"/>
        <w:szCs w:val="17"/>
      </w:rPr>
      <w:fldChar w:fldCharType="separate"/>
    </w:r>
    <w:r>
      <w:rPr>
        <w:rFonts w:ascii="Calibri" w:cs="Calibri" w:eastAsia="Calibri" w:hAnsi="Calibri"/>
        <w:color w:val="56636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PlanIT Control Ingestion Data Sources</dc:title>
  <dc:creator>PlanIT Control team</dc:creator>
  <cp:lastModifiedBy>Un-named</cp:lastModifiedBy>
  <cp:revision>1</cp:revision>
  <dcterms:created xsi:type="dcterms:W3CDTF">2026-10-17T17:31:56.042Z</dcterms:created>
  <dcterms:modified xsi:type="dcterms:W3CDTF">2026-10-17T17:31:56.043Z</dcterms:modified>
</cp:coreProperties>
</file>

<file path=docProps/custom.xml><?xml version="1.0" encoding="utf-8"?>
<Properties xmlns="http://schemas.openxmlformats.org/officeDocument/2006/custom-properties" xmlns:vt="http://schemas.openxmlformats.org/officeDocument/2006/docPropsVTypes"/>
</file>