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0CD" w:rsidRDefault="004D20CD" w:rsidP="004D20CD">
      <w:pPr>
        <w:pStyle w:val="Heading1"/>
      </w:pPr>
      <w:r w:rsidRPr="004D20CD">
        <w:t xml:space="preserve">Eco. Enviro. </w:t>
      </w:r>
    </w:p>
    <w:p w:rsidR="004D20CD" w:rsidRPr="004D20CD" w:rsidRDefault="004D20CD" w:rsidP="004D20CD"/>
    <w:p w:rsidR="004D20CD" w:rsidRDefault="004D20CD" w:rsidP="004D20CD">
      <w:r w:rsidRPr="004D20CD">
        <w:rPr>
          <w:highlight w:val="yellow"/>
        </w:rPr>
        <w:t>The capital markets</w:t>
      </w:r>
      <w:r>
        <w:t xml:space="preserve"> </w:t>
      </w:r>
    </w:p>
    <w:p w:rsidR="004D20CD" w:rsidRDefault="004D20CD" w:rsidP="00847775">
      <w:pPr>
        <w:ind w:firstLine="720"/>
      </w:pPr>
      <w:r>
        <w:t xml:space="preserve">provide a mechanism to help our economy allocate resources efficiently. </w:t>
      </w:r>
    </w:p>
    <w:p w:rsidR="004D20CD" w:rsidRDefault="004D20CD" w:rsidP="004D20CD">
      <w:r w:rsidRPr="004D20CD">
        <w:rPr>
          <w:highlight w:val="yellow"/>
        </w:rPr>
        <w:t>Corporations</w:t>
      </w:r>
      <w:r>
        <w:t xml:space="preserve"> </w:t>
      </w:r>
    </w:p>
    <w:p w:rsidR="004D20CD" w:rsidRDefault="004D20CD" w:rsidP="00847775">
      <w:pPr>
        <w:ind w:firstLine="720"/>
      </w:pPr>
      <w:r>
        <w:t xml:space="preserve">acquire capital from investors in exchange for ownership interest and from creditors by borrowing. </w:t>
      </w:r>
    </w:p>
    <w:p w:rsidR="004D20CD" w:rsidRDefault="004D20CD" w:rsidP="004D20CD">
      <w:r w:rsidRPr="004D20CD">
        <w:rPr>
          <w:highlight w:val="yellow"/>
        </w:rPr>
        <w:t>Initial market transactions</w:t>
      </w:r>
      <w:r>
        <w:t xml:space="preserve"> </w:t>
      </w:r>
    </w:p>
    <w:p w:rsidR="004D20CD" w:rsidRDefault="004D20CD" w:rsidP="00847775">
      <w:pPr>
        <w:ind w:firstLine="720"/>
      </w:pPr>
      <w:r>
        <w:t xml:space="preserve">involve issuance of stocks and bonds by the corporation. </w:t>
      </w:r>
    </w:p>
    <w:p w:rsidR="004D20CD" w:rsidRDefault="004D20CD" w:rsidP="004D20CD">
      <w:r w:rsidRPr="004D20CD">
        <w:rPr>
          <w:highlight w:val="yellow"/>
        </w:rPr>
        <w:t>Secondary market transactions</w:t>
      </w:r>
      <w:r>
        <w:t xml:space="preserve"> </w:t>
      </w:r>
    </w:p>
    <w:p w:rsidR="004D20CD" w:rsidRDefault="004D20CD" w:rsidP="004D20CD">
      <w:pPr>
        <w:ind w:firstLine="720"/>
      </w:pPr>
      <w:r>
        <w:t xml:space="preserve">involve the transfer of stocks and bonds between individuals and institutions. </w:t>
      </w:r>
    </w:p>
    <w:p w:rsidR="004D20CD" w:rsidRDefault="004D20CD" w:rsidP="004D20CD"/>
    <w:p w:rsidR="004D20CD" w:rsidRDefault="004D20CD" w:rsidP="004D20CD">
      <w:pPr>
        <w:pStyle w:val="Heading1"/>
      </w:pPr>
      <w:r>
        <w:t>Cash flow perspective</w:t>
      </w:r>
    </w:p>
    <w:p w:rsidR="004D20CD" w:rsidRDefault="004D20CD" w:rsidP="004D20CD"/>
    <w:p w:rsidR="00763F4E" w:rsidRDefault="004D20CD" w:rsidP="004D20CD">
      <w:r>
        <w:t xml:space="preserve">Investors and creditors are interested in earning a </w:t>
      </w:r>
      <w:r w:rsidRPr="004F45B8">
        <w:rPr>
          <w:highlight w:val="yellow"/>
        </w:rPr>
        <w:t>fair return</w:t>
      </w:r>
      <w:r>
        <w:t xml:space="preserve"> on the resources they provide</w:t>
      </w:r>
    </w:p>
    <w:p w:rsidR="004D20CD" w:rsidRDefault="004D20CD" w:rsidP="004D20CD">
      <w:r w:rsidRPr="004D20CD">
        <w:t xml:space="preserve">The </w:t>
      </w:r>
      <w:r w:rsidRPr="004F45B8">
        <w:rPr>
          <w:highlight w:val="yellow"/>
        </w:rPr>
        <w:t>expected rate</w:t>
      </w:r>
      <w:r w:rsidRPr="004D20CD">
        <w:t xml:space="preserve"> of return and the uncertainty, or risk, of that return are key variables in the investment decision.</w:t>
      </w:r>
    </w:p>
    <w:p w:rsidR="004D20CD" w:rsidRDefault="004D20CD" w:rsidP="004D20CD">
      <w:r w:rsidRPr="004D20CD">
        <w:t xml:space="preserve">A </w:t>
      </w:r>
      <w:r w:rsidRPr="004D20CD">
        <w:rPr>
          <w:highlight w:val="yellow"/>
        </w:rPr>
        <w:t>company</w:t>
      </w:r>
      <w:r w:rsidRPr="004D20CD">
        <w:t xml:space="preserve"> will be able to </w:t>
      </w:r>
      <w:r w:rsidRPr="004F45B8">
        <w:rPr>
          <w:highlight w:val="yellow"/>
        </w:rPr>
        <w:t>provide a return</w:t>
      </w:r>
      <w:r w:rsidRPr="004D20CD">
        <w:t xml:space="preserve"> to investors and creditors </w:t>
      </w:r>
      <w:r w:rsidRPr="004F45B8">
        <w:rPr>
          <w:highlight w:val="yellow"/>
        </w:rPr>
        <w:t>only</w:t>
      </w:r>
      <w:r w:rsidRPr="004D20CD">
        <w:t xml:space="preserve"> if it can generate a </w:t>
      </w:r>
      <w:r w:rsidRPr="004F45B8">
        <w:rPr>
          <w:highlight w:val="yellow"/>
        </w:rPr>
        <w:t>profit</w:t>
      </w:r>
      <w:r w:rsidRPr="004D20CD">
        <w:t xml:space="preserve"> from selling its products or services.</w:t>
      </w:r>
    </w:p>
    <w:p w:rsidR="004D20CD" w:rsidRDefault="004D20CD" w:rsidP="004D20CD">
      <w:r w:rsidRPr="004D20CD">
        <w:t xml:space="preserve">The </w:t>
      </w:r>
      <w:r w:rsidRPr="004D20CD">
        <w:rPr>
          <w:highlight w:val="yellow"/>
        </w:rPr>
        <w:t>obj</w:t>
      </w:r>
      <w:r w:rsidRPr="004D20CD">
        <w:t xml:space="preserve">ective of </w:t>
      </w:r>
      <w:r w:rsidRPr="004D20CD">
        <w:rPr>
          <w:highlight w:val="yellow"/>
        </w:rPr>
        <w:t>financial accounting</w:t>
      </w:r>
      <w:r w:rsidRPr="004D20CD">
        <w:t xml:space="preserve"> is to </w:t>
      </w:r>
      <w:r w:rsidRPr="004D20CD">
        <w:rPr>
          <w:highlight w:val="yellow"/>
        </w:rPr>
        <w:t>provide</w:t>
      </w:r>
      <w:r w:rsidRPr="004D20CD">
        <w:t xml:space="preserve"> investors and creditors with useful </w:t>
      </w:r>
      <w:r w:rsidRPr="004D20CD">
        <w:rPr>
          <w:highlight w:val="yellow"/>
        </w:rPr>
        <w:t>inf</w:t>
      </w:r>
      <w:r w:rsidRPr="004D20CD">
        <w:t>ormation for decision making.</w:t>
      </w:r>
    </w:p>
    <w:p w:rsidR="00847775" w:rsidRDefault="00847775" w:rsidP="004D20CD"/>
    <w:p w:rsidR="004F45B8" w:rsidRDefault="004F45B8" w:rsidP="004F45B8">
      <w:pPr>
        <w:pStyle w:val="Heading1"/>
      </w:pPr>
      <w:r>
        <w:t>Cash V.S. Accrual Account</w:t>
      </w:r>
      <w:r w:rsidR="00A73E73">
        <w:t>ing</w:t>
      </w:r>
    </w:p>
    <w:p w:rsidR="004F45B8" w:rsidRDefault="004F45B8" w:rsidP="004F45B8">
      <w:r>
        <w:t>Cash basis:</w:t>
      </w:r>
    </w:p>
    <w:p w:rsidR="004D20CD" w:rsidRDefault="004F45B8" w:rsidP="004F45B8">
      <w:pPr>
        <w:ind w:firstLine="720"/>
      </w:pPr>
      <w:r>
        <w:t>N</w:t>
      </w:r>
      <w:r w:rsidRPr="004F45B8">
        <w:t>et operating cash flow</w:t>
      </w:r>
      <w:r>
        <w:t xml:space="preserve">, </w:t>
      </w:r>
      <w:r w:rsidRPr="004F45B8">
        <w:t>difference betw</w:t>
      </w:r>
      <w:r>
        <w:t xml:space="preserve">een cash receipts and cash payments from transactions, from </w:t>
      </w:r>
      <w:r w:rsidRPr="004F45B8">
        <w:t>providing goods and services.</w:t>
      </w:r>
    </w:p>
    <w:p w:rsidR="004F45B8" w:rsidRPr="004F45B8" w:rsidRDefault="004F45B8" w:rsidP="004F45B8">
      <w:pPr>
        <w:ind w:firstLine="720"/>
      </w:pPr>
      <w:r>
        <w:t>However, o</w:t>
      </w:r>
      <w:r w:rsidRPr="004F45B8">
        <w:t>ver short periods of time, operating cash flow may not be an accurate predictor of future operating cash flows.</w:t>
      </w:r>
    </w:p>
    <w:p w:rsidR="004F45B8" w:rsidRDefault="00A73E73" w:rsidP="004D20CD">
      <w:r>
        <w:t>Accrual Accounting is a better way to predict future cash flow</w:t>
      </w:r>
    </w:p>
    <w:p w:rsidR="00A73E73" w:rsidRDefault="00A73E73" w:rsidP="00A73E73">
      <w:pPr>
        <w:ind w:firstLine="720"/>
      </w:pPr>
      <w:r w:rsidRPr="00A73E73">
        <w:t>Net income is the differenc</w:t>
      </w:r>
      <w:r>
        <w:t>e between revenues and expenses</w:t>
      </w:r>
      <w:r w:rsidRPr="00A73E73">
        <w:t>.</w:t>
      </w:r>
    </w:p>
    <w:p w:rsidR="00A73E73" w:rsidRPr="00A73E73" w:rsidRDefault="00A73E73" w:rsidP="00A73E73">
      <w:pPr>
        <w:ind w:firstLine="720"/>
      </w:pPr>
      <w:r w:rsidRPr="00A73E73">
        <w:lastRenderedPageBreak/>
        <w:t>Net income is considered a better indicator of future operating cash flows than is current net operating cash flow.</w:t>
      </w:r>
    </w:p>
    <w:p w:rsidR="00A73E73" w:rsidRDefault="00A73E73" w:rsidP="00A73E73">
      <w:r>
        <w:tab/>
      </w:r>
      <w:r w:rsidRPr="00A73E73">
        <w:t>The accrual accounting model provides a measure of periodic performance called net income, the difference between revenues and expenses.</w:t>
      </w:r>
    </w:p>
    <w:p w:rsidR="00A73E73" w:rsidRDefault="00A73E73" w:rsidP="00A73E73"/>
    <w:p w:rsidR="00847775" w:rsidRDefault="00847775" w:rsidP="00847775">
      <w:pPr>
        <w:pStyle w:val="Heading1"/>
      </w:pPr>
      <w:r w:rsidRPr="00847775">
        <w:t>Reporting Standards</w:t>
      </w:r>
    </w:p>
    <w:p w:rsidR="00847775" w:rsidRDefault="00847775" w:rsidP="00847775">
      <w:r>
        <w:t>GAAP (</w:t>
      </w:r>
      <w:r w:rsidRPr="00847775">
        <w:t>generally</w:t>
      </w:r>
      <w:r>
        <w:t xml:space="preserve"> accepted accounting principles</w:t>
      </w:r>
      <w:r w:rsidRPr="00847775">
        <w:t>)</w:t>
      </w:r>
    </w:p>
    <w:p w:rsidR="00847775" w:rsidRDefault="00847775" w:rsidP="00CB38A2">
      <w:pPr>
        <w:ind w:left="720"/>
      </w:pPr>
      <w:r>
        <w:t xml:space="preserve">A </w:t>
      </w:r>
      <w:r w:rsidRPr="00847775">
        <w:t>dynamic set of both broad and specific guidelines that companies should follow when measuring and reporting the information in their financial statements and related notes</w:t>
      </w:r>
    </w:p>
    <w:p w:rsidR="00847775" w:rsidRDefault="00847775" w:rsidP="00CB38A2">
      <w:r w:rsidRPr="00847775">
        <w:t>Historical Perspective and Standards</w:t>
      </w:r>
    </w:p>
    <w:p w:rsidR="00847775" w:rsidRDefault="00CB38A2" w:rsidP="00847775">
      <w:r>
        <w:tab/>
      </w:r>
      <w:r>
        <w:rPr>
          <w:noProof/>
        </w:rPr>
        <w:drawing>
          <wp:inline distT="0" distB="0" distL="0" distR="0" wp14:anchorId="763002F5" wp14:editId="7479EBBC">
            <wp:extent cx="5943600" cy="35210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8A2" w:rsidRDefault="00CB38A2" w:rsidP="00847775"/>
    <w:p w:rsidR="00CB38A2" w:rsidRDefault="00CB38A2" w:rsidP="00847775"/>
    <w:p w:rsidR="00CB38A2" w:rsidRDefault="00CB38A2" w:rsidP="00847775"/>
    <w:p w:rsidR="00CB38A2" w:rsidRDefault="00CB38A2" w:rsidP="00847775"/>
    <w:p w:rsidR="00CB38A2" w:rsidRDefault="00CB38A2" w:rsidP="00847775"/>
    <w:p w:rsidR="00CB38A2" w:rsidRDefault="00CB38A2" w:rsidP="00847775">
      <w:r>
        <w:t>Compare GAAP and IFRS</w:t>
      </w:r>
    </w:p>
    <w:p w:rsidR="00CB38A2" w:rsidRDefault="00CB38A2" w:rsidP="00847775">
      <w:r>
        <w:lastRenderedPageBreak/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B38A2" w:rsidTr="00CB38A2">
        <w:tc>
          <w:tcPr>
            <w:tcW w:w="3116" w:type="dxa"/>
          </w:tcPr>
          <w:p w:rsidR="00CB38A2" w:rsidRDefault="00CB38A2" w:rsidP="00CB38A2"/>
        </w:tc>
        <w:tc>
          <w:tcPr>
            <w:tcW w:w="3117" w:type="dxa"/>
          </w:tcPr>
          <w:p w:rsidR="00CB38A2" w:rsidRDefault="00CB38A2" w:rsidP="00CB38A2">
            <w:r w:rsidRPr="00CB38A2">
              <w:t>U.S. GAAP</w:t>
            </w:r>
          </w:p>
        </w:tc>
        <w:tc>
          <w:tcPr>
            <w:tcW w:w="3117" w:type="dxa"/>
          </w:tcPr>
          <w:p w:rsidR="00CB38A2" w:rsidRDefault="00CB38A2" w:rsidP="00CB38A2">
            <w:r w:rsidRPr="00CB38A2">
              <w:t>IFRS</w:t>
            </w:r>
          </w:p>
        </w:tc>
      </w:tr>
      <w:tr w:rsidR="00CB38A2" w:rsidTr="00CB38A2">
        <w:tc>
          <w:tcPr>
            <w:tcW w:w="3116" w:type="dxa"/>
          </w:tcPr>
          <w:p w:rsidR="00CB38A2" w:rsidRDefault="00CB38A2" w:rsidP="00CB38A2">
            <w:r>
              <w:t xml:space="preserve">Regulatory oversight provided by: </w:t>
            </w:r>
          </w:p>
          <w:p w:rsidR="00CB38A2" w:rsidRDefault="00CB38A2" w:rsidP="00CB38A2"/>
          <w:p w:rsidR="00CB38A2" w:rsidRDefault="00CB38A2" w:rsidP="00CB38A2">
            <w:r>
              <w:t xml:space="preserve">Foundation providing oversight, appointing members, raising funds: </w:t>
            </w:r>
          </w:p>
          <w:p w:rsidR="00CB38A2" w:rsidRDefault="00CB38A2" w:rsidP="00CB38A2"/>
          <w:p w:rsidR="00CB38A2" w:rsidRDefault="00CB38A2" w:rsidP="00CB38A2">
            <w:r>
              <w:t xml:space="preserve">Standard-setting board: </w:t>
            </w:r>
          </w:p>
          <w:p w:rsidR="00CB38A2" w:rsidRDefault="00CB38A2" w:rsidP="00CB38A2"/>
          <w:p w:rsidR="00CB38A2" w:rsidRDefault="00CB38A2" w:rsidP="00CB38A2"/>
          <w:p w:rsidR="00CB38A2" w:rsidRDefault="00CB38A2" w:rsidP="00CB38A2"/>
          <w:p w:rsidR="00CB38A2" w:rsidRDefault="00CB38A2" w:rsidP="00CB38A2">
            <w:r>
              <w:t xml:space="preserve">Advisory council providing input on agenda and projects: </w:t>
            </w:r>
          </w:p>
          <w:p w:rsidR="00CB38A2" w:rsidRDefault="00CB38A2" w:rsidP="00CB38A2"/>
          <w:p w:rsidR="00CB38A2" w:rsidRDefault="00CB38A2" w:rsidP="00CB38A2"/>
          <w:p w:rsidR="00CB38A2" w:rsidRPr="00E14C18" w:rsidRDefault="00CB38A2" w:rsidP="00CB38A2">
            <w:r>
              <w:t>Group to deal with emerging issues:</w:t>
            </w:r>
          </w:p>
        </w:tc>
        <w:tc>
          <w:tcPr>
            <w:tcW w:w="3117" w:type="dxa"/>
          </w:tcPr>
          <w:p w:rsidR="00CB38A2" w:rsidRDefault="00CB38A2" w:rsidP="00CB38A2">
            <w:r>
              <w:t xml:space="preserve">Securities Exchange Commission (SEC) </w:t>
            </w:r>
          </w:p>
          <w:p w:rsidR="00CB38A2" w:rsidRDefault="00CB38A2" w:rsidP="00CB38A2"/>
          <w:p w:rsidR="00CB38A2" w:rsidRDefault="00CB38A2" w:rsidP="00CB38A2">
            <w:r>
              <w:t xml:space="preserve">Financial Accounting Foundation (FAF): 20 trustees </w:t>
            </w:r>
          </w:p>
          <w:p w:rsidR="00CB38A2" w:rsidRDefault="00CB38A2" w:rsidP="00CB38A2"/>
          <w:p w:rsidR="00CB38A2" w:rsidRDefault="00CB38A2" w:rsidP="00CB38A2"/>
          <w:p w:rsidR="00CB38A2" w:rsidRDefault="00CB38A2" w:rsidP="00CB38A2">
            <w:r>
              <w:t xml:space="preserve">Financial Accounting Standards Board (FASB): 7 members </w:t>
            </w:r>
          </w:p>
          <w:p w:rsidR="00CB38A2" w:rsidRDefault="00CB38A2" w:rsidP="00CB38A2"/>
          <w:p w:rsidR="00CB38A2" w:rsidRDefault="00CB38A2" w:rsidP="00CB38A2"/>
          <w:p w:rsidR="00CB38A2" w:rsidRDefault="00CB38A2" w:rsidP="00CB38A2">
            <w:r>
              <w:t xml:space="preserve">Financial Accounting Standards Advisory Council (FASAC): 30–40 members </w:t>
            </w:r>
          </w:p>
          <w:p w:rsidR="00CB38A2" w:rsidRDefault="00CB38A2" w:rsidP="00CB38A2"/>
          <w:p w:rsidR="00CB38A2" w:rsidRPr="00E14C18" w:rsidRDefault="00CB38A2" w:rsidP="00CB38A2">
            <w:r>
              <w:t>Emerging Issues Task Force (EITF): 15 members</w:t>
            </w:r>
          </w:p>
        </w:tc>
        <w:tc>
          <w:tcPr>
            <w:tcW w:w="3117" w:type="dxa"/>
          </w:tcPr>
          <w:p w:rsidR="00CB38A2" w:rsidRDefault="00CB38A2" w:rsidP="00CB38A2">
            <w:r>
              <w:t xml:space="preserve">International Organization of Securities Commissions (IOSCO) * </w:t>
            </w:r>
          </w:p>
          <w:p w:rsidR="00CB38A2" w:rsidRDefault="00CB38A2" w:rsidP="00CB38A2">
            <w:r>
              <w:t>International Accounting Standards Committee Foundation (IASCF): 22 trustees</w:t>
            </w:r>
          </w:p>
          <w:p w:rsidR="00CB38A2" w:rsidRDefault="00CB38A2" w:rsidP="00CB38A2">
            <w:r>
              <w:t xml:space="preserve"> </w:t>
            </w:r>
          </w:p>
          <w:p w:rsidR="00CB38A2" w:rsidRDefault="00CB38A2" w:rsidP="00CB38A2">
            <w:r>
              <w:t xml:space="preserve">International Accounting Standards Board (IASB): 16 members </w:t>
            </w:r>
          </w:p>
          <w:p w:rsidR="00CB38A2" w:rsidRDefault="00CB38A2" w:rsidP="00CB38A2"/>
          <w:p w:rsidR="00CB38A2" w:rsidRDefault="00CB38A2" w:rsidP="00CB38A2">
            <w:r>
              <w:t xml:space="preserve">Standards Advisory Council (SAC): 30–40 members </w:t>
            </w:r>
          </w:p>
          <w:p w:rsidR="00CB38A2" w:rsidRDefault="00CB38A2" w:rsidP="00CB38A2"/>
          <w:p w:rsidR="00CB38A2" w:rsidRDefault="00CB38A2" w:rsidP="00CB38A2"/>
          <w:p w:rsidR="00CB38A2" w:rsidRPr="00E14C18" w:rsidRDefault="00CB38A2" w:rsidP="00CB38A2">
            <w:r>
              <w:t>International Financial Reporting Interpretations Committee (IFRIC): 14 members</w:t>
            </w:r>
          </w:p>
        </w:tc>
      </w:tr>
    </w:tbl>
    <w:p w:rsidR="00CB38A2" w:rsidRDefault="00CB38A2" w:rsidP="00847775"/>
    <w:p w:rsidR="00CB38A2" w:rsidRDefault="00C27258" w:rsidP="00C27258">
      <w:pPr>
        <w:pStyle w:val="Heading1"/>
      </w:pPr>
      <w:r w:rsidRPr="00C27258">
        <w:t>The Standard-Setting Process</w:t>
      </w:r>
    </w:p>
    <w:p w:rsidR="00C27258" w:rsidRDefault="00C27258" w:rsidP="00C27258">
      <w:r w:rsidRPr="00C27258">
        <w:t>DUE PROCESS.</w:t>
      </w:r>
    </w:p>
    <w:p w:rsidR="00C27258" w:rsidRDefault="00C27258" w:rsidP="00C27258">
      <w:r>
        <w:t xml:space="preserve">1The Board identifies financial reporting issues based on requests/recommendations from stakeholders or through other means. </w:t>
      </w:r>
    </w:p>
    <w:p w:rsidR="00C27258" w:rsidRDefault="00C27258" w:rsidP="00C27258">
      <w:r>
        <w:t xml:space="preserve">2The Board decides whether to add a project to the technical agenda based on a staff-prepared analysis of the issues. </w:t>
      </w:r>
    </w:p>
    <w:p w:rsidR="00C27258" w:rsidRDefault="00C27258" w:rsidP="00C27258">
      <w:r>
        <w:t xml:space="preserve">3The Board deliberates at one or more public meetings the various issues identified and analyzed by the staff. </w:t>
      </w:r>
    </w:p>
    <w:p w:rsidR="00C27258" w:rsidRDefault="00C27258" w:rsidP="00C27258">
      <w:r>
        <w:t xml:space="preserve">4The Board issues an Exposure Draft. (In some projects, a Discussion Paper may be issued to obtain input at an early stage that is used to develop an Exposure Draft.) </w:t>
      </w:r>
    </w:p>
    <w:p w:rsidR="00C27258" w:rsidRDefault="00C27258" w:rsidP="00C27258">
      <w:r>
        <w:t xml:space="preserve">5The Board holds a public roundtable meeting on the Exposure Draft, if necessary. </w:t>
      </w:r>
    </w:p>
    <w:p w:rsidR="00C27258" w:rsidRDefault="00C27258" w:rsidP="00C27258">
      <w:r>
        <w:t xml:space="preserve">6The staff analyzes comment letters, public roundtable discussion, and any other information. The Board redeliberates the proposed provisions at public meetings. </w:t>
      </w:r>
    </w:p>
    <w:p w:rsidR="00C27258" w:rsidRDefault="00C27258" w:rsidP="00C27258">
      <w:r>
        <w:t>7The Board issues an Accounting Standards Update describing amendments to the Accounting Standards Codification.</w:t>
      </w:r>
    </w:p>
    <w:p w:rsidR="00C27258" w:rsidRDefault="00C27258" w:rsidP="00C27258"/>
    <w:p w:rsidR="00C27258" w:rsidRDefault="00C27258" w:rsidP="00C27258"/>
    <w:p w:rsidR="00C27258" w:rsidRDefault="00C27258" w:rsidP="00C27258">
      <w:pPr>
        <w:pStyle w:val="Heading1"/>
      </w:pPr>
      <w:r w:rsidRPr="00C27258">
        <w:lastRenderedPageBreak/>
        <w:t>The Role of the Auditor</w:t>
      </w:r>
    </w:p>
    <w:p w:rsidR="00C27258" w:rsidRDefault="00C27258" w:rsidP="00FB21D1">
      <w:pPr>
        <w:ind w:firstLine="720"/>
      </w:pPr>
      <w:r>
        <w:t xml:space="preserve">Auditors offer credibility to financial statements. </w:t>
      </w:r>
    </w:p>
    <w:p w:rsidR="00C27258" w:rsidRDefault="00C27258" w:rsidP="00FB21D1">
      <w:pPr>
        <w:ind w:firstLine="720"/>
      </w:pPr>
      <w:r>
        <w:t xml:space="preserve">Auditors express an opinion on the compliance of financial statements with GAAP. </w:t>
      </w:r>
    </w:p>
    <w:p w:rsidR="00C27258" w:rsidRDefault="00C27258" w:rsidP="00FB21D1">
      <w:pPr>
        <w:ind w:firstLine="720"/>
      </w:pPr>
      <w:r>
        <w:t>Certified public accountants (CPAs) are licensed by states to provide audit services.</w:t>
      </w:r>
    </w:p>
    <w:p w:rsidR="00FB21D1" w:rsidRDefault="00FB21D1" w:rsidP="00C27258"/>
    <w:p w:rsidR="00FB21D1" w:rsidRDefault="00FB21D1" w:rsidP="00FB21D1">
      <w:pPr>
        <w:pStyle w:val="Heading1"/>
      </w:pPr>
      <w:r>
        <w:t>Besides Rule based standard</w:t>
      </w:r>
    </w:p>
    <w:p w:rsidR="00FB21D1" w:rsidRDefault="00FB21D1" w:rsidP="00FB21D1">
      <w:pPr>
        <w:ind w:firstLine="720"/>
      </w:pPr>
      <w:r>
        <w:t xml:space="preserve">A principles-based, or objectives-oriented, approach to standard- setting stresses </w:t>
      </w:r>
    </w:p>
    <w:p w:rsidR="00FB21D1" w:rsidRDefault="00FB21D1" w:rsidP="00FB21D1">
      <w:r>
        <w:t>professional judgment, as opposed to following a list of rules.</w:t>
      </w:r>
    </w:p>
    <w:p w:rsidR="00FB21D1" w:rsidRDefault="00FB21D1" w:rsidP="00FB21D1"/>
    <w:p w:rsidR="00FB21D1" w:rsidRDefault="00FB21D1" w:rsidP="00FB21D1">
      <w:pPr>
        <w:ind w:firstLine="720"/>
      </w:pPr>
      <w:r w:rsidRPr="00FB21D1">
        <w:t>Ethics deals with the ability to distinguish right from wrong.</w:t>
      </w:r>
    </w:p>
    <w:p w:rsidR="00FB21D1" w:rsidRDefault="00FB21D1" w:rsidP="00FB21D1"/>
    <w:p w:rsidR="00FB21D1" w:rsidRDefault="00FB21D1" w:rsidP="00FB21D1">
      <w:pPr>
        <w:pStyle w:val="Heading1"/>
      </w:pPr>
      <w:r>
        <w:t>Accounting Cycle</w:t>
      </w:r>
    </w:p>
    <w:p w:rsidR="00FB21D1" w:rsidRDefault="00FB21D1" w:rsidP="00FB21D1">
      <w:r>
        <w:rPr>
          <w:noProof/>
        </w:rPr>
        <w:drawing>
          <wp:inline distT="0" distB="0" distL="0" distR="0" wp14:anchorId="37E60BEB" wp14:editId="3909F223">
            <wp:extent cx="5943600" cy="3545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DD7" w:rsidRPr="00FB21D1" w:rsidRDefault="00FC5DD7" w:rsidP="00FB21D1">
      <w:r>
        <w:rPr>
          <w:noProof/>
        </w:rPr>
        <w:lastRenderedPageBreak/>
        <w:drawing>
          <wp:inline distT="0" distB="0" distL="0" distR="0" wp14:anchorId="232152BF" wp14:editId="50702B3F">
            <wp:extent cx="5943600" cy="4455795"/>
            <wp:effectExtent l="0" t="0" r="0" b="1905"/>
            <wp:docPr id="3" name="Picture 3" descr="http://image.slidesharecdn.com/accountingcyclepowerpointpresentationslidesppttemplates-120601190445-phpapp02/95/accounting-cycle-powerpoint-presentation-slides-ppt-templates-1-728.jpg?cb=1338577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slidesharecdn.com/accountingcyclepowerpointpresentationslidesppttemplates-120601190445-phpapp02/95/accounting-cycle-powerpoint-presentation-slides-ppt-templates-1-728.jpg?cb=13385775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5DD7" w:rsidRPr="00FB2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C2C"/>
    <w:rsid w:val="003E79E3"/>
    <w:rsid w:val="004D20CD"/>
    <w:rsid w:val="004F45B8"/>
    <w:rsid w:val="007A4C2C"/>
    <w:rsid w:val="00847775"/>
    <w:rsid w:val="009E43D5"/>
    <w:rsid w:val="00A73E73"/>
    <w:rsid w:val="00C27258"/>
    <w:rsid w:val="00CB38A2"/>
    <w:rsid w:val="00E631EC"/>
    <w:rsid w:val="00FB21D1"/>
    <w:rsid w:val="00FC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80320"/>
  <w15:chartTrackingRefBased/>
  <w15:docId w15:val="{DEBFB457-0477-4884-8435-FEF3094E4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0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0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B38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Xiaolong Yang</dc:creator>
  <cp:keywords/>
  <dc:description/>
  <cp:lastModifiedBy>Xiaolong Yang</cp:lastModifiedBy>
  <cp:revision>5</cp:revision>
  <dcterms:created xsi:type="dcterms:W3CDTF">2016-06-14T16:27:00Z</dcterms:created>
  <dcterms:modified xsi:type="dcterms:W3CDTF">2016-06-14T19:47:00Z</dcterms:modified>
</cp:coreProperties>
</file>