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Bold" w:hAnsi="Times New Roman Bold" w:cs="Times New Roman Bold"/>
          <w:b/>
          <w:bCs/>
          <w:sz w:val="40"/>
          <w:szCs w:val="48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40"/>
          <w:szCs w:val="48"/>
          <w:lang w:val="en-US" w:eastAsia="zh-CN"/>
        </w:rPr>
        <w:t>Reference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[1]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Xu, Chen, et al. "P-MMF: Provider Max-min Fairness Re-ranking in Recommender System." Proceedings of the ACM Web Conference 2023. 2023.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[2] Li, Yunqi, et al. "User-oriented fairness in recommendation." Proceedings of the web conference 2021. 2021.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[3]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Fu, Zuohui, et al. "Fairness-aware explainable recommendation over knowledge graphs." Proceedings of the 43rd international ACM SIGIR conference on research and development in information retrieval. 2020.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 Regular" w:hAnsi="Times New Roman Regular" w:cs="Times New Roman Regular" w:eastAsiaTheme="minorEastAsia"/>
          <w:b w:val="0"/>
          <w:bCs w:val="0"/>
          <w:i w:val="0"/>
          <w:iCs w:val="0"/>
          <w:color w:val="222222"/>
          <w:spacing w:val="0"/>
          <w:w w:val="10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[4] Sürer, Özge, Robin Burke, and Edward C. Malthouse. "Multistakeholder recommendation with provider constraints." Proceedings of the 12th ACM Conference on Recommender Systems. 2018.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FA2B9"/>
    <w:rsid w:val="73BFA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131</Characters>
  <Lines>0</Lines>
  <Paragraphs>0</Paragraphs>
  <TotalTime>508</TotalTime>
  <ScaleCrop>false</ScaleCrop>
  <LinksUpToDate>false</LinksUpToDate>
  <CharactersWithSpaces>152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2024-04-10T17:37:00Z</dcterms:created>
  <dc:creator>叶潇芃</dc:creator>
  <cp:lastModifiedBy>叶潇芃</cp:lastModifiedBy>
  <dcterms:modified xsi:type="dcterms:W3CDTF">2024-04-11T20:39:53Z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927A61F9D572C672F35D166634DEF64A_41</vt:lpwstr>
  </property>
</Properties>
</file>