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实拍与AI局部生成混合的VR全景图像</w:t>
      </w:r>
    </w:p>
    <w:p>
      <w:pPr>
        <w:pStyle w:val="Subtitle"/>
      </w:pPr>
      <w:r>
        <w:t>图像与视频质量评价综述阅读报告</w:t>
      </w:r>
    </w:p>
    <w:p>
      <w:pPr>
        <w:pStyle w:val="Subtitle"/>
      </w:pPr>
      <w:r>
        <w:t>shaw chenyu  上海大学  电子信息</w:t>
        <w:br/>
        <w:t>修订日期 2026年10月10日</w:t>
      </w:r>
    </w:p>
    <w:p>
      <w:r>
        <w:t>2026 年 10 月 10 日修订。本报告中的“混合”指同一张图像同时包含保留的实拍内容和 AI 替换或补全的内容。例如，保留人物而替换背景，或保留全景的一部分、用 AI 补全其余部分。数据库同时收录实拍图和纯生成图，可以作为对照设置，但不是我的研究对象的完整定义。</w:t>
      </w:r>
    </w:p>
    <w:p>
      <w:r>
        <w:t>我的主要收获是：当前课题需要同时考虑局部画质、实拍与生成区域的协调，以及球面观看条件。两篇综述提供感知评价、主观实验和球面建模的基础；具体的混合图像建库与算法方案，是我基于这些基础提出的待验证思路。</w:t>
      </w:r>
    </w:p>
    <w:p>
      <w:r>
        <w:t>本报告以静态 360° 全景图像质量评价为主，视频综述用于补充主观评价、观看过程和任务边界。文献 A 发表于 2020 年，文献 B 发表于 2024 年，本文不把两篇综述当作当前全部最新方法的排名。文中的 [A]、[B] 对应两篇原文，p. 表示从 1 开始的 PDF 页序。</w:t>
      </w:r>
    </w:p>
    <w:p>
      <w:pPr>
        <w:pStyle w:val="Heading1"/>
      </w:pPr>
      <w:r>
        <w:t>1 文献信息与阅读目标</w:t>
      </w:r>
    </w:p>
    <w:p>
      <w:r>
        <w:rPr>
          <w:b/>
        </w:rPr>
        <w:t>文献 A</w:t>
      </w:r>
      <w:r>
        <w:t xml:space="preserve">：Guangtao Zhai, Xiongkuo Min. </w:t>
      </w:r>
      <w:r>
        <w:rPr>
          <w:i/>
        </w:rPr>
        <w:t>Perceptual image quality assessment: a survey</w:t>
      </w:r>
      <w:r>
        <w:t>. Science China Information Sciences, 2020, 63: 211301，共 52 页。DOI：</w:t>
      </w:r>
      <w:hyperlink r:id="rId9">
        <w:r>
          <w:rPr>
            <w:color w:val="32624D"/>
          </w:rPr>
          <w:t>10.1007/s11432-019-2757-1</w:t>
        </w:r>
      </w:hyperlink>
      <w:r>
        <w:t>。DOI 中的年份不等于正式发表年份。</w:t>
      </w:r>
    </w:p>
    <w:p>
      <w:r>
        <w:rPr>
          <w:b/>
        </w:rPr>
        <w:t>文献 B</w:t>
      </w:r>
      <w:r>
        <w:t xml:space="preserve">：Xiongkuo Min, Huiyu Duan, Wei Sun, Yucheng Zhu, Guangtao Zhai. </w:t>
      </w:r>
      <w:r>
        <w:rPr>
          <w:i/>
        </w:rPr>
        <w:t>Perceptual video quality assessment: a survey</w:t>
      </w:r>
      <w:r>
        <w:t>. Science China Information Sciences, 2024, 67: 211301，共 57 页。DOI：</w:t>
      </w:r>
      <w:hyperlink r:id="rId10">
        <w:r>
          <w:rPr>
            <w:color w:val="32624D"/>
          </w:rPr>
          <w:t>10.1007/s11432-024-4133-3</w:t>
        </w:r>
      </w:hyperlink>
      <w:r>
        <w:t>。</w:t>
      </w:r>
    </w:p>
    <w:p>
      <w:r>
        <w:t>文献 A 按主观数据库、FR／RR／NR 客观方法、新兴应用和性能评价组织 IQA 知识；文献 B 梳理主观实验、通用 VQA、特定应用和评测问题。我的阅读重点是 A 的空间感知与 VR IQA，以及 B 的主观流程和 VR 观看条件。[A §1—5；B §1—5]</w:t>
      </w:r>
    </w:p>
    <w:p>
      <w:r>
        <w:t>导师所说的“混合”已经明确为单张图像内部的实拍与 AI 生成内容共存。我据此将阅读问题调整为：一幅图里哪些区域来自实拍、哪些经过生成，编辑边界是否协调，局部缺陷如何影响整幅全景的质量，以及怎样得到可信的主观标签。</w:t>
      </w:r>
    </w:p>
    <w:p>
      <w:r>
        <w:t>“保留一半、补全一半”是一个具体例子，不意味着数据库只能使用 50% 编辑比例。可以研究不同编辑面积、位置和操作，但需要记录真实的编辑过程，不能仅依据成图外观猜测来源。</w:t>
      </w:r>
    </w:p>
    <w:p>
      <w:pPr>
        <w:pStyle w:val="Heading1"/>
      </w:pPr>
      <w:r>
        <w:t>2 阅读后形成的核心认识</w:t>
      </w:r>
    </w:p>
    <w:p>
      <w:r>
        <w:rPr>
          <w:b/>
        </w:rPr>
        <w:t>质量评价的目标需要先定义。</w:t>
      </w:r>
      <w:r>
        <w:t xml:space="preserve"> 我的主要目标是预测统一 VR 观看条件下的整体感知画质。自然性、空间合理性和编辑融合质量可以先作为辅助维度试评；是否分别保留标签，要由预实验决定。审美、提示词匹配、沉浸感与画质之间有联系，但不能随意合并成一个分数。[A §2、§4.12；B §2.1]</w:t>
      </w:r>
    </w:p>
    <w:p>
      <w:r>
        <w:rPr>
          <w:b/>
        </w:rPr>
        <w:t>混合发生在一幅图像内部。</w:t>
      </w:r>
      <w:r>
        <w:t xml:space="preserve"> 实拍区域可能已有噪声、模糊、曝光或拼接问题；生成区域可能有结构、纹理和几何错误；两者相邻时，还可能发生边缘残留、光照冲突、透视不一致与风格突变。这些是需要检查的候选缺陷，不能认为每幅混合图都存在，也不能把 AI 编辑比例直接当作质量高低。</w:t>
      </w:r>
    </w:p>
    <w:p>
      <w:r>
        <w:rPr>
          <w:b/>
        </w:rPr>
        <w:t>局部画质好，不保证整体协调。</w:t>
      </w:r>
      <w:r>
        <w:t xml:space="preserve"> 一块生成背景单独看可以清晰自然，但放回实拍前景后，光源方向、尺度或遮挡关系可能不合理。因此，我需要分别观察生成区域、保留区域和跨区域关系，再研究整图汇总，而不是简单给两块各算一分后平均。</w:t>
      </w:r>
    </w:p>
    <w:p>
      <w:r>
        <w:rPr>
          <w:b/>
        </w:rPr>
        <w:t>全景增加了几何与观看问题。</w:t>
      </w:r>
      <w:r>
        <w:t xml:space="preserve"> ERP 的上下位置对应不同球面面积，左右边缘在球面上相邻。局部生成要同时检查编辑区域的内部边界和全景经度环绕边界。视口决定实际可见内容，但面积权重不等于观看概率。[A §4.11，p.33—34；B §4.4，p.32—35]</w:t>
      </w:r>
    </w:p>
    <w:p>
      <w:r>
        <w:rPr>
          <w:b/>
        </w:rPr>
        <w:t>原始实拍全景不自动等于完整参考答案。</w:t>
      </w:r>
      <w:r>
        <w:t xml:space="preserve"> 背景替换或开放式补全允许产生不同于原场景的合理内容。整图 PSNR 低可能只是内容发生了预期改变，不能直接推出感知质量差。参考指标适用于内容应保持一致的保真子任务，或已有明确目标图像的重建任务。</w:t>
      </w:r>
    </w:p>
    <w:p>
      <w:pPr>
        <w:pStyle w:val="Heading1"/>
      </w:pPr>
      <w:r>
        <w:t>3 入门概念与单张图像内的混合定义</w:t>
      </w:r>
    </w:p>
    <w:tbl>
      <w:tblPr>
        <w:tblW w:type="auto" w:w="0"/>
        <w:jc w:val="center"/>
        <w:tblLayout w:type="fixed"/>
        <w:tblLook w:firstColumn="1" w:firstRow="1" w:lastColumn="0" w:lastRow="0" w:noHBand="0" w:noVBand="1" w:val="04A0"/>
      </w:tblPr>
      <w:tblGrid>
        <w:gridCol w:w="1699"/>
        <w:gridCol w:w="3168"/>
        <w:gridCol w:w="5126"/>
      </w:tblGrid>
      <w:tr>
        <w:trPr>
          <w:cantSplit/>
          <w:tblHeader/>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概念</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通俗解释</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在本课题中的作用</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IQA／VQA</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图像／视频质量评价</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以静态全景 IQA 为主，吸收 VQA 的实验与观看思想</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UGC／AIGC</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用户生成内容／AI 生成内容</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此处以真实拍摄全景作为 UGC 起点；AI 编辑区域构成 AIGC 部分</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局部生成或编辑</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只在指定区域替换、重绘或补全</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形成单幅图内的真实与生成内容共存</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Inpainting／Outpainting</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指定区域补全／向已有画面之外扩展</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是候选生成操作；方法是否适合全景需要另外验证</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编辑掩膜 M</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指明计划编辑位置的图像</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约定 M=1 为计划编辑，M=0 为计划保留；工具约定需核对</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内容组与处理链</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同一原始场景及其全部派生版本</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追溯生成条件，防止训练测试数据泄漏</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FR／RR／NR</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完整参考／有限参考信息／无参考</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描述评分时可用信息，与 AIGC／UGC 来源分类不同</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MOS／DMOS</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主观平均分／差分主观分</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标签方向与具体定义需要核对，模型分数不等于 MOS</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HVS／NSS</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人类视觉系统／自然场景统计</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提供感知机制和统计建模的基础</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ERP／视口</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球面展开格式／某个朝向实际看到的局部画面</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连接全景存储与头显观看</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HM／EM／QoE</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头动／眼动／体验质量</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辅助理解观看；画质不代表全部体验</w:t>
            </w:r>
          </w:p>
        </w:tc>
      </w:tr>
    </w:tbl>
    <w:p>
      <w:pPr>
        <w:spacing w:after="0"/>
      </w:pPr>
    </w:p>
    <w:p>
      <w:pPr>
        <w:keepNext/>
      </w:pPr>
      <w:r>
        <w:drawing>
          <wp:inline xmlns:a="http://schemas.openxmlformats.org/drawingml/2006/main" xmlns:pic="http://schemas.openxmlformats.org/drawingml/2006/picture">
            <wp:extent cx="6309360" cy="2663952"/>
            <wp:docPr id="1" name="Picture 1" descr="图 1 单幅实拍全景局部 AI 编辑及两类边界的概念示意" title="混合全景图像编辑示意"/>
            <wp:cNvGraphicFramePr>
              <a:graphicFrameLocks noChangeAspect="1"/>
            </wp:cNvGraphicFramePr>
            <a:graphic>
              <a:graphicData uri="http://schemas.openxmlformats.org/drawingml/2006/picture">
                <pic:pic>
                  <pic:nvPicPr>
                    <pic:cNvPr id="0" name="mixed-vr-workflow.png"/>
                    <pic:cNvPicPr/>
                  </pic:nvPicPr>
                  <pic:blipFill>
                    <a:blip r:embed="rId11"/>
                    <a:stretch>
                      <a:fillRect/>
                    </a:stretch>
                  </pic:blipFill>
                  <pic:spPr>
                    <a:xfrm>
                      <a:off x="0" y="0"/>
                      <a:ext cx="6309360" cy="2663952"/>
                    </a:xfrm>
                    <a:prstGeom prst="rect"/>
                  </pic:spPr>
                </pic:pic>
              </a:graphicData>
            </a:graphic>
          </wp:inline>
        </w:drawing>
      </w:r>
    </w:p>
    <w:p>
      <w:pPr>
        <w:pStyle w:val="Caption"/>
      </w:pPr>
      <w:r>
        <w:t>图 1 为概念示意，不是实际生成样本。蓝色表示计划保留的实拍区域，绿色表示 AI 编辑区域。橙色是两者之间的编辑边界，红色标出在球面上相接的 ERP 左右边界；两个问题需要分别检查。</w:t>
      </w:r>
    </w:p>
    <w:p>
      <w:r>
        <w:t>对理想的硬掩膜合成，可以理解为：掩膜外取实拍像素，掩膜内取生成像素。实际工具可能使用羽化、融合、缩放或全局颜色调整，所以“计划保留”并不保证所有像素完全不变。我需要分别保存计划掩膜、可获得的融合参数和输出变化检查结果。</w:t>
      </w:r>
    </w:p>
    <w:p>
      <w:r>
        <w:rPr>
          <w:b/>
        </w:rPr>
        <w:t>编辑比例应说明计量空间。</w:t>
      </w:r>
      <w:r>
        <w:t xml:space="preserve"> 在 ERP 上统计被编辑像素的比例，不一定等于被编辑的球面面积比例；使用余弦纬度权重可以得到对应的球面面积近似。在预实验中，我会同时记录 ERP 比例与球面比例，并核对跨边界区域。</w:t>
      </w:r>
    </w:p>
    <w:p>
      <w:r>
        <w:rPr>
          <w:b/>
        </w:rPr>
        <w:t>算法输入也要区分。</w:t>
      </w:r>
      <w:r>
        <w:t xml:space="preserve"> 基础 NR 模型只读取混合后的图片。若额外提供编辑掩膜，应作为“图像加掩膜”的辅助信息设置单独比较；若使用原始实拍图或真实观看轨迹，也需要明确增加了哪些输入，不能统称为相同条件的盲评价。</w:t>
      </w:r>
    </w:p>
    <w:p>
      <w:pPr>
        <w:pStyle w:val="Heading1"/>
      </w:pPr>
      <w:r>
        <w:t>4 文献 A 图像质量评价的知识框架</w:t>
      </w:r>
    </w:p>
    <w:p>
      <w:pPr>
        <w:pStyle w:val="Heading2"/>
      </w:pPr>
      <w:r>
        <w:t>4 1 从像素误差到感知特征</w:t>
      </w:r>
    </w:p>
    <w:p>
      <w:r>
        <w:t xml:space="preserve">设参考图像为 </w:t>
      </w:r>
      <w:r>
        <w:t>R</w:t>
      </w:r>
      <w:r>
        <w:t xml:space="preserve">、待评价图像为 </w:t>
      </w:r>
      <w:r>
        <w:t>D</w:t>
      </w:r>
      <w:r>
        <w:t xml:space="preserve">，尺寸为 </w:t>
      </w:r>
      <w:r>
        <w:t>H× W</w:t>
      </w:r>
      <w:r>
        <w:t xml:space="preserve">，像素峰值为 </w:t>
      </w:r>
      <w:r>
        <w:t>L</w:t>
      </w:r>
      <w:r>
        <w:t>，常见定义为：</w:t>
      </w:r>
    </w:p>
    <w:p>
      <w:pPr>
        <w:spacing w:before="100" w:after="180"/>
        <w:jc w:val="center"/>
      </w:pPr>
      <m:oMath>
        <m:r>
          <m:rPr>
            <m:sty m:val="p"/>
          </m:rPr>
          <m:t>MSE = </m:t>
        </m:r>
        <m:f>
          <m:num>
            <m:r>
              <m:rPr>
                <m:sty m:val="p"/>
              </m:rPr>
              <m:t>1</m:t>
            </m:r>
          </m:num>
          <m:den>
            <m:r>
              <m:rPr>
                <m:sty m:val="p"/>
              </m:rPr>
              <m:t>HW</m:t>
            </m:r>
          </m:den>
        </m:f>
        <m:nary>
          <m:naryPr>
            <m:chr m:val="∑"/>
            <m:limLoc m:val="subSup"/>
          </m:naryPr>
          <m:sub>
            <m:r>
              <m:rPr>
                <m:sty m:val="p"/>
              </m:rPr>
              <m:t>j=0</m:t>
            </m:r>
          </m:sub>
          <m:sup>
            <m:r>
              <m:rPr>
                <m:sty m:val="p"/>
              </m:rPr>
              <m:t>H−1</m:t>
            </m:r>
          </m:sup>
          <m:e>
            <m:nary>
              <m:naryPr>
                <m:chr m:val="∑"/>
                <m:limLoc m:val="subSup"/>
              </m:naryPr>
              <m:sub>
                <m:r>
                  <m:rPr>
                    <m:sty m:val="p"/>
                  </m:rPr>
                  <m:t>i=0</m:t>
                </m:r>
              </m:sub>
              <m:sup>
                <m:r>
                  <m:rPr>
                    <m:sty m:val="p"/>
                  </m:rPr>
                  <m:t>W−1</m:t>
                </m:r>
              </m:sup>
              <m:e>
                <m:sSup>
                  <m:e>
                    <m:r>
                      <m:rPr>
                        <m:sty m:val="p"/>
                      </m:rPr>
                      <m:t>(</m:t>
                    </m:r>
                    <m:sSub>
                      <m:e>
                        <m:r>
                          <m:rPr>
                            <m:sty m:val="p"/>
                          </m:rPr>
                          <m:t>R</m:t>
                        </m:r>
                      </m:e>
                      <m:sub>
                        <m:r>
                          <m:rPr>
                            <m:sty m:val="p"/>
                          </m:rPr>
                          <m:t>ji</m:t>
                        </m:r>
                      </m:sub>
                    </m:sSub>
                    <m:r>
                      <m:rPr>
                        <m:sty m:val="p"/>
                      </m:rPr>
                      <m:t> − </m:t>
                    </m:r>
                    <m:sSub>
                      <m:e>
                        <m:r>
                          <m:rPr>
                            <m:sty m:val="p"/>
                          </m:rPr>
                          <m:t>D</m:t>
                        </m:r>
                      </m:e>
                      <m:sub>
                        <m:r>
                          <m:rPr>
                            <m:sty m:val="p"/>
                          </m:rPr>
                          <m:t>ji</m:t>
                        </m:r>
                      </m:sub>
                    </m:sSub>
                    <m:r>
                      <m:rPr>
                        <m:sty m:val="p"/>
                      </m:rPr>
                      <m:t>)</m:t>
                    </m:r>
                  </m:e>
                  <m:sup>
                    <m:r>
                      <m:rPr>
                        <m:sty m:val="p"/>
                      </m:rPr>
                      <m:t>2</m:t>
                    </m:r>
                  </m:sup>
                </m:sSup>
              </m:e>
            </m:nary>
          </m:e>
        </m:nary>
      </m:oMath>
    </w:p>
    <w:p>
      <w:pPr>
        <w:spacing w:before="100" w:after="180"/>
        <w:jc w:val="center"/>
      </w:pPr>
      <m:oMath>
        <m:r>
          <m:rPr>
            <m:sty m:val="p"/>
          </m:rPr>
          <m:t>PSNR = 10 </m:t>
        </m:r>
        <m:sSub>
          <m:e>
            <m:r>
              <m:rPr>
                <m:sty m:val="p"/>
              </m:rPr>
              <m:t>log</m:t>
            </m:r>
          </m:e>
          <m:sub>
            <m:r>
              <m:rPr>
                <m:sty m:val="p"/>
              </m:rPr>
              <m:t>10</m:t>
            </m:r>
          </m:sub>
        </m:sSub>
        <m:r>
          <m:rPr>
            <m:sty m:val="p"/>
          </m:rPr>
          <m:t>(</m:t>
        </m:r>
        <m:f>
          <m:num>
            <m:sSup>
              <m:e>
                <m:r>
                  <m:rPr>
                    <m:sty m:val="p"/>
                  </m:rPr>
                  <m:t>L</m:t>
                </m:r>
              </m:e>
              <m:sup>
                <m:r>
                  <m:rPr>
                    <m:sty m:val="p"/>
                  </m:rPr>
                  <m:t>2</m:t>
                </m:r>
              </m:sup>
            </m:sSup>
          </m:num>
          <m:den>
            <m:r>
              <m:rPr>
                <m:sty m:val="p"/>
              </m:rPr>
              <m:t>MSE</m:t>
            </m:r>
          </m:den>
        </m:f>
        <m:r>
          <m:rPr>
            <m:sty m:val="p"/>
          </m:rPr>
          <m:t>)</m:t>
        </m:r>
      </m:oMath>
    </w:p>
    <w:p>
      <w:r>
        <w:t xml:space="preserve">MSE 越小、PSNR 越大通常表示误差越小；两图完全相同时，PSNR 为无穷大。实现时需要统一像素范围、通道和预处理，例如 8 bit 数据取 </w:t>
      </w:r>
      <w:r>
        <w:t>L=255</w:t>
      </w:r>
      <w:r>
        <w:t xml:space="preserve">，归一化数据取 </w:t>
      </w:r>
      <w:r>
        <w:t>L=1</w:t>
      </w:r>
      <w:r>
        <w:t>。PSNR 对每个像素采用统一误差度量，不能充分表达结构损失与视觉掩蔽等感知现象。[A §3.1.1，p.9-11]</w:t>
      </w:r>
    </w:p>
    <w:p>
      <w:r>
        <w:t>SSIM 则比较局部亮度、对比度和结构。其常见简化形式为：</w:t>
      </w:r>
    </w:p>
    <w:p>
      <w:pPr>
        <w:spacing w:before="100" w:after="180"/>
        <w:jc w:val="center"/>
      </w:pPr>
      <m:oMath>
        <m:r>
          <m:rPr>
            <m:sty m:val="p"/>
          </m:rPr>
          <m:t>SSIM(R,D) = </m:t>
        </m:r>
        <m:f>
          <m:num>
            <m:r>
              <m:rPr>
                <m:sty m:val="p"/>
              </m:rPr>
              <m:t>(</m:t>
            </m:r>
            <m:r>
              <m:rPr>
                <m:sty m:val="p"/>
              </m:rPr>
              <m:t>2</m:t>
            </m:r>
            <m:sSub>
              <m:e>
                <m:r>
                  <m:rPr>
                    <m:sty m:val="p"/>
                  </m:rPr>
                  <m:t>μ</m:t>
                </m:r>
              </m:e>
              <m:sub>
                <m:r>
                  <m:rPr>
                    <m:sty m:val="p"/>
                  </m:rPr>
                  <m:t>R</m:t>
                </m:r>
              </m:sub>
            </m:sSub>
            <m:sSub>
              <m:e>
                <m:r>
                  <m:rPr>
                    <m:sty m:val="p"/>
                  </m:rPr>
                  <m:t>μ</m:t>
                </m:r>
              </m:e>
              <m:sub>
                <m:r>
                  <m:rPr>
                    <m:sty m:val="p"/>
                  </m:rPr>
                  <m:t>D</m:t>
                </m:r>
              </m:sub>
            </m:sSub>
            <m:r>
              <m:rPr>
                <m:sty m:val="p"/>
              </m:rPr>
              <m:t> + </m:t>
            </m:r>
            <m:sSub>
              <m:e>
                <m:r>
                  <m:rPr>
                    <m:sty m:val="p"/>
                  </m:rPr>
                  <m:t>C</m:t>
                </m:r>
              </m:e>
              <m:sub>
                <m:r>
                  <m:rPr>
                    <m:sty m:val="p"/>
                  </m:rPr>
                  <m:t>1</m:t>
                </m:r>
              </m:sub>
            </m:sSub>
            <m:r>
              <m:rPr>
                <m:sty m:val="p"/>
              </m:rPr>
              <m:t>)(</m:t>
            </m:r>
            <m:r>
              <m:rPr>
                <m:sty m:val="p"/>
              </m:rPr>
              <m:t>2</m:t>
            </m:r>
            <m:sSub>
              <m:e>
                <m:r>
                  <m:rPr>
                    <m:sty m:val="p"/>
                  </m:rPr>
                  <m:t>σ</m:t>
                </m:r>
              </m:e>
              <m:sub>
                <m:r>
                  <m:rPr>
                    <m:sty m:val="p"/>
                  </m:rPr>
                  <m:t>RD</m:t>
                </m:r>
              </m:sub>
            </m:sSub>
            <m:r>
              <m:rPr>
                <m:sty m:val="p"/>
              </m:rPr>
              <m:t> + </m:t>
            </m:r>
            <m:sSub>
              <m:e>
                <m:r>
                  <m:rPr>
                    <m:sty m:val="p"/>
                  </m:rPr>
                  <m:t>C</m:t>
                </m:r>
              </m:e>
              <m:sub>
                <m:r>
                  <m:rPr>
                    <m:sty m:val="p"/>
                  </m:rPr>
                  <m:t>2</m:t>
                </m:r>
              </m:sub>
            </m:sSub>
            <m:r>
              <m:rPr>
                <m:sty m:val="p"/>
              </m:rPr>
              <m:t>)</m:t>
            </m:r>
          </m:num>
          <m:den>
            <m:r>
              <m:rPr>
                <m:sty m:val="p"/>
              </m:rPr>
              <m:t>(</m:t>
            </m:r>
            <m:sSubSup>
              <m:e>
                <m:r>
                  <m:rPr>
                    <m:sty m:val="p"/>
                  </m:rPr>
                  <m:t>μ</m:t>
                </m:r>
              </m:e>
              <m:sub>
                <m:r>
                  <m:rPr>
                    <m:sty m:val="p"/>
                  </m:rPr>
                  <m:t>R</m:t>
                </m:r>
              </m:sub>
              <m:sup>
                <m:r>
                  <m:rPr>
                    <m:sty m:val="p"/>
                  </m:rPr>
                  <m:t>2</m:t>
                </m:r>
              </m:sup>
            </m:sSubSup>
            <m:r>
              <m:rPr>
                <m:sty m:val="p"/>
              </m:rPr>
              <m:t> + </m:t>
            </m:r>
            <m:sSubSup>
              <m:e>
                <m:r>
                  <m:rPr>
                    <m:sty m:val="p"/>
                  </m:rPr>
                  <m:t>μ</m:t>
                </m:r>
              </m:e>
              <m:sub>
                <m:r>
                  <m:rPr>
                    <m:sty m:val="p"/>
                  </m:rPr>
                  <m:t>D</m:t>
                </m:r>
              </m:sub>
              <m:sup>
                <m:r>
                  <m:rPr>
                    <m:sty m:val="p"/>
                  </m:rPr>
                  <m:t>2</m:t>
                </m:r>
              </m:sup>
            </m:sSubSup>
            <m:r>
              <m:rPr>
                <m:sty m:val="p"/>
              </m:rPr>
              <m:t> + </m:t>
            </m:r>
            <m:sSub>
              <m:e>
                <m:r>
                  <m:rPr>
                    <m:sty m:val="p"/>
                  </m:rPr>
                  <m:t>C</m:t>
                </m:r>
              </m:e>
              <m:sub>
                <m:r>
                  <m:rPr>
                    <m:sty m:val="p"/>
                  </m:rPr>
                  <m:t>1</m:t>
                </m:r>
              </m:sub>
            </m:sSub>
            <m:r>
              <m:rPr>
                <m:sty m:val="p"/>
              </m:rPr>
              <m:t>)(</m:t>
            </m:r>
            <m:sSubSup>
              <m:e>
                <m:r>
                  <m:rPr>
                    <m:sty m:val="p"/>
                  </m:rPr>
                  <m:t>σ</m:t>
                </m:r>
              </m:e>
              <m:sub>
                <m:r>
                  <m:rPr>
                    <m:sty m:val="p"/>
                  </m:rPr>
                  <m:t>R</m:t>
                </m:r>
              </m:sub>
              <m:sup>
                <m:r>
                  <m:rPr>
                    <m:sty m:val="p"/>
                  </m:rPr>
                  <m:t>2</m:t>
                </m:r>
              </m:sup>
            </m:sSubSup>
            <m:r>
              <m:rPr>
                <m:sty m:val="p"/>
              </m:rPr>
              <m:t> + </m:t>
            </m:r>
            <m:sSubSup>
              <m:e>
                <m:r>
                  <m:rPr>
                    <m:sty m:val="p"/>
                  </m:rPr>
                  <m:t>σ</m:t>
                </m:r>
              </m:e>
              <m:sub>
                <m:r>
                  <m:rPr>
                    <m:sty m:val="p"/>
                  </m:rPr>
                  <m:t>D</m:t>
                </m:r>
              </m:sub>
              <m:sup>
                <m:r>
                  <m:rPr>
                    <m:sty m:val="p"/>
                  </m:rPr>
                  <m:t>2</m:t>
                </m:r>
              </m:sup>
            </m:sSubSup>
            <m:r>
              <m:rPr>
                <m:sty m:val="p"/>
              </m:rPr>
              <m:t> + </m:t>
            </m:r>
            <m:sSub>
              <m:e>
                <m:r>
                  <m:rPr>
                    <m:sty m:val="p"/>
                  </m:rPr>
                  <m:t>C</m:t>
                </m:r>
              </m:e>
              <m:sub>
                <m:r>
                  <m:rPr>
                    <m:sty m:val="p"/>
                  </m:rPr>
                  <m:t>2</m:t>
                </m:r>
              </m:sub>
            </m:sSub>
            <m:r>
              <m:rPr>
                <m:sty m:val="p"/>
              </m:rPr>
              <m:t>)</m:t>
            </m:r>
          </m:den>
        </m:f>
      </m:oMath>
    </w:p>
    <w:p>
      <w:r>
        <w:t>这里的均值、方差和协方差在局部窗口计算；窗口结果再汇总为整体分数。理解 SSIM 时，应同时记录窗口设置、颜色处理和汇总方式，避免只有同名指标却没有相同实现。[A §3.1.1，p.10-11]</w:t>
      </w:r>
    </w:p>
    <w:tbl>
      <w:tblPr>
        <w:tblW w:type="auto" w:w="0"/>
        <w:jc w:val="center"/>
        <w:tblLayout w:type="fixed"/>
        <w:tblLook w:firstColumn="1" w:firstRow="1" w:lastColumn="0" w:lastRow="0" w:noHBand="0" w:noVBand="1" w:val="04A0"/>
      </w:tblPr>
      <w:tblGrid>
        <w:gridCol w:w="1469"/>
        <w:gridCol w:w="2261"/>
        <w:gridCol w:w="3053"/>
        <w:gridCol w:w="3211"/>
      </w:tblGrid>
      <w:tr>
        <w:trPr>
          <w:cantSplit/>
          <w:tblHeader/>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方法</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类型</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主要思想</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入门时应注意的边界</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PSNR</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FR</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根据像素均方误差衡量失真</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误差小不必然意味着视觉质量排序正确</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SSIM / MS-SSIM</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FR</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局部结构比较 / 多尺度结构比较</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仍依赖配准、尺度及实现参数</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FSIM</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FR</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相位一致性与梯度等特征</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特征设计有感知动机，不等于覆盖全部视觉机制</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VIF</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FR</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自然图像统计与视觉信道中的信息保真</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需要理解统计假设及信息量建模</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GMSD</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FR</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梯度幅值相似图的标准差</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通常分数越低越好，不要统一假设所有 FR 分数越大越好</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BRISQUE</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NR</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空间自然统计特征与回归</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通常需要主观标签训练质量回归器</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NIQE</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NR</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与高质量自然图像统计模型的偏离</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不使用主观评分训练，但仍使用先验统计模型；通常越低越好</w:t>
            </w:r>
          </w:p>
        </w:tc>
      </w:tr>
    </w:tbl>
    <w:p>
      <w:pPr>
        <w:spacing w:after="0"/>
      </w:pPr>
    </w:p>
    <w:p>
      <w:r>
        <w:t>这些方法的意义在于展示不同的建模路线，而不是给出一张永远有效的性能排序表。[A §3.1-3.3，p.9-22]</w:t>
      </w:r>
    </w:p>
    <w:p>
      <w:pPr>
        <w:pStyle w:val="Heading2"/>
      </w:pPr>
      <w:r>
        <w:t>4 2 无参考方法如何获得质量信息</w:t>
      </w:r>
    </w:p>
    <w:p>
      <w:r>
        <w:t>自然场景统计方法利用一个假设：自然图像具有某些统计规律，失真会改变这些规律。BRISQUE 对局部归一化亮度系数及其邻域关系建模，再学习统计特征与质量分数之间的映射；NIQE 用高质量自然图像形成统计模型，并根据待评价内容的偏离程度给分。[A §3.3.2，p.18]</w:t>
      </w:r>
    </w:p>
    <w:p>
      <w:r>
        <w:t>深度方法进一步学习质量特征及汇总方式，但需要注意标签粒度。一幅图像只有一个 MOS 时，不能自然地认定每个图像块都具有相同的局部主观质量。图像块采样、全局汇总和标签使用方式都属于模型设计的一部分。[A §3.3.2]</w:t>
      </w:r>
    </w:p>
    <w:p>
      <w:r>
        <w:t>我的理解是：NSS 提供了“自然图像规律与失真偏离”的建模路线，但生成图像在统计上偏离实拍内容，不必然意味着人觉得它更差。对同一幅混合图像，需要检查统计假设在保留区域、生成区域及其边界是否适用，不能只用 NIQE 等模型分数为 AI 编辑结果批量生成主观真值。先完成可靠基线，再讨论特征、采样和数据的贡献。</w:t>
      </w:r>
    </w:p>
    <w:p>
      <w:pPr>
        <w:pStyle w:val="Heading2"/>
      </w:pPr>
      <w:r>
        <w:t>4 3 对 360度 方向最直接的启发</w:t>
      </w:r>
    </w:p>
    <w:p>
      <w:r>
        <w:t xml:space="preserve">文献 A 的 VR 小节介绍了球面质量指标、观看行为和视口建模。MC360IQA 是一个针对 </w:t>
      </w:r>
      <w:r>
        <w:rPr>
          <w:b/>
        </w:rPr>
        <w:t>360° 图像的无参考方法</w:t>
      </w:r>
      <w:r>
        <w:t>，通过六个视口及多通道卷积网络提取、融合质量信息。它说明全景 IQA 可以通过局部视口表示处理，但不能把它直接描述成具有时间建模能力的视频方法。[A §4.11，p.33-34]</w:t>
      </w:r>
    </w:p>
    <w:p>
      <w:r>
        <w:t>视觉显著性值得关注，但“加入显著性一定提高质量预测”并不成立。失真可能改变注视位置；自由观看和质量评分任务的注意分配也可能不同。把显著性图作为质量权重时，应明确它来自真实眼动、模型预测还是其他假设。[A §4.2，p.26-27]</w:t>
      </w:r>
    </w:p>
    <w:p>
      <w:pPr>
        <w:pStyle w:val="Heading1"/>
      </w:pPr>
      <w:r>
        <w:t>5 文献 B 把时间和应用条件加入评价</w:t>
      </w:r>
    </w:p>
    <w:p>
      <w:pPr>
        <w:pStyle w:val="Heading2"/>
      </w:pPr>
      <w:r>
        <w:t>5 1 视频不能只看单帧</w:t>
      </w:r>
    </w:p>
    <w:p>
      <w:r>
        <w:t>视频包含运动、时间冗余和时间失真。空间清晰度相似的两段视频，可能由于闪烁、抖动或连续低质量片段而得到不同的整体评分。综述讨论了时空特征以及时间汇总方法，包括对差质量片段、质量变化和记忆效应的处理。[B §3.1，p.15-19；§3.3，p.20-26]</w:t>
      </w:r>
    </w:p>
    <w:p>
      <w:r>
        <w:t>MOVIE 等方法将时空滤波和运动信息纳入比较。VMAF 则是全参考的特征融合路线，结合感知特征和学习得到的质量映射；不能因为它使用学习机制，就将它归为无参考方法或直接认定适用于所有 VR 场景。[B §3.1]</w:t>
      </w:r>
    </w:p>
    <w:p>
      <w:pPr>
        <w:pStyle w:val="Heading2"/>
      </w:pPr>
      <w:r>
        <w:t>5 2 学习方法 关注输入、时间机制和监督来源</w:t>
      </w:r>
    </w:p>
    <w:p>
      <w:r>
        <w:t>VSFA 使用深度空间特征、循环网络和与时间记忆相关的汇总机制；FAST-VQA 通过片段式采样及视频网络处理效率与细节信息问题；其他方法从空间与运动特征、技术质量与审美质量等角度建模。[B §3.3.2，p.21-26]</w:t>
      </w:r>
    </w:p>
    <w:p>
      <w:r>
        <w:t>阅读此类论文时，可以固定检查五项内容：输入是完整视频还是采样片段；空间特征是否来自预训练模型；运动特征如何计算；时间上如何汇总；哪些环节使用 MOS。网络名称本身不能解释性能，更不能说明它是否适合全景投影。</w:t>
      </w:r>
    </w:p>
    <w:p>
      <w:r>
        <w:t>综述还介绍自监督学习。它可以利用失真类型、失真程度或对比关系学习表示，但后续质量映射可能仍需要 MOS。应分别说明预训练和质量预测阶段的监督来源。[B §3.3.2]</w:t>
      </w:r>
    </w:p>
    <w:p>
      <w:pPr>
        <w:pStyle w:val="Heading2"/>
      </w:pPr>
      <w:r>
        <w:t>5 3 VR 章节中的方法需要逐一检查任务</w:t>
      </w:r>
    </w:p>
    <w:p>
      <w:r>
        <w:t xml:space="preserve">V-CNN 是面向 </w:t>
      </w:r>
      <w:r>
        <w:rPr>
          <w:b/>
        </w:rPr>
        <w:t>360° 视频的全参考方法</w:t>
      </w:r>
      <w:r>
        <w:t xml:space="preserve">，通过视口相关建模及辅助任务学习质量；ProVQA 是面向 </w:t>
      </w:r>
      <w:r>
        <w:rPr>
          <w:b/>
        </w:rPr>
        <w:t>360° 视频的无参考方法</w:t>
      </w:r>
      <w:r>
        <w:t>，从空间、运动和多帧时间关系逐步提取质量信息。[B §4.4，p.32-35]</w:t>
      </w:r>
    </w:p>
    <w:p>
      <w:r>
        <w:t xml:space="preserve">文献 B 的 VR 章节也介绍了若干 360° </w:t>
      </w:r>
      <w:r>
        <w:rPr>
          <w:b/>
        </w:rPr>
        <w:t>图像</w:t>
      </w:r>
      <w:r>
        <w:t>方法。这提醒我：不能仅根据“出现于视频综述”就判断方法输入是视频。后续建立文献表时，需要单独列出图像 / 视频、FR / NR、是否利用观看轨迹、是否具有时间建模四列。</w:t>
      </w:r>
    </w:p>
    <w:p>
      <w:pPr>
        <w:pStyle w:val="Heading1"/>
      </w:pPr>
      <w:r>
        <w:t>6 两篇综述如何服务于我的混合全景课题</w:t>
      </w:r>
    </w:p>
    <w:tbl>
      <w:tblPr>
        <w:tblW w:type="auto" w:w="0"/>
        <w:jc w:val="center"/>
        <w:tblLayout w:type="fixed"/>
        <w:tblLook w:firstColumn="1" w:firstRow="1" w:lastColumn="0" w:lastRow="0" w:noHBand="0" w:noVBand="1" w:val="04A0"/>
      </w:tblPr>
      <w:tblGrid>
        <w:gridCol w:w="1469"/>
        <w:gridCol w:w="2261"/>
        <w:gridCol w:w="3053"/>
        <w:gridCol w:w="3211"/>
      </w:tblGrid>
      <w:tr>
        <w:trPr>
          <w:cantSplit/>
          <w:tblHeader/>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对照维度</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文献 A 提供的基础</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文献 B 提供的补充</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我的研究落点</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评价对象</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空间失真与感知质量</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时空质量与应用条件</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优先研究静态图像，不照搬运动分支</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局部与整体</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结构、统计、局部特征与汇总</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时间变化与整体评分</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检查生成区域与边界是否被整图平均掩盖</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主观标签</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图像数据库及标签</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实验流程、显示与观看条件</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建立统一 VR 展示下的混合图像标签</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球面表示</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VR 图像、六视口与球面指标</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VR 视频、注意与行为</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固定投影、视口与环绕处理</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性能证据</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评价协议与指标</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通用／应用场景评测</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在新数据库上验证，不直接借用综述性能</w:t>
            </w:r>
          </w:p>
        </w:tc>
      </w:tr>
    </w:tbl>
    <w:p>
      <w:pPr>
        <w:spacing w:after="0"/>
      </w:pPr>
    </w:p>
    <w:p>
      <w:r>
        <w:t>我把问题组织为三个层次：生成区域本身是否有质量缺陷，保留区域与生成区域是否协调，以及这些缺陷在球面观看中是否明显。第一个层次联系普通 IQA，第二个联系跨区域一致性，第三个联系 VR 几何与观看行为。</w:t>
      </w:r>
    </w:p>
    <w:p>
      <w:r>
        <w:t>两篇综述没有直接提供我的混合全景建库协议或已验证算法。以下掩膜记录、边界采样和泛化实验，是我结合课题提出的研究设想。生成工具调研与质量评价算法调研相互配合，但二者解决的问题不同。</w:t>
      </w:r>
    </w:p>
    <w:p>
      <w:pPr>
        <w:pStyle w:val="Heading1"/>
      </w:pPr>
      <w:r>
        <w:t>7 混合 VR 图片质量评价的四个关键问题</w:t>
      </w:r>
    </w:p>
    <w:p>
      <w:pPr>
        <w:pStyle w:val="Heading2"/>
      </w:pPr>
      <w:r>
        <w:t>7 1 几何问题 ERP 像素不是等面积球面样本</w:t>
      </w:r>
    </w:p>
    <w:p>
      <w:r>
        <w:t>ERP 中的纬度与垂直坐标对应。越靠近极区，同样数量的像素代表的球面面积越小；直接在 ERP 上均匀计算 MSE，会给予极区相对过大的权重。WS-PSNR 根据球面面积进行加权，S-PSNR 通过球面采样比较，CPP-PSNR 则使用另一种投影进行评价。[B §4.4.1，p.32-33]</w:t>
      </w:r>
    </w:p>
    <w:p>
      <w:r>
        <w:t xml:space="preserve">下面是对 ERP 面积加权的实现理解，适用于尺寸相同、投影一致且已经对齐的参考 / 失真图像。第 </w:t>
      </w:r>
      <w:r>
        <w:t>j</w:t>
      </w:r>
      <w:r>
        <w:t xml:space="preserve"> 行像素中心的纬度及权重可写为：</w:t>
      </w:r>
    </w:p>
    <w:p>
      <w:pPr>
        <w:spacing w:before="100" w:after="180"/>
        <w:jc w:val="center"/>
      </w:pPr>
      <m:oMath>
        <m:sSub>
          <m:e>
            <m:r>
              <m:rPr>
                <m:sty m:val="p"/>
              </m:rPr>
              <m:t>φ</m:t>
            </m:r>
          </m:e>
          <m:sub>
            <m:r>
              <m:rPr>
                <m:sty m:val="p"/>
              </m:rPr>
              <m:t>j</m:t>
            </m:r>
          </m:sub>
        </m:sSub>
        <m:r>
          <m:rPr>
            <m:sty m:val="p"/>
          </m:rPr>
          <m:t> = </m:t>
        </m:r>
        <m:f>
          <m:num>
            <m:r>
              <m:rPr>
                <m:sty m:val="p"/>
              </m:rPr>
              <m:t>π</m:t>
            </m:r>
          </m:num>
          <m:den>
            <m:r>
              <m:rPr>
                <m:sty m:val="p"/>
              </m:rPr>
              <m:t>2</m:t>
            </m:r>
          </m:den>
        </m:f>
        <m:r>
          <m:rPr>
            <m:sty m:val="p"/>
          </m:rPr>
          <m:t> − π</m:t>
        </m:r>
        <m:f>
          <m:num>
            <m:r>
              <m:rPr>
                <m:sty m:val="p"/>
              </m:rPr>
              <m:t>j + 1/2</m:t>
            </m:r>
          </m:num>
          <m:den>
            <m:r>
              <m:rPr>
                <m:sty m:val="p"/>
              </m:rPr>
              <m:t>H</m:t>
            </m:r>
          </m:den>
        </m:f>
      </m:oMath>
    </w:p>
    <w:p>
      <w:pPr>
        <w:spacing w:before="100" w:after="180"/>
        <w:jc w:val="center"/>
      </w:pPr>
      <m:oMath>
        <m:sSub>
          <m:e>
            <m:r>
              <m:rPr>
                <m:sty m:val="p"/>
              </m:rPr>
              <m:t>w</m:t>
            </m:r>
          </m:e>
          <m:sub>
            <m:r>
              <m:rPr>
                <m:sty m:val="p"/>
              </m:rPr>
              <m:t>j</m:t>
            </m:r>
          </m:sub>
        </m:sSub>
        <m:r>
          <m:rPr>
            <m:sty m:val="p"/>
          </m:rPr>
          <m:t> = cos </m:t>
        </m:r>
        <m:sSub>
          <m:e>
            <m:r>
              <m:rPr>
                <m:sty m:val="p"/>
              </m:rPr>
              <m:t>φ</m:t>
            </m:r>
          </m:e>
          <m:sub>
            <m:r>
              <m:rPr>
                <m:sty m:val="p"/>
              </m:rPr>
              <m:t>j</m:t>
            </m:r>
          </m:sub>
        </m:sSub>
      </m:oMath>
    </w:p>
    <w:p>
      <w:pPr>
        <w:spacing w:before="100" w:after="180"/>
        <w:jc w:val="center"/>
      </w:pPr>
      <m:oMath>
        <m:r>
          <m:rPr>
            <m:sty m:val="p"/>
          </m:rPr>
          <m:t>WS-MSE = </m:t>
        </m:r>
        <m:f>
          <m:num>
            <m:nary>
              <m:naryPr>
                <m:chr m:val="∑"/>
                <m:limLoc m:val="subSup"/>
              </m:naryPr>
              <m:sub>
                <m:r>
                  <m:rPr>
                    <m:sty m:val="p"/>
                  </m:rPr>
                  <m:t>j=0</m:t>
                </m:r>
              </m:sub>
              <m:sup>
                <m:r>
                  <m:rPr>
                    <m:sty m:val="p"/>
                  </m:rPr>
                  <m:t>H−1</m:t>
                </m:r>
              </m:sup>
              <m:e>
                <m:nary>
                  <m:naryPr>
                    <m:chr m:val="∑"/>
                    <m:limLoc m:val="subSup"/>
                  </m:naryPr>
                  <m:sub>
                    <m:r>
                      <m:rPr>
                        <m:sty m:val="p"/>
                      </m:rPr>
                      <m:t>i=0</m:t>
                    </m:r>
                  </m:sub>
                  <m:sup>
                    <m:r>
                      <m:rPr>
                        <m:sty m:val="p"/>
                      </m:rPr>
                      <m:t>W−1</m:t>
                    </m:r>
                  </m:sup>
                  <m:e>
                    <m:sSub>
                      <m:e>
                        <m:r>
                          <m:rPr>
                            <m:sty m:val="p"/>
                          </m:rPr>
                          <m:t>w</m:t>
                        </m:r>
                      </m:e>
                      <m:sub>
                        <m:r>
                          <m:rPr>
                            <m:sty m:val="p"/>
                          </m:rPr>
                          <m:t>j</m:t>
                        </m:r>
                      </m:sub>
                    </m:sSub>
                    <m:sSup>
                      <m:e>
                        <m:r>
                          <m:rPr>
                            <m:sty m:val="p"/>
                          </m:rPr>
                          <m:t>(</m:t>
                        </m:r>
                        <m:sSub>
                          <m:e>
                            <m:r>
                              <m:rPr>
                                <m:sty m:val="p"/>
                              </m:rPr>
                              <m:t>R</m:t>
                            </m:r>
                          </m:e>
                          <m:sub>
                            <m:r>
                              <m:rPr>
                                <m:sty m:val="p"/>
                              </m:rPr>
                              <m:t>ji</m:t>
                            </m:r>
                          </m:sub>
                        </m:sSub>
                        <m:r>
                          <m:rPr>
                            <m:sty m:val="p"/>
                          </m:rPr>
                          <m:t> − </m:t>
                        </m:r>
                        <m:sSub>
                          <m:e>
                            <m:r>
                              <m:rPr>
                                <m:sty m:val="p"/>
                              </m:rPr>
                              <m:t>D</m:t>
                            </m:r>
                          </m:e>
                          <m:sub>
                            <m:r>
                              <m:rPr>
                                <m:sty m:val="p"/>
                              </m:rPr>
                              <m:t>ji</m:t>
                            </m:r>
                          </m:sub>
                        </m:sSub>
                        <m:r>
                          <m:rPr>
                            <m:sty m:val="p"/>
                          </m:rPr>
                          <m:t>)</m:t>
                        </m:r>
                      </m:e>
                      <m:sup>
                        <m:r>
                          <m:rPr>
                            <m:sty m:val="p"/>
                          </m:rPr>
                          <m:t>2</m:t>
                        </m:r>
                      </m:sup>
                    </m:sSup>
                  </m:e>
                </m:nary>
              </m:e>
            </m:nary>
          </m:num>
          <m:den>
            <m:nary>
              <m:naryPr>
                <m:chr m:val="∑"/>
                <m:limLoc m:val="subSup"/>
              </m:naryPr>
              <m:sub>
                <m:r>
                  <m:rPr>
                    <m:sty m:val="p"/>
                  </m:rPr>
                  <m:t>j=0</m:t>
                </m:r>
              </m:sub>
              <m:sup>
                <m:r>
                  <m:rPr>
                    <m:sty m:val="p"/>
                  </m:rPr>
                  <m:t>H−1</m:t>
                </m:r>
              </m:sup>
              <m:e>
                <m:nary>
                  <m:naryPr>
                    <m:chr m:val="∑"/>
                    <m:limLoc m:val="subSup"/>
                  </m:naryPr>
                  <m:sub>
                    <m:r>
                      <m:rPr>
                        <m:sty m:val="p"/>
                      </m:rPr>
                      <m:t>i=0</m:t>
                    </m:r>
                  </m:sub>
                  <m:sup>
                    <m:r>
                      <m:rPr>
                        <m:sty m:val="p"/>
                      </m:rPr>
                      <m:t>W−1</m:t>
                    </m:r>
                  </m:sup>
                  <m:e>
                    <m:sSub>
                      <m:e>
                        <m:r>
                          <m:rPr>
                            <m:sty m:val="p"/>
                          </m:rPr>
                          <m:t>w</m:t>
                        </m:r>
                      </m:e>
                      <m:sub>
                        <m:r>
                          <m:rPr>
                            <m:sty m:val="p"/>
                          </m:rPr>
                          <m:t>j</m:t>
                        </m:r>
                      </m:sub>
                    </m:sSub>
                  </m:e>
                </m:nary>
              </m:e>
            </m:nary>
          </m:den>
        </m:f>
      </m:oMath>
    </w:p>
    <w:p>
      <w:pPr>
        <w:spacing w:before="100" w:after="180"/>
        <w:jc w:val="center"/>
      </w:pPr>
      <m:oMath>
        <m:r>
          <m:rPr>
            <m:sty m:val="p"/>
          </m:rPr>
          <m:t>WS-PSNR = 10 </m:t>
        </m:r>
        <m:sSub>
          <m:e>
            <m:r>
              <m:rPr>
                <m:sty m:val="p"/>
              </m:rPr>
              <m:t>log</m:t>
            </m:r>
          </m:e>
          <m:sub>
            <m:r>
              <m:rPr>
                <m:sty m:val="p"/>
              </m:rPr>
              <m:t>10</m:t>
            </m:r>
          </m:sub>
        </m:sSub>
        <m:r>
          <m:rPr>
            <m:sty m:val="p"/>
          </m:rPr>
          <m:t>(</m:t>
        </m:r>
        <m:f>
          <m:num>
            <m:sSup>
              <m:e>
                <m:r>
                  <m:rPr>
                    <m:sty m:val="p"/>
                  </m:rPr>
                  <m:t>L</m:t>
                </m:r>
              </m:e>
              <m:sup>
                <m:r>
                  <m:rPr>
                    <m:sty m:val="p"/>
                  </m:rPr>
                  <m:t>2</m:t>
                </m:r>
              </m:sup>
            </m:sSup>
          </m:num>
          <m:den>
            <m:r>
              <m:rPr>
                <m:sty m:val="p"/>
              </m:rPr>
              <m:t>WS-MSE</m:t>
            </m:r>
          </m:den>
        </m:f>
        <m:r>
          <m:rPr>
            <m:sty m:val="p"/>
          </m:rPr>
          <m:t>)</m:t>
        </m:r>
      </m:oMath>
    </w:p>
    <w:p>
      <w:r>
        <w:t>面积权重解决几何分布问题，</w:t>
      </w:r>
      <w:r>
        <w:rPr>
          <w:b/>
        </w:rPr>
        <w:t>不代表观众观看概率</w:t>
      </w:r>
      <w:r>
        <w:t>，也不能独立解决视觉感知问题。使用球面采样方法时，采样密度和插值方式也是实现的一部分，需要固定并记录。</w:t>
      </w:r>
    </w:p>
    <w:p>
      <w:pPr>
        <w:pStyle w:val="Heading2"/>
      </w:pPr>
      <w:r>
        <w:t>7 2 视口问题 完整全景质量与局部观看质量</w:t>
      </w:r>
    </w:p>
    <w:p>
      <w:r>
        <w:t>观众只看到部分球面。远离观看区域的失真与正前方明显失真的贡献可能不同。因此，可以先投影得到多个视口，再分别评价和汇总。拟实验中需要固定视场角、朝向、输出分辨率及投影实现，处理经度边界的环绕，并检查是否覆盖极区。</w:t>
      </w:r>
    </w:p>
    <w:p>
      <w:r>
        <w:t>视口数量越多不一定就意味着效果越好：它还改变计算成本和采样分布。过度缩小整幅全景、稀疏采样视口，可能丢失局部细节或拼接问题。应通过可视化和消融实验判断，而不能只依靠最终相关系数。</w:t>
      </w:r>
    </w:p>
    <w:p>
      <w:pPr>
        <w:pStyle w:val="Heading2"/>
      </w:pPr>
      <w:r>
        <w:t>7 3 行为问题 头动、眼动与观看路径</w:t>
      </w:r>
    </w:p>
    <w:p>
      <w:r>
        <w:t>头部朝向主要决定当前视口；眼动描述视口内部注视；随时间变化的轨迹进一步构成观看路径。真实观看轨迹可以用于分析或上界实验，但如果部署时无法获得，就不能将使用真实轨迹的方法与不使用轨迹的方法当作相同输入条件直接比较。[A §4.11；B §4.4]</w:t>
      </w:r>
    </w:p>
    <w:p>
      <w:r>
        <w:t>以下是静态全景的简单视口分数汇总示例，属于阅读后的教学表达，并非新算法：</w:t>
      </w:r>
    </w:p>
    <w:p>
      <w:pPr>
        <w:spacing w:before="100" w:after="180"/>
        <w:jc w:val="center"/>
      </w:pPr>
      <m:oMath>
        <m:sSub>
          <m:e>
            <m:r>
              <m:rPr>
                <m:sty m:val="p"/>
              </m:rPr>
              <m:t>Q</m:t>
            </m:r>
          </m:e>
          <m:sub>
            <m:r>
              <m:rPr>
                <m:sty m:val="p"/>
              </m:rPr>
              <m:t>pano</m:t>
            </m:r>
          </m:sub>
        </m:sSub>
        <m:r>
          <m:rPr>
            <m:sty m:val="p"/>
          </m:rPr>
          <m:t> = </m:t>
        </m:r>
        <m:nary>
          <m:naryPr>
            <m:chr m:val="∑"/>
            <m:limLoc m:val="subSup"/>
          </m:naryPr>
          <m:sub>
            <m:r>
              <m:rPr>
                <m:sty m:val="p"/>
              </m:rPr>
              <m:t>k=1</m:t>
            </m:r>
          </m:sub>
          <m:sup>
            <m:r>
              <m:rPr>
                <m:sty m:val="p"/>
              </m:rPr>
              <m:t>K</m:t>
            </m:r>
          </m:sup>
          <m:e>
            <m:sSub>
              <m:e>
                <m:r>
                  <m:rPr>
                    <m:sty m:val="p"/>
                  </m:rPr>
                  <m:t>α</m:t>
                </m:r>
              </m:e>
              <m:sub>
                <m:r>
                  <m:rPr>
                    <m:sty m:val="p"/>
                  </m:rPr>
                  <m:t>k</m:t>
                </m:r>
              </m:sub>
            </m:sSub>
            <m:sSub>
              <m:e>
                <m:r>
                  <m:rPr>
                    <m:sty m:val="p"/>
                  </m:rPr>
                  <m:t>q</m:t>
                </m:r>
              </m:e>
              <m:sub>
                <m:r>
                  <m:rPr>
                    <m:sty m:val="p"/>
                  </m:rPr>
                  <m:t>k</m:t>
                </m:r>
              </m:sub>
            </m:sSub>
          </m:e>
        </m:nary>
      </m:oMath>
    </w:p>
    <w:p>
      <w:pPr>
        <w:spacing w:before="100" w:after="180"/>
        <w:jc w:val="center"/>
      </w:pPr>
      <m:oMath>
        <m:sSub>
          <m:e>
            <m:r>
              <m:rPr>
                <m:sty m:val="p"/>
              </m:rPr>
              <m:t>α</m:t>
            </m:r>
          </m:e>
          <m:sub>
            <m:r>
              <m:rPr>
                <m:sty m:val="p"/>
              </m:rPr>
              <m:t>k</m:t>
            </m:r>
          </m:sub>
        </m:sSub>
        <m:r>
          <m:rPr>
            <m:sty m:val="p"/>
          </m:rPr>
          <m:t> ≥ 0,    </m:t>
        </m:r>
        <m:nary>
          <m:naryPr>
            <m:chr m:val="∑"/>
            <m:limLoc m:val="subSup"/>
          </m:naryPr>
          <m:sub>
            <m:r>
              <m:rPr>
                <m:sty m:val="p"/>
              </m:rPr>
              <m:t>k=1</m:t>
            </m:r>
          </m:sub>
          <m:sup>
            <m:r>
              <m:rPr>
                <m:sty m:val="p"/>
              </m:rPr>
              <m:t>K</m:t>
            </m:r>
          </m:sup>
          <m:e>
            <m:sSub>
              <m:e>
                <m:r>
                  <m:rPr>
                    <m:sty m:val="p"/>
                  </m:rPr>
                  <m:t>α</m:t>
                </m:r>
              </m:e>
              <m:sub>
                <m:r>
                  <m:rPr>
                    <m:sty m:val="p"/>
                  </m:rPr>
                  <m:t>k</m:t>
                </m:r>
              </m:sub>
            </m:sSub>
          </m:e>
        </m:nary>
        <m:r>
          <m:rPr>
            <m:sty m:val="p"/>
          </m:rPr>
          <m:t> = 1</m:t>
        </m:r>
      </m:oMath>
    </w:p>
    <w:p>
      <w:r>
        <w:t>q_k</w:t>
      </w:r>
      <w:r>
        <w:t xml:space="preserve"> 是一个视口的质量预测，权重可能由均匀规则、面积、预测行为或实际行为确定，来源需要说明。重叠视口的平均也不自动等于严格球面积分。比较权重时，保持采样、特征与其他条件一致，才能解释差异。</w:t>
      </w:r>
    </w:p>
    <w:p>
      <w:pPr>
        <w:pStyle w:val="Heading2"/>
      </w:pPr>
      <w:r>
        <w:t>7 4 混合问题需要检查四类区域关系</w:t>
      </w:r>
    </w:p>
    <w:p>
      <w:r>
        <w:rPr>
          <w:b/>
        </w:rPr>
        <w:t>生成区域内部。</w:t>
      </w:r>
      <w:r>
        <w:t xml:space="preserve"> 检查模糊、噪声、纹理重复、物体结构错误、透视异常与过度平滑。普通 IQA 可能对其中部分低层失真敏感，但不保证能识别全部语义或空间错误。</w:t>
      </w:r>
    </w:p>
    <w:p>
      <w:r>
        <w:rPr>
          <w:b/>
        </w:rPr>
        <w:t>计划保留的实拍区域。</w:t>
      </w:r>
      <w:r>
        <w:t xml:space="preserve"> 检查原有画质和生成处理是否引入非预期改变。图像经过全局缩放、调色或重编码后，改变区域可能超出计划掩膜；这些处理要写入记录，不能都归为 AI 区域的缺陷。</w:t>
      </w:r>
    </w:p>
    <w:p>
      <w:r>
        <w:rPr>
          <w:b/>
        </w:rPr>
        <w:t>编辑边界及两侧关系。</w:t>
      </w:r>
      <w:r>
        <w:t xml:space="preserve"> 检查轮廓残留、色差、亮度跳变、纹理与锐度突变，以及光照、尺度、遮挡和几何关系。边界采样不能只看一条像素线，需要覆盖边界两侧的上下文。</w:t>
      </w:r>
    </w:p>
    <w:p>
      <w:r>
        <w:rPr>
          <w:b/>
        </w:rPr>
        <w:t>全景环绕及极区。</w:t>
      </w:r>
      <w:r>
        <w:t xml:space="preserve"> ERP 左边与右边对应相邻经度，地面和天顶还涉及特殊投影形变。即使编辑边界看起来协调，环绕视口仍可能暴露接缝或方向不一致；“图像长宽比为 2∶1”也不能证明它是几何正确的全景。</w:t>
      </w:r>
    </w:p>
    <w:p>
      <w:r>
        <w:t>从不同起始朝向观看同一静态全景，观察到缺陷的机会可能不同。主观实验需要固定或平衡起始朝向，记录浏览时长和浏览方式；若采用定向边界检查，应把它与自由浏览的整图评分区分开。</w:t>
      </w:r>
    </w:p>
    <w:p>
      <w:pPr>
        <w:pStyle w:val="Heading1"/>
      </w:pPr>
      <w:r>
        <w:t>8 从已有数据库学习并构建混合全景试验集</w:t>
      </w:r>
    </w:p>
    <w:p>
      <w:r>
        <w:t>以下数量按两篇综述中的版本记录，“参考内容数 + 失真内容数”分开写。获取数据后还要核对实际发布版本、标签方向、文件清单和使用条件。</w:t>
      </w:r>
    </w:p>
    <w:tbl>
      <w:tblPr>
        <w:tblW w:type="auto" w:w="0"/>
        <w:jc w:val="center"/>
        <w:tblLayout w:type="fixed"/>
        <w:tblLook w:firstColumn="1" w:firstRow="1" w:lastColumn="0" w:lastRow="0" w:noHBand="0" w:noVBand="1" w:val="04A0"/>
      </w:tblPr>
      <w:tblGrid>
        <w:gridCol w:w="1469"/>
        <w:gridCol w:w="2261"/>
        <w:gridCol w:w="3053"/>
        <w:gridCol w:w="3211"/>
      </w:tblGrid>
      <w:tr>
        <w:trPr>
          <w:cantSplit/>
          <w:tblHeader/>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数据集</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原文记录</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主要内容与标注</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入门用途</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OIQA</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16 幅参考 + 320 幅失真图像</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JPEG、JPEG2000、模糊、白噪声；MOS、头动与眼动</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练习球面／视口与行为数据，不替代局部生成混合建库</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CVIQ</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16 幅参考 + 528 幅失真图像</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JPEG、H.264、H.265 压缩；MOS</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分析压缩与跨失真；不代表真实UGC或AIGC全范围</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VR-VQA48</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12 段参考 + 48 段失真视频</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H.265 压缩；MOS / DMOS、头动</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视频拓展参考，不作为当前主实验数据</w:t>
            </w:r>
          </w:p>
        </w:tc>
      </w:tr>
      <w:tr>
        <w:trPr>
          <w:cantSplit/>
        </w:trPr>
        <w:tc>
          <w:tcPr>
            <w:tcW w:type="dxa" w:w="14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VQA-ODV</w:t>
            </w:r>
          </w:p>
        </w:tc>
        <w:tc>
          <w:tcPr>
            <w:tcW w:type="dxa" w:w="22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60 段参考 + 600 段失真视频</w:t>
            </w:r>
          </w:p>
        </w:tc>
        <w:tc>
          <w:tcPr>
            <w:tcW w:type="dxa" w:w="305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H.265 压缩与投影因素；MOS / DMOS、头动与眼动</w:t>
            </w:r>
          </w:p>
        </w:tc>
        <w:tc>
          <w:tcPr>
            <w:tcW w:type="dxa" w:w="3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阅读观看行为与数据协议，不直接用于静态标签</w:t>
            </w:r>
          </w:p>
        </w:tc>
      </w:tr>
    </w:tbl>
    <w:p>
      <w:pPr>
        <w:spacing w:after="0"/>
      </w:pPr>
    </w:p>
    <w:p>
      <w:r>
        <w:t>来源：OIQA、CVIQ 见 [A §2.2.10，p.8]；VR-VQA48、VQA-ODV 见 [B §2.3.3，p.11-12]。CVIQ 一行特指 2020 年综述记载的版本，不能自动套用于名称相近的其他发布版本。</w:t>
      </w:r>
    </w:p>
    <w:p>
      <w:r>
        <w:t>这里最重要的统计量不只是失真样本数，还包括独立原始内容数。OIQA 的 320 个失真样本来自 16 个参考内容，不能视作 320 个独立场景。使用真实头眼数据时，还需确认其时间同步、坐标定义及是否允许用于测试时输入。</w:t>
      </w:r>
    </w:p>
    <w:p>
      <w:pPr>
        <w:pStyle w:val="Heading2"/>
      </w:pPr>
      <w:r>
        <w:t>8 1 数据库的基本单位是混合后的单幅全景</w:t>
      </w:r>
    </w:p>
    <w:p>
      <w:r>
        <w:t>OIQA、CVIQ 可以帮助我学习球面表示、主观标签与传统失真评价，也可以在核对许可后提供候选原始内容。它们并非现成的“实拍加 AI 局部生成”质量数据库；已有压缩或模糊标签不能自动沿用到新的 AI 编辑版本。</w:t>
      </w:r>
    </w:p>
    <w:p>
      <w:r>
        <w:t>我计划从少量有清楚来源和使用条件的实拍全景开始，生成局部补全、背景替换或半全景补全版本。每个原始场景保留多个受控编辑版本，并保留实拍原图作为上下文、保真分析和对照材料，而不是把原图的未编辑外观当作生成区域的唯一真值。</w:t>
      </w:r>
    </w:p>
    <w:tbl>
      <w:tblPr>
        <w:tblW w:type="auto" w:w="0"/>
        <w:jc w:val="center"/>
        <w:tblLayout w:type="fixed"/>
        <w:tblLook w:firstColumn="1" w:firstRow="1" w:lastColumn="0" w:lastRow="0" w:noHBand="0" w:noVBand="1" w:val="04A0"/>
      </w:tblPr>
      <w:tblGrid>
        <w:gridCol w:w="3384"/>
        <w:gridCol w:w="6610"/>
      </w:tblGrid>
      <w:tr>
        <w:trPr>
          <w:cantSplit/>
          <w:tblHeader/>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记录类别</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最低限度的字段</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原始内容</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场景编号、来源与许可、投影、尺寸、原图哈希</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编辑位置</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计划掩膜、球面朝向、面积比例、边界位置、是否跨经度边界</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生成条件</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模型与版本、操作类型、提示词、可用随机种子和主要参数</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输出处理</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原始生成结果、融合方法、缩放与编码、最终图像哈希</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内容关系</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原始场景组、同一条件的重复输出、派生压缩和失真版本</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主观数据</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原始评分、评分问题、显示与观看设置、人数和离散程度</w:t>
            </w:r>
          </w:p>
        </w:tc>
      </w:tr>
    </w:tbl>
    <w:p>
      <w:pPr>
        <w:spacing w:after="0"/>
      </w:pPr>
    </w:p>
    <w:p>
      <w:r>
        <w:t>AI 编辑比例、模型名称或提示词长度只是实验因素，不是自动质量标签。纯 UGC 和纯 AIGC 可作为辅助对照，但它们不能替代单图内部混合的主要样本。</w:t>
      </w:r>
    </w:p>
    <w:p>
      <w:pPr>
        <w:pStyle w:val="Heading2"/>
      </w:pPr>
      <w:r>
        <w:t>8 2 先用主观预实验确认评分问题</w:t>
      </w:r>
    </w:p>
    <w:p>
      <w:r>
        <w:t>我会先试评整体感知画质，并探索是否有必要单独评价融合自然性或空间合理性。需要用清楚的说明和练习样本，让观察者理解“清晰但不协调”和“自然但细节受损”等情况。辅助维度要在预实验中确认，不能先用一个加权公式随意合成总分。</w:t>
      </w:r>
    </w:p>
    <w:p>
      <w:r>
        <w:t>主评价优先考虑只展示待评价混合全景，避免原图对比把问题变成“改得像不像原场景”。如果额外研究保留区域的忠实程度，可另设原图对比任务，独立报告标签。是否提供文字编辑意图，也应作为明确的实验条件。</w:t>
      </w:r>
    </w:p>
    <w:p>
      <w:r>
        <w:t>我需要记录头显、渲染、视场角、起始朝向、浏览方式和时长、随机呈现顺序、练习与休息。异常评分处理规则预先确定，保留原始评分，MOS 同时报告有效人数、离散程度或置信区间。仅在平面屏幕上查看 ERP 得到的评分，不直接称为头显沉浸观看的主观质量。[A §2；B §2.1]</w:t>
      </w:r>
    </w:p>
    <w:p>
      <w:pPr>
        <w:pStyle w:val="Heading1"/>
      </w:pPr>
      <w:r>
        <w:t>9 怎样公平评测混合全景质量模型</w:t>
      </w:r>
    </w:p>
    <w:tbl>
      <w:tblPr>
        <w:tblW w:type="auto" w:w="0"/>
        <w:jc w:val="center"/>
        <w:tblLayout w:type="fixed"/>
        <w:tblLook w:firstColumn="1" w:firstRow="1" w:lastColumn="0" w:lastRow="0" w:noHBand="0" w:noVBand="1" w:val="04A0"/>
      </w:tblPr>
      <w:tblGrid>
        <w:gridCol w:w="1699"/>
        <w:gridCol w:w="3168"/>
        <w:gridCol w:w="5126"/>
      </w:tblGrid>
      <w:tr>
        <w:trPr>
          <w:cantSplit/>
          <w:tblHeader/>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指标</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检查的问题</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使用边界</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SRCC／SROCC</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预测排序与主观排序是否一致</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使用秩而非原始分值差，正确处理并列值</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KRCC</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样本对的排序是否一致</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说明采用的版本及并列值处理</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PLCC</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预测与标签的线性关系</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说明有无非线性映射以及拟合数据</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RMSE／MAE</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预测误差有多大</w:t>
            </w:r>
          </w:p>
        </w:tc>
        <w:tc>
          <w:tcPr>
            <w:tcW w:type="dxa" w:w="51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比较前统一分数方向与尺度</w:t>
            </w:r>
          </w:p>
        </w:tc>
      </w:tr>
    </w:tbl>
    <w:p>
      <w:pPr>
        <w:spacing w:after="0"/>
      </w:pPr>
    </w:p>
    <w:p>
      <w:r>
        <w:t>两篇综述介绍相关性、误差与非线性映射。[A §5.1，p.35—37；B §5.1，p.39—40] 阅读公式时，我需要确认 SRCC 的差值是秩差。质量模型的输出没有人工标签配对时，不能凭若干预测值计算或宣称这些性能指标。</w:t>
      </w:r>
    </w:p>
    <w:p>
      <w:r>
        <w:rPr>
          <w:b/>
        </w:rPr>
        <w:t>按原始场景分组。</w:t>
      </w:r>
      <w:r>
        <w:t xml:space="preserve"> 同一实拍全景的全部编辑版本、不同生成种子、派生失真和视口进入同一训练、验证或测试集合。先分场景再展开视口，避免模型看到测试场景的另一个版本。只按最终文件名随机划分不够。</w:t>
      </w:r>
    </w:p>
    <w:p>
      <w:r>
        <w:rPr>
          <w:b/>
        </w:rPr>
        <w:t>分开报告总体和困难子集。</w:t>
      </w:r>
      <w:r>
        <w:t xml:space="preserve"> 除全体混合图的表现，我会按编辑操作、球面面积比例、边界位置、内容场景、缺陷类型和生成模型分析结果。可报告纯实拍、纯生成对照，但重点是混合样本内部。样本量、质量范围和评分分布应同时给出，避免在很小或分数近乎相同的子集上过度解释相关性。</w:t>
      </w:r>
    </w:p>
    <w:p>
      <w:r>
        <w:rPr>
          <w:b/>
        </w:rPr>
        <w:t>控制输入信息。</w:t>
      </w:r>
      <w:r>
        <w:t xml:space="preserve"> 仅图像、图像加掩膜、图像加原图、真实轨迹辅助输入分别列明。对依赖掩膜的方法，还需评估掩膜误差或不可获得时的情况，不把额外信息的收益全部归于模型结构。</w:t>
      </w:r>
    </w:p>
    <w:p>
      <w:r>
        <w:rPr>
          <w:b/>
        </w:rPr>
        <w:t>控制训练和调参。</w:t>
      </w:r>
      <w:r>
        <w:t xml:space="preserve"> 参数选择用验证集，测试集留给最终评价；不同方案尽量控制样本数、预训练信息、分辨率、视口数量和训练预算。重复内容分组划分后报告波动，而不是只展示最好的一次。</w:t>
      </w:r>
    </w:p>
    <w:p>
      <w:r>
        <w:rPr>
          <w:b/>
        </w:rPr>
        <w:t>区分泛化设置。</w:t>
      </w:r>
      <w:r>
        <w:t xml:space="preserve"> 可探索未见生成模型、未见编辑操作、未见面积范围和未见场景类型，明确哪些因素被留出。跨库评价还要检查标签协议差异。普通实拍图训练迁移到混合图的结果属于域迁移分析，不能替代混合图上的完整评测。</w:t>
      </w:r>
    </w:p>
    <w:p>
      <w:r>
        <w:rPr>
          <w:b/>
        </w:rPr>
        <w:t>明确分数映射协议。</w:t>
      </w:r>
      <w:r>
        <w:t xml:space="preserve"> SRCC 主要报告原始预测的秩相关。PLCC 或误差若使用逻辑函数映射，要写清参数来自哪里。按某些基准在测试集后拟合得到的统计结果需要注明，不能当作可部署模型未经目标标签校准的泛化误差。</w:t>
      </w:r>
    </w:p>
    <w:p>
      <w:pPr>
        <w:pStyle w:val="Heading1"/>
      </w:pPr>
      <w:r>
        <w:t>10 对两篇综述的思考与使用边界</w:t>
      </w:r>
    </w:p>
    <w:p>
      <w:r>
        <w:rPr>
          <w:b/>
        </w:rPr>
        <w:t>综述中的优点需要回到原始任务理解。</w:t>
      </w:r>
      <w:r>
        <w:t xml:space="preserve"> 文献 A 的部分性能来自原论文报告，划分和训练条件可能不同；文献 B 的特定应用章节主要进行方法综述，其通用视频性能表不能直接代表混合全景质量。[A §5.2，p.38；B §1.4，p.4；§5.2，p.40—41]</w:t>
      </w:r>
    </w:p>
    <w:p>
      <w:r>
        <w:rPr>
          <w:b/>
        </w:rPr>
        <w:t>自然统计偏离不是生成缺陷的充分判据。</w:t>
      </w:r>
      <w:r>
        <w:t xml:space="preserve"> 生成内容可能偏离某些实拍统计，却在观看中合理；也可能非常清晰但几何不通。NIQE、BRISQUE 或深度 IQA 可以作为对照，不能代替人工标签，更不能据此批量制造所谓主观真值。</w:t>
      </w:r>
    </w:p>
    <w:p>
      <w:r>
        <w:rPr>
          <w:b/>
        </w:rPr>
        <w:t>全参考指标有清楚的适用条件。</w:t>
      </w:r>
      <w:r>
        <w:t xml:space="preserve"> 若研究原图经过编码后的失真，且内容对齐，可以使用 PSNR、SSIM 或 WS-PSNR。若研究开放式背景替换，直接比较整图会混入预期内容变化。保留区域的误差适合做处理保真检查，但也不是整体自然性或 VR 画质的完整评价。</w:t>
      </w:r>
    </w:p>
    <w:p>
      <w:r>
        <w:rPr>
          <w:b/>
        </w:rPr>
        <w:t>掩膜与边界分支只是待验证方案。</w:t>
      </w:r>
      <w:r>
        <w:t xml:space="preserve"> 加入编辑区域信息可能帮助聚焦缺陷，也可能让模型学习面积或操作类型等捷径。掩膜面积大不一定质量差，边界明显也不一定是缺陷，仍需结合内容和主观评分验证。</w:t>
      </w:r>
    </w:p>
    <w:p>
      <w:r>
        <w:rPr>
          <w:b/>
        </w:rPr>
        <w:t>几何、注意和观看是不同因素。</w:t>
      </w:r>
      <w:r>
        <w:t xml:space="preserve"> 球面面积权重修正采样分布，显著性模型预测注意，真实头眼轨迹描述具体实验条件下的行为。使用其中一个，不代表另外两个问题已经解决。[A §4.2、§4.11；B §4.4]</w:t>
      </w:r>
    </w:p>
    <w:p>
      <w:r>
        <w:rPr>
          <w:b/>
        </w:rPr>
        <w:t>当前证据范围。</w:t>
      </w:r>
      <w:r>
        <w:t xml:space="preserve"> 两篇综述用于建立基础框架。我的混合全景数据库尚未完成正式主观实验，区域分支和汇总方案尚未验证。另行开展的 HyperIQA 普通照片推理实验不能作为 VR 或混合图像性能证据，也不能由这些综述直接推断领域空白。</w:t>
      </w:r>
    </w:p>
    <w:p>
      <w:pPr>
        <w:pStyle w:val="Heading1"/>
      </w:pPr>
      <w:r>
        <w:t>11 围绕单图内部混合开展最小实验</w:t>
      </w:r>
    </w:p>
    <w:p>
      <w:pPr>
        <w:pStyle w:val="Heading2"/>
      </w:pPr>
      <w:r>
        <w:t>11 1 先验证可控生成与全景显示</w:t>
      </w:r>
    </w:p>
    <w:p>
      <w:r>
        <w:t>先选取少量可追溯实拍全景，固定一种编辑操作并生成多个版本。对同一场景检查掩膜是否准确、保留区域是否被意外改动、生成结果能否正确映射回球面。保存全景预览和跨编辑边界、跨 ERP 环绕边界的视口示例。</w:t>
      </w:r>
    </w:p>
    <w:p>
      <w:r>
        <w:t>半全景补全可以作为起点，但普通二维补全工具即使输出 2∶1 图片，也未必满足环绕一致性。生成调研应检查输入支持、掩膜控制、全景几何、保留区域、随机性与可记录参数，不只比较生成画面的观感。具体工具与版本需要另行核验。</w:t>
      </w:r>
    </w:p>
    <w:p>
      <w:r>
        <w:t>阶段产出是可复查的样本、掩膜、处理链和失败示例。生成随机种子不同，并不保证质量从低到高有序；没有主观标签时，先做输入和几何检查。</w:t>
      </w:r>
    </w:p>
    <w:p>
      <w:pPr>
        <w:pStyle w:val="Heading2"/>
      </w:pPr>
      <w:r>
        <w:t>11 2 用普通 IQA 和视口汇总建立基线</w:t>
      </w:r>
    </w:p>
    <w:p>
      <w:r>
        <w:t>我已经完成的 HyperIQA 实践属于普通照片上的官方预训练推理与小规模失真对照。它帮助我理解“特征提取、按内容生成评分器参数、多图块平均”，但尚未覆盖混合全景。后续可以把经核对的普通 IQA 模型应用到固定球面视口，作为迁移基线；能输出分数只证明流程运行，不能证明评价有效。</w:t>
      </w:r>
    </w:p>
    <w:p>
      <w:r>
        <w:t>第一版先固定视口朝向、FOV、输出分辨率、插值和平均汇总。普通二维模型直接读取 ERP 可作为另一个迁移对照，但不能默认两种输入具有相同几何意义。整图 MOS 也不能直接当成每个视口都准确成立的局部标签。</w:t>
      </w:r>
    </w:p>
    <w:p>
      <w:r>
        <w:t>对于图像加掩膜的探索设置，可增加保留区域、生成区域和边界两侧的采样。区域小且不规则时，视口往往同时包含多种内容，需要记录覆盖比例和上下文；不能把一个混合视口硬说成纯生成区域。</w:t>
      </w:r>
    </w:p>
    <w:p>
      <w:pPr>
        <w:pStyle w:val="Heading2"/>
      </w:pPr>
      <w:r>
        <w:t>11 3 由失败案例提出一个可检验改进</w:t>
      </w:r>
    </w:p>
    <w:p>
      <w:r>
        <w:t>我优先检查两种失败：模型给高清但融合不协调的图像高分，以及整图平均掩盖局部明显缺陷。一次只改一个因素，例如保持骨干与划分相同，比较固定均匀采样和增加边界覆盖的采样。固定计算预算或同时报告额外开销，才能解释收益来自哪里。</w:t>
      </w:r>
    </w:p>
    <w:p>
      <w:r>
        <w:t>也可比较仅图像模型与图像加掩膜模型，但这是输入信息消融，需要独立说明。对未见生成模型、操作和场景进行探索性测试，结合散点图、困难子集和失败视口解释结果，不预填相关系数或提升幅度。</w:t>
      </w:r>
    </w:p>
    <w:p>
      <w:pPr>
        <w:pStyle w:val="Heading1"/>
      </w:pPr>
      <w:r>
        <w:t>12 研一阶段优先回答的研究问题</w:t>
      </w:r>
    </w:p>
    <w:p>
      <w:r>
        <w:rPr>
          <w:b/>
        </w:rPr>
        <w:t>对象问题。</w:t>
      </w:r>
      <w:r>
        <w:t xml:space="preserve"> 我能否稳定得到“部分实拍保留、部分 AI 生成”的全景样本，并追溯每次编辑？先完成单一可控生成流程，再扩充模型和操作。</w:t>
      </w:r>
    </w:p>
    <w:p>
      <w:r>
        <w:rPr>
          <w:b/>
        </w:rPr>
        <w:t>标签问题。</w:t>
      </w:r>
      <w:r>
        <w:t xml:space="preserve"> 在统一 VR 观看下，整体画质、融合自然性和空间合理性是否能被观察者清楚区分？先做主观预实验，再确定正式标签和实验规模。</w:t>
      </w:r>
    </w:p>
    <w:p>
      <w:r>
        <w:rPr>
          <w:b/>
        </w:rPr>
        <w:t>算法问题。</w:t>
      </w:r>
      <w:r>
        <w:t xml:space="preserve"> 普通 IQA 在哪里失败：生成区域、编辑边界、跨区域语义关系，还是球面采样？先建立统一基线，保存可定位失败样例，再讨论改进结构。</w:t>
      </w:r>
    </w:p>
    <w:p>
      <w:r>
        <w:rPr>
          <w:b/>
        </w:rPr>
        <w:t>泛化问题。</w:t>
      </w:r>
      <w:r>
        <w:t xml:space="preserve"> 效果是否依赖已见场景、生成模型、编辑面积或掩膜？按内容分组、留出因素和消融实验逐步回答。</w:t>
      </w:r>
    </w:p>
    <w:p>
      <w:r>
        <w:t>与导师交流时，我需要确认第一版的编辑操作、是否限定单目全景、主标签与辅助标签、是否允许模型使用掩膜，以及可用头显和原始数据。当前以静态图像为主，视频时间网络作为后续扩展。</w:t>
      </w:r>
    </w:p>
    <w:p>
      <w:pPr>
        <w:pStyle w:val="Heading1"/>
      </w:pPr>
      <w:r>
        <w:t>13 阅读小结与原文定位</w:t>
      </w:r>
    </w:p>
    <w:p>
      <w:r>
        <w:t>读完两篇综述，我对 IQA 的理解从“找一个模型输出分数”，转向“定义人的评价目标，建立可靠标签，再用公平协议检验模型”。对于我的方向，研究主线是实拍全景的局部 AI 编辑、统一 VR 主观评价、按原始场景分组、视口基线，以及生成区域与融合边界的失败分析。</w:t>
      </w:r>
    </w:p>
    <w:p>
      <w:r>
        <w:t>我当前要回答的问题是：</w:t>
      </w:r>
      <w:r>
        <w:rPr>
          <w:b/>
        </w:rPr>
        <w:t>当同一幅全景同时包含实拍区域和 AI 生成区域时，怎样评价局部画质与跨区域协调，并让整体预测与 VR 观看中的主观判断一致？</w:t>
      </w:r>
      <w:r>
        <w:t xml:space="preserve"> 这需要数据与实验支持，不能仅根据生成比例、模型名称或某个现成指标作出结论。</w:t>
      </w:r>
    </w:p>
    <w:tbl>
      <w:tblPr>
        <w:tblW w:type="auto" w:w="0"/>
        <w:jc w:val="center"/>
        <w:tblLayout w:type="fixed"/>
        <w:tblLook w:firstColumn="1" w:firstRow="1" w:lastColumn="0" w:lastRow="0" w:noHBand="0" w:noVBand="1" w:val="04A0"/>
      </w:tblPr>
      <w:tblGrid>
        <w:gridCol w:w="3384"/>
        <w:gridCol w:w="6610"/>
      </w:tblGrid>
      <w:tr>
        <w:trPr>
          <w:cantSplit/>
          <w:tblHeader/>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需要对照的内容</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0"/>
          </w:tcPr>
          <w:p>
            <w:pPr>
              <w:keepNext/>
              <w:spacing w:after="20" w:line="276" w:lineRule="auto"/>
            </w:pPr>
            <w:r>
              <w:rPr>
                <w:b/>
                <w:sz w:val="19"/>
              </w:rPr>
              <w:t>原文位置</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全景图像数据库</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A §2.2.10，p.8</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FR／RR／NR 与传统及学习型 IQA</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A §3，p.9—22</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显著性与观看任务差异</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A §4.2，p.26—27</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球面指标、MC360IQA 与观看行为</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A §4.11，p.33—34</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IQA 指标和性能来源</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A §5，p.35—38</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视频主观实验与 VR 数据库</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B §2.1，p.4—6；§2.3.3，p.11—12</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通用 VQA 与时空建模</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B §3，p.15—26</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球面投影、视口与 VR 视频方法</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B §4.4，p.32—35</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视频性能评价与比较边界</w:t>
            </w:r>
          </w:p>
        </w:tc>
        <w:tc>
          <w:tcPr>
            <w:tcW w:type="dxa" w:w="66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76" w:lineRule="auto"/>
            </w:pPr>
            <w:r>
              <w:rPr>
                <w:sz w:val="19"/>
              </w:rPr>
              <w:t>B §5，p.39—41</w:t>
            </w:r>
          </w:p>
        </w:tc>
      </w:tr>
    </w:tbl>
    <w:p>
      <w:pPr>
        <w:spacing w:after="0"/>
      </w:pPr>
    </w:p>
    <w:p>
      <w:r>
        <w:t xml:space="preserve">主要参考文献是第 1 节的 A、B 两篇综述。HyperIQA 仅作为当前实践的补充方法，来源为 Su 等人的 CVPR 2020 论文 </w:t>
      </w:r>
      <w:r>
        <w:rPr>
          <w:i/>
        </w:rPr>
        <w:t>Blindly Assess Image Quality in the Wild Guided by a Self-Adaptive Hyper Network</w:t>
      </w:r>
      <w:r>
        <w:t xml:space="preserve"> 及</w:t>
      </w:r>
      <w:hyperlink r:id="rId12">
        <w:r>
          <w:rPr>
            <w:color w:val="32624D"/>
          </w:rPr>
          <w:t>作者官方代码</w:t>
        </w:r>
      </w:hyperlink>
      <w:r>
        <w:t>，不将本次普通图推理称为混合全景性能复现。</w:t>
      </w:r>
    </w:p>
    <w:p>
      <w:r>
        <w:t>本报告的区域分析、掩膜字段、生成流程与消融建议属于我的阅读理解和拟研究方案。两篇综述提供基础依据，正式数据库与算法结论仍需后续实验建立。</w:t>
      </w:r>
    </w:p>
    <w:sectPr w:rsidR="00FC693F" w:rsidRPr="0006063C" w:rsidSect="00034616">
      <w:footerReference w:type="default" r:id="rId13"/>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cs="Microsoft YaHe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Microsoft YaHei" w:hAnsi="Microsoft YaHei" w:eastAsia="Microsoft YaHei" w:cs="Microsoft YaHe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Microsoft YaHei" w:hAnsi="Microsoft YaHei" w:eastAsia="Microsoft YaHei" w:cs="Microsoft YaHei"/>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Microsoft YaHei" w:hAnsi="Microsoft YaHei" w:eastAsia="Microsoft YaHei" w:cs="Microsoft YaHei"/>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Microsoft YaHei" w:hAnsi="Microsoft YaHei" w:eastAsia="Microsoft YaHei" w:cs="Microsoft YaHe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432-019-2757-1" TargetMode="External"/><Relationship Id="rId10" Type="http://schemas.openxmlformats.org/officeDocument/2006/relationships/hyperlink" Target="https://doi.org/10.1007/s11432-024-4133-3" TargetMode="External"/><Relationship Id="rId11" Type="http://schemas.openxmlformats.org/officeDocument/2006/relationships/image" Target="media/image1.png"/><Relationship Id="rId12" Type="http://schemas.openxmlformats.org/officeDocument/2006/relationships/hyperlink" Target="https://github.com/SSL92/hyperIQA"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实拍与AI局部生成混合的VR全景图像质量评价综述阅读报告</dc:title>
  <dc:subject>两篇感知图像与视频质量评价综述的阅读理解及研究方案</dc:subject>
  <dc:creator>shaw chenyu</dc:creator>
  <cp:keywords/>
  <dc:description>generated by python-docx</dc:description>
  <cp:lastModifiedBy/>
  <cp:revision>1</cp:revision>
  <dcterms:created xsi:type="dcterms:W3CDTF">2013-12-23T23:15:00Z</dcterms:created>
  <dcterms:modified xsi:type="dcterms:W3CDTF">2013-12-23T23:15:00Z</dcterms:modified>
  <cp:category/>
</cp:coreProperties>
</file>