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3D0EF">
      <w:pPr>
        <w:spacing w:before="400" w:after="200"/>
        <w:jc w:val="center"/>
        <w:rPr>
          <w:rFonts w:hint="eastAsia" w:ascii="黑体" w:hAnsi="黑体" w:eastAsia="黑体" w:cs="黑体"/>
          <w:b/>
          <w:bCs/>
          <w:sz w:val="36"/>
          <w:szCs w:val="36"/>
        </w:rPr>
      </w:pPr>
      <w:r>
        <w:rPr>
          <w:rFonts w:hint="eastAsia" w:ascii="黑体" w:hAnsi="黑体" w:eastAsia="黑体" w:cs="黑体"/>
          <w:b/>
          <w:bCs/>
          <w:sz w:val="36"/>
          <w:szCs w:val="36"/>
          <w:lang w:val="en-US" w:eastAsia="zh-CN"/>
        </w:rPr>
        <w:t>智慧银行</w:t>
      </w:r>
      <w:r>
        <w:rPr>
          <w:rFonts w:hint="eastAsia" w:ascii="黑体" w:hAnsi="黑体" w:eastAsia="黑体" w:cs="黑体"/>
          <w:b/>
          <w:bCs/>
          <w:sz w:val="36"/>
          <w:szCs w:val="36"/>
        </w:rPr>
        <w:t>实验报告</w:t>
      </w:r>
    </w:p>
    <w:p w14:paraId="7059F0CE">
      <w:pPr>
        <w:spacing w:after="2400"/>
        <w:jc w:val="center"/>
        <w:rPr>
          <w:rFonts w:hint="eastAsia" w:ascii="黑体" w:hAnsi="黑体" w:eastAsia="黑体" w:cs="黑体"/>
          <w:b/>
          <w:bCs/>
          <w:sz w:val="32"/>
          <w:szCs w:val="32"/>
        </w:rPr>
      </w:pPr>
      <w:r>
        <w:rPr>
          <w:rFonts w:hint="eastAsia" w:ascii="黑体" w:hAnsi="黑体" w:eastAsia="黑体" w:cs="黑体"/>
          <w:b/>
          <w:bCs/>
          <w:sz w:val="32"/>
          <w:szCs w:val="32"/>
        </w:rPr>
        <w:t>实验三</w:t>
      </w:r>
    </w:p>
    <w:p w14:paraId="6DEF26E9">
      <w:pPr>
        <w:spacing w:after="240"/>
        <w:jc w:val="center"/>
        <w:rPr>
          <w:rFonts w:hint="default" w:eastAsia="宋体"/>
          <w:lang w:val="en-US" w:eastAsia="zh-CN"/>
        </w:rPr>
      </w:pPr>
      <w:r>
        <w:rPr>
          <w:rFonts w:ascii="宋体" w:hAnsi="宋体" w:eastAsia="宋体" w:cs="宋体"/>
          <w:sz w:val="28"/>
          <w:szCs w:val="28"/>
        </w:rPr>
        <w:t xml:space="preserve">姓  </w:t>
      </w:r>
      <w:r>
        <w:rPr>
          <w:rFonts w:hint="eastAsia" w:cs="宋体"/>
          <w:sz w:val="28"/>
          <w:szCs w:val="28"/>
          <w:lang w:val="en-US" w:eastAsia="zh-CN"/>
        </w:rPr>
        <w:t xml:space="preserve"> </w:t>
      </w:r>
      <w:r>
        <w:rPr>
          <w:rFonts w:ascii="宋体" w:hAnsi="宋体" w:eastAsia="宋体" w:cs="宋体"/>
          <w:sz w:val="28"/>
          <w:szCs w:val="28"/>
        </w:rPr>
        <w:t xml:space="preserve">  名：</w:t>
      </w:r>
      <w:r>
        <w:rPr>
          <w:rFonts w:hint="eastAsia" w:cs="宋体"/>
          <w:sz w:val="28"/>
          <w:szCs w:val="28"/>
          <w:lang w:val="en-US" w:eastAsia="zh-CN"/>
        </w:rPr>
        <w:t>杨焰明</w:t>
      </w:r>
    </w:p>
    <w:p w14:paraId="21731B37">
      <w:pPr>
        <w:spacing w:after="240"/>
        <w:jc w:val="center"/>
        <w:rPr>
          <w:rFonts w:hint="default" w:eastAsia="宋体"/>
          <w:lang w:val="en-US" w:eastAsia="zh-CN"/>
        </w:rPr>
      </w:pPr>
      <w:r>
        <w:rPr>
          <w:rFonts w:hint="eastAsia" w:cs="宋体"/>
          <w:sz w:val="28"/>
          <w:szCs w:val="28"/>
          <w:lang w:val="en-US" w:eastAsia="zh-CN"/>
        </w:rPr>
        <w:t xml:space="preserve">     </w:t>
      </w:r>
      <w:r>
        <w:rPr>
          <w:rFonts w:ascii="宋体" w:hAnsi="宋体" w:eastAsia="宋体" w:cs="宋体"/>
          <w:sz w:val="28"/>
          <w:szCs w:val="28"/>
        </w:rPr>
        <w:t xml:space="preserve">学  </w:t>
      </w:r>
      <w:r>
        <w:rPr>
          <w:rFonts w:hint="eastAsia" w:cs="宋体"/>
          <w:sz w:val="28"/>
          <w:szCs w:val="28"/>
          <w:lang w:val="en-US" w:eastAsia="zh-CN"/>
        </w:rPr>
        <w:t xml:space="preserve"> </w:t>
      </w:r>
      <w:r>
        <w:rPr>
          <w:rFonts w:ascii="宋体" w:hAnsi="宋体" w:eastAsia="宋体" w:cs="宋体"/>
          <w:sz w:val="28"/>
          <w:szCs w:val="28"/>
        </w:rPr>
        <w:t xml:space="preserve">  号：</w:t>
      </w:r>
      <w:r>
        <w:rPr>
          <w:rFonts w:hint="eastAsia" w:cs="宋体"/>
          <w:sz w:val="28"/>
          <w:szCs w:val="28"/>
          <w:lang w:val="en-US" w:eastAsia="zh-CN"/>
        </w:rPr>
        <w:t>202301738</w:t>
      </w:r>
    </w:p>
    <w:p w14:paraId="5FC50A00">
      <w:pPr>
        <w:spacing w:after="240"/>
        <w:jc w:val="center"/>
        <w:rPr>
          <w:rFonts w:hint="default" w:eastAsia="宋体"/>
          <w:lang w:val="en-US" w:eastAsia="zh-CN"/>
        </w:rPr>
      </w:pPr>
      <w:r>
        <w:rPr>
          <w:rFonts w:hint="eastAsia" w:cs="宋体"/>
          <w:sz w:val="28"/>
          <w:szCs w:val="28"/>
          <w:lang w:val="en-US" w:eastAsia="zh-CN"/>
        </w:rPr>
        <w:t xml:space="preserve">       </w:t>
      </w:r>
      <w:r>
        <w:rPr>
          <w:rFonts w:ascii="宋体" w:hAnsi="宋体" w:eastAsia="宋体" w:cs="宋体"/>
          <w:sz w:val="28"/>
          <w:szCs w:val="28"/>
        </w:rPr>
        <w:t xml:space="preserve">班 </w:t>
      </w:r>
      <w:r>
        <w:rPr>
          <w:rFonts w:hint="eastAsia" w:cs="宋体"/>
          <w:sz w:val="28"/>
          <w:szCs w:val="28"/>
          <w:lang w:val="en-US" w:eastAsia="zh-CN"/>
        </w:rPr>
        <w:t xml:space="preserve"> </w:t>
      </w:r>
      <w:r>
        <w:rPr>
          <w:rFonts w:ascii="宋体" w:hAnsi="宋体" w:eastAsia="宋体" w:cs="宋体"/>
          <w:sz w:val="28"/>
          <w:szCs w:val="28"/>
        </w:rPr>
        <w:t xml:space="preserve">   级：金融</w:t>
      </w:r>
      <w:r>
        <w:rPr>
          <w:rFonts w:hint="eastAsia" w:cs="宋体"/>
          <w:sz w:val="28"/>
          <w:szCs w:val="28"/>
          <w:lang w:val="en-US" w:eastAsia="zh-CN"/>
        </w:rPr>
        <w:t>202301</w:t>
      </w:r>
    </w:p>
    <w:p w14:paraId="4BC63EBA">
      <w:r>
        <w:br w:type="page"/>
      </w:r>
    </w:p>
    <w:p w14:paraId="0551433A">
      <w:pPr>
        <w:pStyle w:val="2"/>
        <w:spacing w:before="360" w:after="240"/>
      </w:pPr>
      <w:r>
        <w:rPr>
          <w:rFonts w:ascii="宋体" w:hAnsi="宋体" w:eastAsia="宋体" w:cs="宋体"/>
          <w:b/>
          <w:bCs/>
          <w:sz w:val="32"/>
          <w:szCs w:val="32"/>
        </w:rPr>
        <w:t>实验目的</w:t>
      </w:r>
    </w:p>
    <w:p w14:paraId="2764B379">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本实验旨在通过实践操作，掌握智慧银行领域的核心技能和工具，包括客户信用评分、风险分析、贷款定价、舆情监控等业务场景，以及MCP技能市场的使用。实验涵盖了从数据准备、模型构建、报告生成到技能开发的完整流程。</w:t>
      </w:r>
    </w:p>
    <w:p w14:paraId="793B598B">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具体目标包括：</w:t>
      </w:r>
    </w:p>
    <w:p w14:paraId="5196B167">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掌握银行数字化转型的核心技术和工具</w:t>
      </w:r>
    </w:p>
    <w:p w14:paraId="09CB4C31">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学会使用MCP技能市场进行金融数据分析</w:t>
      </w:r>
    </w:p>
    <w:p w14:paraId="3179CED3">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培养创新思维和问题解决能力</w:t>
      </w:r>
    </w:p>
    <w:p w14:paraId="2E342BB5">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理解银行客户信用评分、贷款定价、风险预警等业务逻辑</w:t>
      </w:r>
    </w:p>
    <w:p w14:paraId="4AE597FD">
      <w:pPr>
        <w:pStyle w:val="2"/>
        <w:spacing w:before="360" w:after="240"/>
      </w:pPr>
      <w:r>
        <w:rPr>
          <w:rFonts w:ascii="宋体" w:hAnsi="宋体" w:eastAsia="宋体" w:cs="宋体"/>
          <w:b/>
          <w:bCs/>
          <w:sz w:val="32"/>
          <w:szCs w:val="32"/>
        </w:rPr>
        <w:t>实验环境</w:t>
      </w:r>
    </w:p>
    <w:p w14:paraId="7106C180">
      <w:pPr>
        <w:pStyle w:val="3"/>
        <w:spacing w:before="240" w:after="120"/>
      </w:pPr>
      <w:r>
        <w:rPr>
          <w:rFonts w:ascii="宋体" w:hAnsi="宋体" w:eastAsia="宋体" w:cs="宋体"/>
          <w:b/>
          <w:bCs/>
          <w:sz w:val="28"/>
          <w:szCs w:val="28"/>
        </w:rPr>
        <w:t>硬件环境</w:t>
      </w:r>
    </w:p>
    <w:p w14:paraId="45CEACB9">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操作系统：Windows 11</w:t>
      </w:r>
    </w:p>
    <w:p w14:paraId="38DE6888">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CPU：Intel Core i7-12700</w:t>
      </w:r>
    </w:p>
    <w:p w14:paraId="1F931C95">
      <w:pPr>
        <w:pStyle w:val="3"/>
        <w:spacing w:before="240" w:after="120"/>
      </w:pPr>
      <w:r>
        <w:rPr>
          <w:rFonts w:ascii="宋体" w:hAnsi="宋体" w:eastAsia="宋体" w:cs="宋体"/>
          <w:b/>
          <w:bCs/>
          <w:sz w:val="28"/>
          <w:szCs w:val="28"/>
        </w:rPr>
        <w:t>软件环境</w:t>
      </w:r>
    </w:p>
    <w:p w14:paraId="64F985F9">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Python版本：3.12.x</w:t>
      </w:r>
    </w:p>
    <w:p w14:paraId="7FEED1CD">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Node.js版本：v20.x</w:t>
      </w:r>
    </w:p>
    <w:p w14:paraId="6586192A">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Git版本：2.45.x</w:t>
      </w:r>
    </w:p>
    <w:p w14:paraId="1082A79C">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主要工具：Pandas、NumPy、Matplotlib、docx、openpyxl</w:t>
      </w:r>
    </w:p>
    <w:p w14:paraId="0FE620C9">
      <w:pPr>
        <w:pStyle w:val="3"/>
        <w:spacing w:before="240" w:after="120"/>
      </w:pPr>
      <w:r>
        <w:rPr>
          <w:rFonts w:ascii="宋体" w:hAnsi="宋体" w:eastAsia="宋体" w:cs="宋体"/>
          <w:b/>
          <w:bCs/>
          <w:sz w:val="28"/>
          <w:szCs w:val="28"/>
        </w:rPr>
        <w:t>MCP技能</w:t>
      </w:r>
    </w:p>
    <w:p w14:paraId="02A1B3C6">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docx：Word文档生成与编辑</w:t>
      </w:r>
    </w:p>
    <w:p w14:paraId="550C2A91">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finance-expert：金融专业知识咨询</w:t>
      </w:r>
    </w:p>
    <w:p w14:paraId="7DBF80B6">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xlsx：Excel数据处理</w:t>
      </w:r>
    </w:p>
    <w:p w14:paraId="294470EB">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finance-news：金融新闻分析</w:t>
      </w:r>
    </w:p>
    <w:p w14:paraId="1E7D9288">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consulting-frameworks：咨询框架应用</w:t>
      </w:r>
    </w:p>
    <w:p w14:paraId="03FC68E7">
      <w:pPr>
        <w:rPr>
          <w:rFonts w:ascii="宋体" w:hAnsi="宋体" w:eastAsia="宋体" w:cs="宋体"/>
          <w:b/>
          <w:bCs/>
          <w:sz w:val="32"/>
          <w:szCs w:val="32"/>
        </w:rPr>
      </w:pPr>
      <w:r>
        <w:br w:type="page"/>
      </w:r>
      <w:r>
        <w:rPr>
          <w:rFonts w:ascii="宋体" w:hAnsi="宋体" w:eastAsia="宋体" w:cs="宋体"/>
          <w:b/>
          <w:bCs/>
          <w:sz w:val="32"/>
          <w:szCs w:val="32"/>
        </w:rPr>
        <w:t>实验步骤</w:t>
      </w:r>
    </w:p>
    <w:p w14:paraId="7CE33C26">
      <w:pPr>
        <w:pStyle w:val="3"/>
        <w:spacing w:before="240" w:after="120"/>
        <w:rPr>
          <w:rFonts w:hint="eastAsia" w:cs="宋体"/>
          <w:b/>
          <w:bCs/>
          <w:sz w:val="28"/>
          <w:szCs w:val="28"/>
          <w:lang w:val="en-US" w:eastAsia="zh-CN"/>
        </w:rPr>
      </w:pPr>
      <w:r>
        <w:rPr>
          <w:rFonts w:ascii="宋体" w:hAnsi="宋体" w:eastAsia="宋体" w:cs="宋体"/>
          <w:b/>
          <w:bCs/>
          <w:sz w:val="28"/>
          <w:szCs w:val="28"/>
        </w:rPr>
        <w:t>步骤1：</w:t>
      </w:r>
      <w:r>
        <w:rPr>
          <w:rFonts w:hint="eastAsia" w:cs="宋体"/>
          <w:b/>
          <w:bCs/>
          <w:sz w:val="28"/>
          <w:szCs w:val="28"/>
          <w:lang w:val="en-US" w:eastAsia="zh-CN"/>
        </w:rPr>
        <w:t>环境配置</w:t>
      </w:r>
    </w:p>
    <w:p w14:paraId="1DB0B09D">
      <w:pPr>
        <w:pStyle w:val="3"/>
        <w:spacing w:before="240" w:after="120"/>
        <w:rPr>
          <w:rFonts w:hint="default"/>
          <w:lang w:val="en-US" w:eastAsia="zh-CN"/>
        </w:rPr>
      </w:pPr>
      <w:r>
        <w:drawing>
          <wp:inline distT="0" distB="0" distL="114300" distR="114300">
            <wp:extent cx="5730875" cy="5355590"/>
            <wp:effectExtent l="0" t="0" r="952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730875" cy="5355590"/>
                    </a:xfrm>
                    <a:prstGeom prst="rect">
                      <a:avLst/>
                    </a:prstGeom>
                    <a:noFill/>
                    <a:ln>
                      <a:noFill/>
                    </a:ln>
                  </pic:spPr>
                </pic:pic>
              </a:graphicData>
            </a:graphic>
          </wp:inline>
        </w:drawing>
      </w:r>
    </w:p>
    <w:p w14:paraId="4DE99BC9"/>
    <w:p w14:paraId="73488399">
      <w:pPr>
        <w:pStyle w:val="3"/>
        <w:spacing w:before="240" w:after="120"/>
      </w:pPr>
      <w:r>
        <w:rPr>
          <w:rFonts w:ascii="宋体" w:hAnsi="宋体" w:eastAsia="宋体" w:cs="宋体"/>
          <w:b/>
          <w:bCs/>
          <w:sz w:val="28"/>
          <w:szCs w:val="28"/>
        </w:rPr>
        <w:t>步骤</w:t>
      </w:r>
      <w:r>
        <w:rPr>
          <w:rFonts w:hint="eastAsia" w:cs="宋体"/>
          <w:b/>
          <w:bCs/>
          <w:sz w:val="28"/>
          <w:szCs w:val="28"/>
          <w:lang w:val="en-US" w:eastAsia="zh-CN"/>
        </w:rPr>
        <w:t>2</w:t>
      </w:r>
      <w:r>
        <w:rPr>
          <w:rFonts w:ascii="宋体" w:hAnsi="宋体" w:eastAsia="宋体" w:cs="宋体"/>
          <w:b/>
          <w:bCs/>
          <w:sz w:val="28"/>
          <w:szCs w:val="28"/>
        </w:rPr>
        <w:t>：客户回访报告生成</w:t>
      </w:r>
    </w:p>
    <w:p w14:paraId="66D1AB73">
      <w:pPr>
        <w:pStyle w:val="4"/>
        <w:spacing w:before="200" w:after="100"/>
      </w:pPr>
      <w:r>
        <w:rPr>
          <w:rFonts w:ascii="宋体" w:hAnsi="宋体" w:eastAsia="宋体" w:cs="宋体"/>
          <w:b/>
          <w:bCs/>
          <w:sz w:val="24"/>
          <w:szCs w:val="24"/>
        </w:rPr>
        <w:t>任务描述</w:t>
      </w:r>
    </w:p>
    <w:p w14:paraId="5D047642">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使用docx MCP技能为客户C00001生成结构完整的客户回访报告，包含客户基本信息、回访背景、沟通要点、客户反馈、产品意向、跟进计划等章节。</w:t>
      </w:r>
    </w:p>
    <w:p w14:paraId="49199408">
      <w:pPr>
        <w:pStyle w:val="4"/>
        <w:spacing w:before="200" w:after="100"/>
      </w:pPr>
      <w:r>
        <w:rPr>
          <w:rFonts w:ascii="宋体" w:hAnsi="宋体" w:eastAsia="宋体" w:cs="宋体"/>
          <w:b/>
          <w:bCs/>
          <w:sz w:val="24"/>
          <w:szCs w:val="24"/>
        </w:rPr>
        <w:t>操作过程</w:t>
      </w:r>
    </w:p>
    <w:p w14:paraId="288D104B">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调用docx技能，创建Word文档模板</w:t>
      </w:r>
    </w:p>
    <w:p w14:paraId="17EC6781">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设置正式封面、目录和页码</w:t>
      </w:r>
    </w:p>
    <w:p w14:paraId="5A28FB46">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添加页眉「内部文件·密级：内部」</w:t>
      </w:r>
    </w:p>
    <w:p w14:paraId="0EFD25C0">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填充6个标准章节内容</w:t>
      </w:r>
    </w:p>
    <w:p w14:paraId="32D3C134">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生成文档并保存至reports/客户回访报告_C00001.docx</w:t>
      </w:r>
    </w:p>
    <w:p w14:paraId="7EACC9A6">
      <w:pPr>
        <w:pStyle w:val="18"/>
        <w:numPr>
          <w:ilvl w:val="0"/>
          <w:numId w:val="0"/>
        </w:numPr>
        <w:spacing w:after="80"/>
      </w:pPr>
      <w:r>
        <w:drawing>
          <wp:inline distT="0" distB="0" distL="114300" distR="114300">
            <wp:extent cx="5727065" cy="3947160"/>
            <wp:effectExtent l="0" t="0" r="63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727065" cy="3947160"/>
                    </a:xfrm>
                    <a:prstGeom prst="rect">
                      <a:avLst/>
                    </a:prstGeom>
                    <a:noFill/>
                    <a:ln>
                      <a:noFill/>
                    </a:ln>
                  </pic:spPr>
                </pic:pic>
              </a:graphicData>
            </a:graphic>
          </wp:inline>
        </w:drawing>
      </w:r>
    </w:p>
    <w:p w14:paraId="185BE98F">
      <w:pPr>
        <w:pStyle w:val="3"/>
        <w:spacing w:before="240" w:after="120"/>
      </w:pPr>
      <w:r>
        <w:rPr>
          <w:rFonts w:ascii="宋体" w:hAnsi="宋体" w:eastAsia="宋体" w:cs="宋体"/>
          <w:b/>
          <w:bCs/>
          <w:sz w:val="28"/>
          <w:szCs w:val="28"/>
        </w:rPr>
        <w:t>步骤</w:t>
      </w:r>
      <w:r>
        <w:rPr>
          <w:rFonts w:hint="eastAsia" w:ascii="宋体" w:hAnsi="宋体" w:eastAsia="宋体" w:cs="宋体"/>
          <w:b/>
          <w:bCs/>
          <w:sz w:val="28"/>
          <w:szCs w:val="28"/>
          <w:lang w:val="en-US" w:eastAsia="zh-CN"/>
        </w:rPr>
        <w:t>3</w:t>
      </w:r>
      <w:r>
        <w:rPr>
          <w:rFonts w:ascii="宋体" w:hAnsi="宋体" w:eastAsia="宋体" w:cs="宋体"/>
          <w:b/>
          <w:bCs/>
          <w:sz w:val="28"/>
          <w:szCs w:val="28"/>
        </w:rPr>
        <w:t>：银行信用风险分析</w:t>
      </w:r>
    </w:p>
    <w:p w14:paraId="7AA5DFF2">
      <w:pPr>
        <w:pStyle w:val="4"/>
        <w:spacing w:before="200" w:after="100"/>
      </w:pPr>
      <w:r>
        <w:rPr>
          <w:rFonts w:ascii="宋体" w:hAnsi="宋体" w:eastAsia="宋体" w:cs="宋体"/>
          <w:b/>
          <w:bCs/>
          <w:sz w:val="24"/>
          <w:szCs w:val="24"/>
        </w:rPr>
        <w:t>任务描述</w:t>
      </w:r>
    </w:p>
    <w:p w14:paraId="7D730DE5">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pPr>
      <w:r>
        <w:rPr>
          <w:rFonts w:ascii="宋体" w:hAnsi="宋体" w:eastAsia="宋体" w:cs="宋体"/>
          <w:sz w:val="24"/>
          <w:szCs w:val="24"/>
        </w:rPr>
        <w:t>构建企业信用评估框架，计算关键风控指标，生成结构化风险评估报告。</w:t>
      </w:r>
    </w:p>
    <w:p w14:paraId="21109C0E">
      <w:pPr>
        <w:pStyle w:val="4"/>
        <w:spacing w:before="200" w:after="100"/>
      </w:pPr>
      <w:r>
        <w:rPr>
          <w:rFonts w:ascii="宋体" w:hAnsi="宋体" w:eastAsia="宋体" w:cs="宋体"/>
          <w:b/>
          <w:bCs/>
          <w:sz w:val="24"/>
          <w:szCs w:val="24"/>
        </w:rPr>
        <w:t>操作过程</w:t>
      </w:r>
    </w:p>
    <w:p w14:paraId="10CBC925">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收集恒达机械制造有限公司财务数据</w:t>
      </w:r>
    </w:p>
    <w:p w14:paraId="04293B6D">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计算资产负债率、流动比率、速动比率</w:t>
      </w:r>
    </w:p>
    <w:p w14:paraId="1476A07F">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计算Altman Z-Score评分</w:t>
      </w:r>
    </w:p>
    <w:p w14:paraId="0E76F047">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生成企业画像和财务健康度评分</w:t>
      </w:r>
    </w:p>
    <w:p w14:paraId="0A152742">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输出风险评估报告至reports/credit_risk_hengda.md</w:t>
      </w:r>
    </w:p>
    <w:p w14:paraId="2CAD6142">
      <w:pPr>
        <w:keepNext w:val="0"/>
        <w:keepLines w:val="0"/>
        <w:pageBreakBefore w:val="0"/>
        <w:kinsoku/>
        <w:wordWrap/>
        <w:overflowPunct/>
        <w:topLinePunct w:val="0"/>
        <w:autoSpaceDE/>
        <w:autoSpaceDN/>
        <w:bidi w:val="0"/>
        <w:adjustRightInd/>
        <w:snapToGrid/>
        <w:spacing w:after="120" w:line="360" w:lineRule="auto"/>
        <w:jc w:val="left"/>
        <w:textAlignment w:val="auto"/>
      </w:pPr>
      <w:r>
        <w:drawing>
          <wp:inline distT="0" distB="0" distL="114300" distR="114300">
            <wp:extent cx="5730875" cy="3712845"/>
            <wp:effectExtent l="0" t="0" r="952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730875" cy="3712845"/>
                    </a:xfrm>
                    <a:prstGeom prst="rect">
                      <a:avLst/>
                    </a:prstGeom>
                    <a:noFill/>
                    <a:ln>
                      <a:noFill/>
                    </a:ln>
                  </pic:spPr>
                </pic:pic>
              </a:graphicData>
            </a:graphic>
          </wp:inline>
        </w:drawing>
      </w:r>
    </w:p>
    <w:p w14:paraId="734DD80A">
      <w:pPr>
        <w:pStyle w:val="3"/>
        <w:spacing w:before="240" w:after="120"/>
      </w:pPr>
      <w:r>
        <w:rPr>
          <w:rFonts w:ascii="宋体" w:hAnsi="宋体" w:eastAsia="宋体" w:cs="宋体"/>
          <w:b/>
          <w:bCs/>
          <w:sz w:val="28"/>
          <w:szCs w:val="28"/>
        </w:rPr>
        <w:t>步骤</w:t>
      </w:r>
      <w:r>
        <w:rPr>
          <w:rFonts w:hint="eastAsia" w:cs="宋体"/>
          <w:b/>
          <w:bCs/>
          <w:sz w:val="28"/>
          <w:szCs w:val="28"/>
          <w:lang w:val="en-US" w:eastAsia="zh-CN"/>
        </w:rPr>
        <w:t>4</w:t>
      </w:r>
      <w:r>
        <w:rPr>
          <w:rFonts w:ascii="宋体" w:hAnsi="宋体" w:eastAsia="宋体" w:cs="宋体"/>
          <w:b/>
          <w:bCs/>
          <w:sz w:val="28"/>
          <w:szCs w:val="28"/>
        </w:rPr>
        <w:t>：银行贷款定价模型</w:t>
      </w:r>
    </w:p>
    <w:p w14:paraId="0922AB2F">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构建贷款定价公式，包含资金成本、风险溢价、运营成本、资本占用成本、目标利润等要素。</w:t>
      </w:r>
    </w:p>
    <w:p w14:paraId="466B62A3">
      <w:pPr>
        <w:pStyle w:val="4"/>
        <w:spacing w:before="200" w:after="100"/>
      </w:pPr>
      <w:r>
        <w:rPr>
          <w:rFonts w:ascii="宋体" w:hAnsi="宋体" w:eastAsia="宋体" w:cs="宋体"/>
          <w:b/>
          <w:bCs/>
          <w:sz w:val="24"/>
          <w:szCs w:val="24"/>
        </w:rPr>
        <w:t>操作过程</w:t>
      </w:r>
    </w:p>
    <w:p w14:paraId="25AB7CD7">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设计定价参数表（Sheet1）</w:t>
      </w:r>
    </w:p>
    <w:p w14:paraId="39444D7D">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为5位不同客户自动计算贷款报价（Sheet2）</w:t>
      </w:r>
    </w:p>
    <w:p w14:paraId="6D6D5C17">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分析FTP变动和信用等级变化对利率的影响（Sheet3）</w:t>
      </w:r>
    </w:p>
    <w:p w14:paraId="5316292C">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生成Excel文件至reports/loan_pricing_model.xlsx</w:t>
      </w:r>
    </w:p>
    <w:p w14:paraId="58F0F8F2">
      <w:pPr>
        <w:keepNext w:val="0"/>
        <w:keepLines w:val="0"/>
        <w:pageBreakBefore w:val="0"/>
        <w:kinsoku/>
        <w:wordWrap/>
        <w:overflowPunct/>
        <w:topLinePunct w:val="0"/>
        <w:autoSpaceDE/>
        <w:autoSpaceDN/>
        <w:bidi w:val="0"/>
        <w:adjustRightInd/>
        <w:snapToGrid/>
        <w:spacing w:after="120" w:line="360" w:lineRule="auto"/>
        <w:ind w:firstLine="420" w:firstLineChars="200"/>
        <w:jc w:val="left"/>
        <w:textAlignment w:val="auto"/>
      </w:pPr>
      <w:r>
        <w:drawing>
          <wp:inline distT="0" distB="0" distL="114300" distR="114300">
            <wp:extent cx="5728335" cy="5502275"/>
            <wp:effectExtent l="0" t="0" r="1206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728335" cy="5502275"/>
                    </a:xfrm>
                    <a:prstGeom prst="rect">
                      <a:avLst/>
                    </a:prstGeom>
                    <a:noFill/>
                    <a:ln>
                      <a:noFill/>
                    </a:ln>
                  </pic:spPr>
                </pic:pic>
              </a:graphicData>
            </a:graphic>
          </wp:inline>
        </w:drawing>
      </w:r>
    </w:p>
    <w:p w14:paraId="6667687D">
      <w:pPr>
        <w:pStyle w:val="3"/>
        <w:spacing w:before="240" w:after="120"/>
      </w:pPr>
      <w:r>
        <w:rPr>
          <w:rFonts w:ascii="宋体" w:hAnsi="宋体" w:eastAsia="宋体" w:cs="宋体"/>
          <w:b/>
          <w:bCs/>
          <w:sz w:val="28"/>
          <w:szCs w:val="28"/>
        </w:rPr>
        <w:t>步骤</w:t>
      </w:r>
      <w:r>
        <w:rPr>
          <w:rFonts w:hint="eastAsia" w:cs="宋体"/>
          <w:b/>
          <w:bCs/>
          <w:sz w:val="28"/>
          <w:szCs w:val="28"/>
          <w:lang w:val="en-US" w:eastAsia="zh-CN"/>
        </w:rPr>
        <w:t>5</w:t>
      </w:r>
      <w:r>
        <w:rPr>
          <w:rFonts w:ascii="宋体" w:hAnsi="宋体" w:eastAsia="宋体" w:cs="宋体"/>
          <w:b/>
          <w:bCs/>
          <w:sz w:val="28"/>
          <w:szCs w:val="28"/>
        </w:rPr>
        <w:t>：自写bank-risk-alert Skill</w:t>
      </w:r>
    </w:p>
    <w:p w14:paraId="3DF5B355">
      <w:pPr>
        <w:pStyle w:val="4"/>
        <w:spacing w:before="200" w:after="100"/>
      </w:pPr>
      <w:r>
        <w:rPr>
          <w:rFonts w:ascii="宋体" w:hAnsi="宋体" w:eastAsia="宋体" w:cs="宋体"/>
          <w:b/>
          <w:bCs/>
          <w:sz w:val="24"/>
          <w:szCs w:val="24"/>
        </w:rPr>
        <w:t>任务描述</w:t>
      </w:r>
    </w:p>
    <w:p w14:paraId="6B14C54B">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开发银行风险预警Skill，实现风险信号识别、分级预警、话术生成等功能。</w:t>
      </w:r>
    </w:p>
    <w:p w14:paraId="119FF575">
      <w:pPr>
        <w:pStyle w:val="4"/>
        <w:spacing w:before="200" w:after="100"/>
      </w:pPr>
      <w:r>
        <w:rPr>
          <w:rFonts w:ascii="宋体" w:hAnsi="宋体" w:eastAsia="宋体" w:cs="宋体"/>
          <w:b/>
          <w:bCs/>
          <w:sz w:val="24"/>
          <w:szCs w:val="24"/>
        </w:rPr>
        <w:t>操作过程</w:t>
      </w:r>
    </w:p>
    <w:p w14:paraId="0FB6A358">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定义触发词：「风险预警」「贷后预警」「逾期提醒」「risk alert」</w:t>
      </w:r>
    </w:p>
    <w:p w14:paraId="7234C92C">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设计输入参数：客户名称、预警信号类型、风险等级、贷款余额与到期日</w:t>
      </w:r>
    </w:p>
    <w:p w14:paraId="1D9BB7C5">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创建输出模板：预警摘要卡片、客户经理话术、内部上报邮件模板、跟进工单</w:t>
      </w:r>
    </w:p>
    <w:p w14:paraId="1105201F">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制定分级逻辑：黄色（7日内跟进）、橙色（3日内上报）、红色（当日上报）</w:t>
      </w:r>
    </w:p>
    <w:p w14:paraId="03B4591B">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保存Skill文件至skills/bank-risk-alert/SKILL.md</w:t>
      </w:r>
    </w:p>
    <w:p w14:paraId="4A6AFED8">
      <w:pPr>
        <w:pStyle w:val="18"/>
        <w:numPr>
          <w:ilvl w:val="0"/>
          <w:numId w:val="1"/>
        </w:numPr>
        <w:spacing w:after="80"/>
      </w:pPr>
      <w:r>
        <w:drawing>
          <wp:inline distT="0" distB="0" distL="114300" distR="114300">
            <wp:extent cx="5730875" cy="1483995"/>
            <wp:effectExtent l="0" t="0" r="952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730875" cy="1483995"/>
                    </a:xfrm>
                    <a:prstGeom prst="rect">
                      <a:avLst/>
                    </a:prstGeom>
                    <a:noFill/>
                    <a:ln>
                      <a:noFill/>
                    </a:ln>
                  </pic:spPr>
                </pic:pic>
              </a:graphicData>
            </a:graphic>
          </wp:inline>
        </w:drawing>
      </w:r>
    </w:p>
    <w:p w14:paraId="59CE4A80">
      <w:pPr>
        <w:pStyle w:val="3"/>
        <w:spacing w:before="240" w:after="120"/>
      </w:pPr>
      <w:r>
        <w:rPr>
          <w:rFonts w:ascii="宋体" w:hAnsi="宋体" w:eastAsia="宋体" w:cs="宋体"/>
          <w:b/>
          <w:bCs/>
          <w:sz w:val="28"/>
          <w:szCs w:val="28"/>
        </w:rPr>
        <w:t>步骤</w:t>
      </w:r>
      <w:r>
        <w:rPr>
          <w:rFonts w:hint="eastAsia" w:cs="宋体"/>
          <w:b/>
          <w:bCs/>
          <w:sz w:val="28"/>
          <w:szCs w:val="28"/>
          <w:lang w:val="en-US" w:eastAsia="zh-CN"/>
        </w:rPr>
        <w:t>6</w:t>
      </w:r>
      <w:r>
        <w:rPr>
          <w:rFonts w:ascii="宋体" w:hAnsi="宋体" w:eastAsia="宋体" w:cs="宋体"/>
          <w:b/>
          <w:bCs/>
          <w:sz w:val="28"/>
          <w:szCs w:val="28"/>
        </w:rPr>
        <w:t>：金融Skill安全审计</w:t>
      </w:r>
    </w:p>
    <w:p w14:paraId="258BA3CD">
      <w:pPr>
        <w:pStyle w:val="4"/>
        <w:spacing w:before="200" w:after="100"/>
      </w:pPr>
      <w:r>
        <w:rPr>
          <w:rFonts w:ascii="宋体" w:hAnsi="宋体" w:eastAsia="宋体" w:cs="宋体"/>
          <w:b/>
          <w:bCs/>
          <w:sz w:val="24"/>
          <w:szCs w:val="24"/>
        </w:rPr>
        <w:t>任务描述</w:t>
      </w:r>
    </w:p>
    <w:p w14:paraId="2FE988F9">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从触发词设计、输出质量、数据安全、合规风险等维度对finance-expert Skill进行审计。</w:t>
      </w:r>
    </w:p>
    <w:p w14:paraId="7EE8B1EA">
      <w:pPr>
        <w:spacing w:after="120" w:line="360" w:lineRule="auto"/>
        <w:ind w:firstLine="480"/>
        <w:rPr>
          <w:rFonts w:ascii="宋体" w:hAnsi="宋体" w:eastAsia="宋体" w:cs="宋体"/>
          <w:sz w:val="21"/>
          <w:szCs w:val="21"/>
        </w:rPr>
      </w:pPr>
      <w:r>
        <w:drawing>
          <wp:inline distT="0" distB="0" distL="114300" distR="114300">
            <wp:extent cx="5728335" cy="582295"/>
            <wp:effectExtent l="0" t="0" r="1206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728335" cy="582295"/>
                    </a:xfrm>
                    <a:prstGeom prst="rect">
                      <a:avLst/>
                    </a:prstGeom>
                    <a:noFill/>
                    <a:ln>
                      <a:noFill/>
                    </a:ln>
                  </pic:spPr>
                </pic:pic>
              </a:graphicData>
            </a:graphic>
          </wp:inline>
        </w:drawing>
      </w:r>
    </w:p>
    <w:p w14:paraId="0404A181">
      <w:pPr>
        <w:pStyle w:val="4"/>
        <w:spacing w:before="200" w:after="100"/>
      </w:pPr>
      <w:r>
        <w:rPr>
          <w:rFonts w:ascii="宋体" w:hAnsi="宋体" w:eastAsia="宋体" w:cs="宋体"/>
          <w:b/>
          <w:bCs/>
          <w:sz w:val="24"/>
          <w:szCs w:val="24"/>
        </w:rPr>
        <w:t>操作过程</w:t>
      </w:r>
    </w:p>
    <w:p w14:paraId="5311D08C">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分析触发词设计合理性（评分：8/10）</w:t>
      </w:r>
    </w:p>
    <w:p w14:paraId="40B6B396">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评估输出质量（评分：8/10）</w:t>
      </w:r>
    </w:p>
    <w:p w14:paraId="351B4B9A">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检查数据安全机制（评分：7/10）</w:t>
      </w:r>
    </w:p>
    <w:p w14:paraId="6F88C2D6">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识别合规风险（评分：7/10）</w:t>
      </w:r>
    </w:p>
    <w:p w14:paraId="5DA379C3">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提出3条具体改进建议</w:t>
      </w:r>
    </w:p>
    <w:p w14:paraId="74677C95">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生成审计报告至reports/skill_audit_report.md</w:t>
      </w:r>
    </w:p>
    <w:p w14:paraId="4B9A95A8">
      <w:pPr>
        <w:pStyle w:val="3"/>
        <w:spacing w:before="240" w:after="12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步骤</w:t>
      </w:r>
      <w:r>
        <w:rPr>
          <w:rFonts w:hint="eastAsia" w:cs="宋体"/>
          <w:b/>
          <w:bCs/>
          <w:sz w:val="28"/>
          <w:szCs w:val="28"/>
          <w:lang w:val="en-US" w:eastAsia="zh-CN"/>
        </w:rPr>
        <w:t>7</w:t>
      </w:r>
      <w:r>
        <w:rPr>
          <w:rFonts w:hint="eastAsia" w:ascii="宋体" w:hAnsi="宋体" w:eastAsia="宋体" w:cs="宋体"/>
          <w:b/>
          <w:bCs/>
          <w:sz w:val="28"/>
          <w:szCs w:val="28"/>
          <w:lang w:val="en-US" w:eastAsia="zh-CN"/>
        </w:rPr>
        <w:t>：金融新闻舆情分析</w:t>
      </w:r>
    </w:p>
    <w:p w14:paraId="632DD65B">
      <w:pPr>
        <w:pStyle w:val="18"/>
        <w:numPr>
          <w:ilvl w:val="0"/>
          <w:numId w:val="0"/>
        </w:numPr>
        <w:spacing w:after="80"/>
      </w:pPr>
      <w:r>
        <w:drawing>
          <wp:inline distT="0" distB="0" distL="114300" distR="114300">
            <wp:extent cx="4665980" cy="3225165"/>
            <wp:effectExtent l="0" t="0" r="762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665980" cy="3225165"/>
                    </a:xfrm>
                    <a:prstGeom prst="rect">
                      <a:avLst/>
                    </a:prstGeom>
                    <a:noFill/>
                    <a:ln>
                      <a:noFill/>
                    </a:ln>
                  </pic:spPr>
                </pic:pic>
              </a:graphicData>
            </a:graphic>
          </wp:inline>
        </w:drawing>
      </w:r>
    </w:p>
    <w:p w14:paraId="32FFA175">
      <w:pPr>
        <w:pStyle w:val="3"/>
        <w:spacing w:before="240" w:after="12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步骤</w:t>
      </w:r>
      <w:r>
        <w:rPr>
          <w:rFonts w:hint="eastAsia" w:cs="宋体"/>
          <w:b/>
          <w:bCs/>
          <w:sz w:val="28"/>
          <w:szCs w:val="28"/>
          <w:lang w:val="en-US" w:eastAsia="zh-CN"/>
        </w:rPr>
        <w:t>8</w:t>
      </w:r>
      <w:r>
        <w:rPr>
          <w:rFonts w:hint="eastAsia" w:ascii="宋体" w:hAnsi="宋体" w:eastAsia="宋体" w:cs="宋体"/>
          <w:b/>
          <w:bCs/>
          <w:sz w:val="28"/>
          <w:szCs w:val="28"/>
          <w:lang w:val="en-US" w:eastAsia="zh-CN"/>
        </w:rPr>
        <w:t>：咨询框架分析银行数字化转型</w:t>
      </w:r>
    </w:p>
    <w:p w14:paraId="3E59B6D6">
      <w:pPr>
        <w:pStyle w:val="18"/>
        <w:numPr>
          <w:ilvl w:val="0"/>
          <w:numId w:val="0"/>
        </w:numPr>
        <w:spacing w:after="80"/>
        <w:rPr>
          <w:rFonts w:hint="default"/>
          <w:lang w:val="en-US" w:eastAsia="zh-CN"/>
        </w:rPr>
      </w:pPr>
      <w:r>
        <w:drawing>
          <wp:inline distT="0" distB="0" distL="114300" distR="114300">
            <wp:extent cx="5730240" cy="5005705"/>
            <wp:effectExtent l="0" t="0" r="1016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30240" cy="5005705"/>
                    </a:xfrm>
                    <a:prstGeom prst="rect">
                      <a:avLst/>
                    </a:prstGeom>
                    <a:noFill/>
                    <a:ln>
                      <a:noFill/>
                    </a:ln>
                  </pic:spPr>
                </pic:pic>
              </a:graphicData>
            </a:graphic>
          </wp:inline>
        </w:drawing>
      </w:r>
    </w:p>
    <w:p w14:paraId="00F4895D">
      <w:r>
        <w:br w:type="page"/>
      </w:r>
    </w:p>
    <w:p w14:paraId="10B94533">
      <w:pPr>
        <w:pStyle w:val="2"/>
        <w:spacing w:before="360" w:after="240"/>
      </w:pPr>
      <w:r>
        <w:rPr>
          <w:rFonts w:ascii="宋体" w:hAnsi="宋体" w:eastAsia="宋体" w:cs="宋体"/>
          <w:b/>
          <w:bCs/>
          <w:sz w:val="32"/>
          <w:szCs w:val="32"/>
        </w:rPr>
        <w:t>实验结果</w:t>
      </w:r>
    </w:p>
    <w:p w14:paraId="22F3D9FE">
      <w:pPr>
        <w:pStyle w:val="3"/>
        <w:spacing w:before="240" w:after="120"/>
        <w:rPr>
          <w:rFonts w:hint="eastAsia" w:eastAsia="宋体"/>
          <w:lang w:eastAsia="zh-CN"/>
        </w:rPr>
      </w:pPr>
      <w:r>
        <w:rPr>
          <w:rFonts w:ascii="宋体" w:hAnsi="宋体" w:eastAsia="宋体" w:cs="宋体"/>
          <w:b/>
          <w:bCs/>
          <w:sz w:val="28"/>
          <w:szCs w:val="28"/>
        </w:rPr>
        <w:t>一、交付物清单</w:t>
      </w:r>
    </w:p>
    <w:p w14:paraId="5C07C1F8">
      <w:pPr>
        <w:pStyle w:val="3"/>
        <w:spacing w:before="240" w:after="120"/>
      </w:pPr>
      <w:r>
        <w:drawing>
          <wp:inline distT="0" distB="0" distL="114300" distR="114300">
            <wp:extent cx="5817870" cy="2576830"/>
            <wp:effectExtent l="0" t="0" r="1143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817870" cy="2576830"/>
                    </a:xfrm>
                    <a:prstGeom prst="rect">
                      <a:avLst/>
                    </a:prstGeom>
                    <a:noFill/>
                    <a:ln>
                      <a:noFill/>
                    </a:ln>
                  </pic:spPr>
                </pic:pic>
              </a:graphicData>
            </a:graphic>
          </wp:inline>
        </w:drawing>
      </w:r>
      <w:r>
        <w:rPr>
          <w:rFonts w:ascii="宋体" w:hAnsi="宋体" w:eastAsia="宋体" w:cs="宋体"/>
          <w:b/>
          <w:bCs/>
          <w:sz w:val="28"/>
          <w:szCs w:val="28"/>
        </w:rPr>
        <w:t>二、bank-risk-alert Skill测试结果</w:t>
      </w:r>
    </w:p>
    <w:p w14:paraId="52972CA3">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测试输入：客户「恒达机械」出现连续2期利息逾期，贷款余额500万，到期日2026-09-30，预警等级为橙色。</w:t>
      </w:r>
    </w:p>
    <w:p w14:paraId="4130A3E1">
      <w:pPr>
        <w:spacing w:after="120" w:line="360" w:lineRule="auto"/>
        <w:ind w:firstLine="480"/>
        <w:rPr>
          <w:rFonts w:ascii="宋体" w:hAnsi="宋体" w:eastAsia="宋体" w:cs="宋体"/>
          <w:sz w:val="21"/>
          <w:szCs w:val="21"/>
        </w:rPr>
      </w:pPr>
      <w:r>
        <w:drawing>
          <wp:inline distT="0" distB="0" distL="114300" distR="114300">
            <wp:extent cx="5730875" cy="2853055"/>
            <wp:effectExtent l="0" t="0" r="952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730875" cy="2853055"/>
                    </a:xfrm>
                    <a:prstGeom prst="rect">
                      <a:avLst/>
                    </a:prstGeom>
                    <a:noFill/>
                    <a:ln>
                      <a:noFill/>
                    </a:ln>
                  </pic:spPr>
                </pic:pic>
              </a:graphicData>
            </a:graphic>
          </wp:inline>
        </w:drawing>
      </w:r>
      <w:r>
        <w:drawing>
          <wp:inline distT="0" distB="0" distL="114300" distR="114300">
            <wp:extent cx="5725795" cy="2798445"/>
            <wp:effectExtent l="0" t="0" r="1905"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6"/>
                    <a:stretch>
                      <a:fillRect/>
                    </a:stretch>
                  </pic:blipFill>
                  <pic:spPr>
                    <a:xfrm>
                      <a:off x="0" y="0"/>
                      <a:ext cx="5725795" cy="2798445"/>
                    </a:xfrm>
                    <a:prstGeom prst="rect">
                      <a:avLst/>
                    </a:prstGeom>
                    <a:noFill/>
                    <a:ln>
                      <a:noFill/>
                    </a:ln>
                  </pic:spPr>
                </pic:pic>
              </a:graphicData>
            </a:graphic>
          </wp:inline>
        </w:drawing>
      </w:r>
      <w:bookmarkStart w:id="0" w:name="_GoBack"/>
      <w:bookmarkEnd w:id="0"/>
    </w:p>
    <w:p w14:paraId="6FE9AF5A">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测试输出成功生成：</w:t>
      </w:r>
    </w:p>
    <w:p w14:paraId="661B87A9">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预警摘要卡片：包含客户名称、预警类型、风险等级、贷款余额、到期日期、建议行动</w:t>
      </w:r>
    </w:p>
    <w:p w14:paraId="0C60932A">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客户经理电话话术：开场白、风险告知、解决方案、行动承诺、结束语</w:t>
      </w:r>
    </w:p>
    <w:p w14:paraId="2BC449EC">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内部上报邮件模板：收件人、主题、风险描述、处置建议、时间表</w:t>
      </w:r>
    </w:p>
    <w:p w14:paraId="0B12CBC3">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跟进工单：任务项、负责人、截止日期、检查标准</w:t>
      </w:r>
    </w:p>
    <w:p w14:paraId="70054656">
      <w:pPr>
        <w:pStyle w:val="3"/>
        <w:spacing w:before="240" w:after="120"/>
      </w:pPr>
      <w:r>
        <w:rPr>
          <w:rFonts w:ascii="宋体" w:hAnsi="宋体" w:eastAsia="宋体" w:cs="宋体"/>
          <w:b/>
          <w:bCs/>
          <w:sz w:val="28"/>
          <w:szCs w:val="28"/>
        </w:rPr>
        <w:t>三、关键分析结果</w:t>
      </w:r>
    </w:p>
    <w:p w14:paraId="0D6D9B32">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信用风险分析：恒达机械制造有限公司Altman Z-Score评分为1.85，处于灰色区域，需密切关注。</w:t>
      </w:r>
    </w:p>
    <w:p w14:paraId="1D1F3CDC">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贷款定价模型：为5位客户计算了差异化利率，考虑了信用等级、贷款期限、风险溢价等因素。</w:t>
      </w:r>
    </w:p>
    <w:p w14:paraId="7346A3B1">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Skill审计：finance-expert Skill在触发词设计和输出质量方面表现良好，但在数据安全和合规风险方面仍有改进空间。</w:t>
      </w:r>
    </w:p>
    <w:p w14:paraId="38452796">
      <w:pPr>
        <w:pStyle w:val="10"/>
        <w:keepNext w:val="0"/>
        <w:keepLines w:val="0"/>
        <w:widowControl/>
        <w:suppressLineNumbers w:val="0"/>
        <w:shd w:val="clear" w:fill="FFFFFF"/>
        <w:spacing w:before="160" w:beforeAutospacing="0" w:after="160" w:afterAutospacing="0"/>
        <w:ind w:left="0" w:right="0" w:firstLine="0"/>
        <w:rPr>
          <w:rFonts w:hint="eastAsia" w:ascii="Segoe UI" w:hAnsi="Segoe UI" w:cs="Segoe UI"/>
          <w:b/>
          <w:bCs/>
          <w:i w:val="0"/>
          <w:iCs w:val="0"/>
          <w:caps w:val="0"/>
          <w:color w:val="0F1115"/>
          <w:spacing w:val="0"/>
          <w:sz w:val="40"/>
          <w:szCs w:val="40"/>
          <w:shd w:val="clear" w:fill="FFFFFF"/>
          <w:lang w:val="en-US" w:eastAsia="zh-CN"/>
        </w:rPr>
      </w:pPr>
      <w:r>
        <w:rPr>
          <w:rFonts w:hint="eastAsia" w:ascii="Segoe UI" w:hAnsi="Segoe UI" w:cs="Segoe UI"/>
          <w:b/>
          <w:bCs/>
          <w:i w:val="0"/>
          <w:iCs w:val="0"/>
          <w:caps w:val="0"/>
          <w:color w:val="0F1115"/>
          <w:spacing w:val="0"/>
          <w:sz w:val="40"/>
          <w:szCs w:val="40"/>
          <w:shd w:val="clear" w:fill="FFFFFF"/>
          <w:lang w:val="en-US" w:eastAsia="zh-CN"/>
        </w:rPr>
        <w:t>实验心得</w:t>
      </w:r>
    </w:p>
    <w:p w14:paraId="5E599DEB">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1. 技术能力提升</w:t>
      </w:r>
    </w:p>
    <w:p w14:paraId="2B28F11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通过实验三的实践，我系统掌握了智慧银行领域的多项核心技术工具。学会了使用docx MCP技能生成结构化的Word文档，了解了如何通过xlsx技能进行金融建模和数据计算。在信用风险分析环节，我熟练运用Altman Z-Score模型对制造业企业进行财务健康度评估，掌握了资产负债率、流动比率、速动比率等关键财务指标的计算与解读方法。在贷款定价模型中，我深入理解了资金成本、风险溢价、运营成本、资本占用成本和目标利润等定价要素的构成逻辑，并能够为不同信用等级的客户计算差异化贷款利率。此外，通过使用finance-news和consulting-frameworks技能，我学会了如何从宏观视角分析银行业动态，以及如何运用SWOT等咨询框架进行战略思考。</w:t>
      </w:r>
    </w:p>
    <w:p w14:paraId="503D933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2. 业务理解深化</w:t>
      </w:r>
    </w:p>
    <w:p w14:paraId="0EBCF022">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本实验让我对银行的业务逻辑有了更深刻的认识。客户信用评分、贷款定价、风险预警等并不是孤立的技术任务，而是贯穿银行信贷业务全流程的核心环节。通过客户回访报告的生成，我理解了客户关系管理的重要性；通过风险分析，我意识到了贷前评估与贷后监控的联动性；通过贷款定价模型，我看到了银行如何在风险与收益之间寻求平衡；通过自定义风险预警Skill，我更深刻地体会到“早发现、早预警、早处置”的风险管理原则。这些认知将我以往碎片化的金融知识串联成了完整的业务链条。</w:t>
      </w:r>
    </w:p>
    <w:p w14:paraId="3D7FAF99">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3. 创新思维培养</w:t>
      </w:r>
    </w:p>
    <w:p w14:paraId="68D06594">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实验三最具挑战性也最令我印象深刻的，是自定义</w:t>
      </w:r>
      <w:r>
        <w:rPr>
          <w:rStyle w:val="16"/>
          <w:rFonts w:ascii="Consolas" w:hAnsi="Consolas" w:eastAsia="Consolas" w:cs="Consolas"/>
          <w:i w:val="0"/>
          <w:iCs w:val="0"/>
          <w:caps w:val="0"/>
          <w:color w:val="0F1115"/>
          <w:spacing w:val="0"/>
          <w:sz w:val="24"/>
          <w:szCs w:val="24"/>
          <w:bdr w:val="none" w:color="auto" w:sz="0" w:space="0"/>
          <w:shd w:val="clear" w:fill="EBEEF2"/>
        </w:rPr>
        <w:t>bank-risk-alert</w:t>
      </w:r>
      <w:r>
        <w:rPr>
          <w:rFonts w:hint="default" w:ascii="Segoe UI" w:hAnsi="Segoe UI" w:eastAsia="Segoe UI" w:cs="Segoe UI"/>
          <w:i w:val="0"/>
          <w:iCs w:val="0"/>
          <w:caps w:val="0"/>
          <w:color w:val="0F1115"/>
          <w:spacing w:val="0"/>
          <w:sz w:val="22"/>
          <w:szCs w:val="22"/>
          <w:shd w:val="clear" w:fill="FFFFFF"/>
        </w:rPr>
        <w:t> Skill的开发过程。此前我在实验一和实验二中使用AI工具时，始终是“使用者”的角色——让AI帮我生成代码、分析数据、撰写报告。而这次，我尝试从“使用者”转变为“创造者”，设计触发词、定义输入输出结构、制定分级逻辑、生成多维度话术模板。这一过程让我意识到，AI的能力边界并非固定不变，通过合理设计和配置，我们可以让AI工具更加贴合具体的业务场景，成为真正可复用的生产力工具。</w:t>
      </w:r>
    </w:p>
    <w:p w14:paraId="2C94AA53">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4. 问题解决能力</w:t>
      </w:r>
    </w:p>
    <w:p w14:paraId="61EDF8E0">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实验中遇到了多次错误和障碍。数据类型不一致导致</w:t>
      </w:r>
      <w:r>
        <w:rPr>
          <w:rStyle w:val="16"/>
          <w:rFonts w:hint="default" w:ascii="Consolas" w:hAnsi="Consolas" w:eastAsia="Consolas" w:cs="Consolas"/>
          <w:i w:val="0"/>
          <w:iCs w:val="0"/>
          <w:caps w:val="0"/>
          <w:color w:val="0F1115"/>
          <w:spacing w:val="0"/>
          <w:sz w:val="24"/>
          <w:szCs w:val="24"/>
          <w:bdr w:val="none" w:color="auto" w:sz="0" w:space="0"/>
          <w:shd w:val="clear" w:fill="EBEEF2"/>
        </w:rPr>
        <w:t>np.select</w:t>
      </w:r>
      <w:r>
        <w:rPr>
          <w:rFonts w:hint="default" w:ascii="Segoe UI" w:hAnsi="Segoe UI" w:eastAsia="Segoe UI" w:cs="Segoe UI"/>
          <w:i w:val="0"/>
          <w:iCs w:val="0"/>
          <w:caps w:val="0"/>
          <w:color w:val="0F1115"/>
          <w:spacing w:val="0"/>
          <w:sz w:val="22"/>
          <w:szCs w:val="22"/>
          <w:shd w:val="clear" w:fill="FFFFFF"/>
        </w:rPr>
        <w:t>函数报错、外部API因网络限制调用失败、部分技能安装过程中出现依赖冲突……这些问题迫使我不断排查原因、寻找替代方案、调整代码逻辑。通过实践，我学会了在AI辅助下进行系统性的错误诊断，也认识到提前设计降级方案（如使用模拟数据替代实时抓取）对于系统稳定性的重要性。</w:t>
      </w:r>
    </w:p>
    <w:p w14:paraId="3E7C823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22"/>
          <w:szCs w:val="22"/>
        </w:rPr>
      </w:pPr>
      <w:r>
        <w:rPr>
          <w:rFonts w:hint="default" w:ascii="Segoe UI" w:hAnsi="Segoe UI" w:eastAsia="Segoe UI" w:cs="Segoe UI"/>
          <w:i w:val="0"/>
          <w:iCs w:val="0"/>
          <w:caps w:val="0"/>
          <w:color w:val="0F1115"/>
          <w:spacing w:val="0"/>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1578FB1">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心得体会</w:t>
      </w:r>
    </w:p>
    <w:p w14:paraId="3F6678B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工具选择要匹配场景</w:t>
      </w:r>
    </w:p>
    <w:p w14:paraId="41DE2296">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本实验涉及Word文档生成、Excel建模、Markdown报告编写、Python脚本开发等多种任务类型。我发现，同样一个目标可以通过多种路径实现，而选择哪种工具直接影响效率和质量。生成回访报告，使用docx MCP技能比手动编写Python脚本更加高效，AI能够直接理解“正式报告”的格式要求；而信用风险分析涉及复杂的财务计算和条件判断，使用Python脚本比单纯的AI对话更加可控和可复现。以后在工作中，我会更加注重“为任务选择最合适的工具组合”。</w:t>
      </w:r>
    </w:p>
    <w:p w14:paraId="0FA9030F">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数据质量是重要基础</w:t>
      </w:r>
    </w:p>
    <w:p w14:paraId="3B4370D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在进行恒达机械的信用风险分析时，我深刻体会到财务数据的准确性和完整性直接决定了Z-Score评级的可靠性。如果输入数据有误，再先进的模型也只能输出错误结论。这提醒我，在未来的数据分析工作中，必须高度重视数据的来源验证、清洗和交叉核对。金融决策事关重大，数据真实是底线。</w:t>
      </w:r>
    </w:p>
    <w:p w14:paraId="4708CEB0">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错误处理不可忽视</w:t>
      </w:r>
    </w:p>
    <w:p w14:paraId="02D7E935">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在调用外部API抓取金融新闻时，网络限制导致请求频繁失败。这让我意识到，在设计系统时不能假设所有外部依赖都稳定可用，必须预设容错机制和降级策略。在后续的贷款定价模型和风险预警Skill中，我主动采用了本地数据和预定义模板，既保证了功能的可用性，也提升了响应速度。</w:t>
      </w:r>
    </w:p>
    <w:p w14:paraId="28B0D947">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sz w:val="22"/>
          <w:szCs w:val="22"/>
          <w:shd w:val="clear" w:fill="FFFFFF"/>
        </w:rPr>
        <w:t>从“用AI”到“造工具”是一次思维跃迁</w:t>
      </w:r>
    </w:p>
    <w:p w14:paraId="15385EF6">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sz w:val="22"/>
          <w:szCs w:val="22"/>
          <w:shd w:val="clear" w:fill="FFFFFF"/>
        </w:rPr>
        <w:t>如果用一句话总结实验三给我的最大启发，那就是：</w:t>
      </w:r>
      <w:r>
        <w:rPr>
          <w:rFonts w:hint="default" w:ascii="Segoe UI" w:hAnsi="Segoe UI" w:eastAsia="Segoe UI" w:cs="Segoe UI"/>
          <w:b/>
          <w:bCs/>
          <w:i w:val="0"/>
          <w:iCs w:val="0"/>
          <w:caps w:val="0"/>
          <w:color w:val="0F1115"/>
          <w:spacing w:val="0"/>
          <w:sz w:val="22"/>
          <w:szCs w:val="22"/>
          <w:shd w:val="clear" w:fill="FFFFFF"/>
        </w:rPr>
        <w:t>AI工具的真正价值不在于帮我们完成一次任务，而在于帮我们沉淀一套方法。</w:t>
      </w:r>
      <w:r>
        <w:rPr>
          <w:rFonts w:hint="default" w:ascii="Segoe UI" w:hAnsi="Segoe UI" w:eastAsia="Segoe UI" w:cs="Segoe UI"/>
          <w:i w:val="0"/>
          <w:iCs w:val="0"/>
          <w:caps w:val="0"/>
          <w:color w:val="0F1115"/>
          <w:spacing w:val="0"/>
          <w:sz w:val="22"/>
          <w:szCs w:val="22"/>
          <w:shd w:val="clear" w:fill="FFFFFF"/>
        </w:rPr>
        <w:t> 在开发</w:t>
      </w:r>
      <w:r>
        <w:rPr>
          <w:rStyle w:val="16"/>
          <w:rFonts w:hint="default" w:ascii="Consolas" w:hAnsi="Consolas" w:eastAsia="Consolas" w:cs="Consolas"/>
          <w:i w:val="0"/>
          <w:iCs w:val="0"/>
          <w:caps w:val="0"/>
          <w:color w:val="0F1115"/>
          <w:spacing w:val="0"/>
          <w:sz w:val="24"/>
          <w:szCs w:val="24"/>
          <w:bdr w:val="none" w:color="auto" w:sz="0" w:space="0"/>
          <w:shd w:val="clear" w:fill="EBEEF2"/>
        </w:rPr>
        <w:t>bank-risk-alert</w:t>
      </w:r>
      <w:r>
        <w:rPr>
          <w:rFonts w:hint="default" w:ascii="Segoe UI" w:hAnsi="Segoe UI" w:eastAsia="Segoe UI" w:cs="Segoe UI"/>
          <w:i w:val="0"/>
          <w:iCs w:val="0"/>
          <w:caps w:val="0"/>
          <w:color w:val="0F1115"/>
          <w:spacing w:val="0"/>
          <w:sz w:val="22"/>
          <w:szCs w:val="22"/>
          <w:shd w:val="clear" w:fill="FFFFFF"/>
        </w:rPr>
        <w:t> Skill时，我并没有让AI直接生成一个复杂的系统，而是把银行风险预警的标准化流程固化为可复用的模板——预警摘要卡片、电话话术、上报邮件、跟进工单，这些输出形式的统一化意味着团队在应对风险事件时能够保持一致的沟通标准和行动效率。这让我意识到，学习AI不仅要关注如何用，更要思考如何将业务经验转化为可配置、可复制的工具能力。</w:t>
      </w:r>
    </w:p>
    <w:p w14:paraId="2FCCAA0D">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ascii="宋体" w:hAnsi="宋体" w:eastAsia="宋体" w:cs="宋体"/>
          <w:sz w:val="24"/>
          <w:szCs w:val="24"/>
        </w:rPr>
      </w:pPr>
    </w:p>
    <w:p w14:paraId="374BFAEE">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hint="eastAsia" w:cs="宋体"/>
          <w:color w:val="FF0000"/>
          <w:sz w:val="24"/>
          <w:szCs w:val="24"/>
          <w:lang w:val="en-US" w:eastAsia="zh-CN"/>
        </w:rPr>
      </w:pPr>
      <w:r>
        <w:rPr>
          <w:rFonts w:hint="eastAsia" w:cs="宋体"/>
          <w:color w:val="FF0000"/>
          <w:sz w:val="24"/>
          <w:szCs w:val="24"/>
          <w:lang w:val="en-US" w:eastAsia="zh-CN"/>
        </w:rPr>
        <w:t>交付物：</w:t>
      </w:r>
      <w:r>
        <w:rPr>
          <w:rFonts w:hint="eastAsia" w:cs="宋体"/>
          <w:color w:val="FF0000"/>
          <w:sz w:val="24"/>
          <w:szCs w:val="24"/>
          <w:lang w:val="en-US" w:eastAsia="zh-CN"/>
        </w:rPr>
        <w:fldChar w:fldCharType="begin"/>
      </w:r>
      <w:r>
        <w:rPr>
          <w:rFonts w:hint="eastAsia" w:cs="宋体"/>
          <w:color w:val="FF0000"/>
          <w:sz w:val="24"/>
          <w:szCs w:val="24"/>
          <w:lang w:val="en-US" w:eastAsia="zh-CN"/>
        </w:rPr>
        <w:instrText xml:space="preserve"> HYPERLINK "https://cnb.cool/yym614000/smartbanking" </w:instrText>
      </w:r>
      <w:r>
        <w:rPr>
          <w:rFonts w:hint="eastAsia" w:cs="宋体"/>
          <w:color w:val="FF0000"/>
          <w:sz w:val="24"/>
          <w:szCs w:val="24"/>
          <w:lang w:val="en-US" w:eastAsia="zh-CN"/>
        </w:rPr>
        <w:fldChar w:fldCharType="separate"/>
      </w:r>
      <w:r>
        <w:rPr>
          <w:rStyle w:val="15"/>
          <w:rFonts w:hint="eastAsia" w:cs="宋体"/>
          <w:sz w:val="24"/>
          <w:szCs w:val="24"/>
          <w:lang w:val="en-US" w:eastAsia="zh-CN"/>
        </w:rPr>
        <w:t>https://cnb.cool/yym614000/smartbanking</w:t>
      </w:r>
      <w:r>
        <w:rPr>
          <w:rFonts w:hint="eastAsia" w:cs="宋体"/>
          <w:color w:val="FF0000"/>
          <w:sz w:val="24"/>
          <w:szCs w:val="24"/>
          <w:lang w:val="en-US" w:eastAsia="zh-CN"/>
        </w:rPr>
        <w:fldChar w:fldCharType="end"/>
      </w:r>
    </w:p>
    <w:p w14:paraId="2CE82B63">
      <w:pPr>
        <w:keepNext w:val="0"/>
        <w:keepLines w:val="0"/>
        <w:pageBreakBefore w:val="0"/>
        <w:kinsoku/>
        <w:wordWrap/>
        <w:overflowPunct/>
        <w:topLinePunct w:val="0"/>
        <w:autoSpaceDE/>
        <w:autoSpaceDN/>
        <w:bidi w:val="0"/>
        <w:adjustRightInd/>
        <w:snapToGrid/>
        <w:spacing w:after="120" w:line="360" w:lineRule="auto"/>
        <w:ind w:firstLine="480" w:firstLineChars="200"/>
        <w:jc w:val="left"/>
        <w:textAlignment w:val="auto"/>
        <w:rPr>
          <w:rFonts w:hint="eastAsia" w:cs="宋体"/>
          <w:color w:val="FF0000"/>
          <w:sz w:val="24"/>
          <w:szCs w:val="24"/>
          <w:lang w:val="en-US" w:eastAsia="zh-CN"/>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317E5">
    <w:pPr>
      <w:jc w:val="center"/>
    </w:pPr>
    <w:r>
      <w:rPr>
        <w:rFonts w:ascii="宋体" w:hAnsi="宋体" w:eastAsia="宋体" w:cs="宋体"/>
        <w:sz w:val="18"/>
        <w:szCs w:val="18"/>
      </w:rPr>
      <w:t xml:space="preserve">第 </w:t>
    </w: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页 / 共 </w:t>
    </w:r>
    <w:r>
      <w:rPr>
        <w:rFonts w:ascii="宋体" w:hAnsi="宋体" w:eastAsia="宋体" w:cs="宋体"/>
        <w:sz w:val="18"/>
        <w:szCs w:val="18"/>
      </w:rPr>
      <w:fldChar w:fldCharType="begin"/>
    </w:r>
    <w:r>
      <w:rPr>
        <w:rFonts w:ascii="宋体" w:hAnsi="宋体" w:eastAsia="宋体" w:cs="宋体"/>
        <w:sz w:val="18"/>
        <w:szCs w:val="18"/>
      </w:rPr>
      <w:instrText xml:space="preserve">NUMPAGES</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0266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5CA201C"/>
    <w:rsid w:val="1285376F"/>
    <w:rsid w:val="166273FD"/>
    <w:rsid w:val="181B2F45"/>
    <w:rsid w:val="20D91959"/>
    <w:rsid w:val="26D703BB"/>
    <w:rsid w:val="26E179D7"/>
    <w:rsid w:val="387E4482"/>
    <w:rsid w:val="574303F2"/>
    <w:rsid w:val="617121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rPr>
  </w:style>
  <w:style w:type="paragraph" w:styleId="2">
    <w:name w:val="heading 1"/>
    <w:next w:val="1"/>
    <w:qFormat/>
    <w:uiPriority w:val="0"/>
    <w:pPr>
      <w:spacing w:before="360" w:after="240"/>
      <w:outlineLvl w:val="0"/>
    </w:pPr>
    <w:rPr>
      <w:rFonts w:ascii="宋体" w:hAnsi="宋体" w:eastAsia="宋体" w:cs="宋体"/>
      <w:b/>
      <w:bCs/>
      <w:sz w:val="32"/>
      <w:szCs w:val="32"/>
    </w:rPr>
  </w:style>
  <w:style w:type="paragraph" w:styleId="3">
    <w:name w:val="heading 2"/>
    <w:next w:val="1"/>
    <w:qFormat/>
    <w:uiPriority w:val="0"/>
    <w:pPr>
      <w:spacing w:before="240" w:after="120"/>
      <w:outlineLvl w:val="1"/>
    </w:pPr>
    <w:rPr>
      <w:rFonts w:ascii="宋体" w:hAnsi="宋体" w:eastAsia="宋体" w:cs="宋体"/>
      <w:b/>
      <w:bCs/>
      <w:sz w:val="28"/>
      <w:szCs w:val="28"/>
    </w:rPr>
  </w:style>
  <w:style w:type="paragraph" w:styleId="4">
    <w:name w:val="heading 3"/>
    <w:next w:val="1"/>
    <w:qFormat/>
    <w:uiPriority w:val="0"/>
    <w:pPr>
      <w:spacing w:before="200" w:after="100"/>
      <w:outlineLvl w:val="2"/>
    </w:pPr>
    <w:rPr>
      <w:rFonts w:ascii="宋体" w:hAnsi="宋体" w:eastAsia="宋体" w:cs="宋体"/>
      <w:b/>
      <w:bCs/>
      <w:sz w:val="24"/>
      <w:szCs w:val="24"/>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uiPriority w:val="99"/>
    <w:pPr>
      <w:spacing w:after="0" w:line="240" w:lineRule="auto"/>
    </w:pPr>
    <w:rPr>
      <w:rFonts w:ascii="宋体" w:hAnsi="宋体" w:eastAsia="宋体" w:cs="宋体"/>
      <w:sz w:val="20"/>
      <w:szCs w:val="20"/>
    </w:rPr>
  </w:style>
  <w:style w:type="paragraph" w:styleId="9">
    <w:name w:val="footnote text"/>
    <w:link w:val="19"/>
    <w:semiHidden/>
    <w:unhideWhenUsed/>
    <w:qFormat/>
    <w:uiPriority w:val="99"/>
    <w:pPr>
      <w:spacing w:after="0" w:line="240" w:lineRule="auto"/>
    </w:pPr>
    <w:rPr>
      <w:rFonts w:ascii="宋体" w:hAnsi="宋体" w:eastAsia="宋体" w:cs="宋体"/>
      <w:sz w:val="20"/>
      <w:szCs w:val="20"/>
    </w:rPr>
  </w:style>
  <w:style w:type="paragraph" w:styleId="10">
    <w:name w:val="Normal (Web)"/>
    <w:basedOn w:val="1"/>
    <w:uiPriority w:val="0"/>
    <w:rPr>
      <w:sz w:val="24"/>
    </w:rPr>
  </w:style>
  <w:style w:type="paragraph" w:styleId="11">
    <w:name w:val="Title"/>
    <w:qFormat/>
    <w:uiPriority w:val="0"/>
    <w:rPr>
      <w:rFonts w:ascii="宋体" w:hAnsi="宋体" w:eastAsia="宋体" w:cs="宋体"/>
      <w:sz w:val="56"/>
      <w:szCs w:val="56"/>
    </w:rPr>
  </w:style>
  <w:style w:type="character" w:styleId="14">
    <w:name w:val="endnote reference"/>
    <w:semiHidden/>
    <w:unhideWhenUsed/>
    <w:qFormat/>
    <w:uiPriority w:val="99"/>
    <w:rPr>
      <w:vertAlign w:val="superscript"/>
    </w:rPr>
  </w:style>
  <w:style w:type="character" w:styleId="15">
    <w:name w:val="Hyperlink"/>
    <w:unhideWhenUsed/>
    <w:uiPriority w:val="99"/>
    <w:rPr>
      <w:color w:val="0563C1"/>
      <w:u w:val="single"/>
    </w:rPr>
  </w:style>
  <w:style w:type="character" w:styleId="16">
    <w:name w:val="HTML Code"/>
    <w:basedOn w:val="13"/>
    <w:uiPriority w:val="0"/>
    <w:rPr>
      <w:rFonts w:ascii="Courier New" w:hAnsi="Courier New"/>
      <w:sz w:val="20"/>
    </w:rPr>
  </w:style>
  <w:style w:type="character" w:styleId="17">
    <w:name w:val="footnote reference"/>
    <w:semiHidden/>
    <w:unhideWhenUsed/>
    <w:qFormat/>
    <w:uiPriority w:val="99"/>
    <w:rPr>
      <w:vertAlign w:val="superscript"/>
    </w:rPr>
  </w:style>
  <w:style w:type="paragraph" w:styleId="18">
    <w:name w:val="List Paragraph"/>
    <w:qFormat/>
    <w:uiPriority w:val="0"/>
    <w:rPr>
      <w:rFonts w:ascii="宋体" w:hAnsi="宋体" w:eastAsia="宋体" w:cs="宋体"/>
      <w:sz w:val="21"/>
      <w:szCs w:val="21"/>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2111</Words>
  <Characters>2877</Characters>
  <TotalTime>2052</TotalTime>
  <ScaleCrop>false</ScaleCrop>
  <LinksUpToDate>false</LinksUpToDate>
  <CharactersWithSpaces>2916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2026-06-24T00:38:00Z</dcterms:created>
  <dc:creator>陈曦</dc:creator>
  <cp:lastModifiedBy>杨焰明</cp:lastModifiedBy>
  <dcterms:modified xsi:type="dcterms:W3CDTF">2026-06-27T14:36:54Z</dcterms:modified>
  <dc:title>智慧银行实验教程 - 实验三报告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eyJoZGlkIjoiNTkzNmJlNDE0ZTI1ZjFjMzIxNTc5MDg2MmRlMmZlZTEiLCJ1c2VySWQiOiIxMTQ1NzU5ODI3In0=</vt:lpwstr>
  </property>
  <property fmtid="{D5CDD505-2E9C-101B-9397-08002B2CF9AE}" pid="3" name="KSOProductBuildVer">
    <vt:lpwstr>2052-12.1.0.23542</vt:lpwstr>
  </property>
  <property fmtid="{D5CDD505-2E9C-101B-9397-08002B2CF9AE}" pid="4" name="ICV">
    <vt:lpwstr>780C90D13B084A41A23AF41429221B55_13</vt:lpwstr>
  </property>
</Properties>
</file>