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6FF1D0">
      <w:pPr>
        <w:pStyle w:val="2"/>
        <w:bidi w:val="0"/>
        <w:rPr>
          <w:rFonts w:hint="eastAsia" w:eastAsia="微软雅黑"/>
          <w:lang w:val="en-US" w:eastAsia="zh-CN"/>
        </w:rPr>
      </w:pPr>
      <w:r>
        <w:rPr>
          <w:rFonts w:hint="eastAsia"/>
          <w:lang w:val="en-US" w:eastAsia="zh-CN"/>
        </w:rPr>
        <w:t>简报</w:t>
      </w:r>
      <w:bookmarkStart w:id="0" w:name="_GoBack"/>
      <w:bookmarkEnd w:id="0"/>
    </w:p>
    <w:p w14:paraId="030111EA">
      <w:pPr>
        <w:pStyle w:val="2"/>
        <w:spacing w:before="240" w:after="120" w:line="360" w:lineRule="auto"/>
        <w:jc w:val="left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A3A5C"/>
          <w:sz w:val="28"/>
          <w:szCs w:val="28"/>
        </w:rPr>
        <w:t>一、关键财务指标</w:t>
      </w:r>
    </w:p>
    <w:tbl>
      <w:tblPr>
        <w:tblStyle w:val="11"/>
        <w:tblW w:w="5000" w:type="pct"/>
        <w:tblInd w:w="0" w:type="dxa"/>
        <w:tblBorders>
          <w:top w:val="single" w:color="B0C4DE" w:sz="0" w:space="0"/>
          <w:left w:val="single" w:color="B0C4DE" w:sz="0" w:space="0"/>
          <w:bottom w:val="single" w:color="B0C4DE" w:sz="0" w:space="0"/>
          <w:right w:val="single" w:color="B0C4DE" w:sz="0" w:space="0"/>
          <w:insideH w:val="single" w:color="B0C4DE" w:sz="0" w:space="0"/>
          <w:insideV w:val="single" w:color="B0C4DE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02"/>
        <w:gridCol w:w="3330"/>
        <w:gridCol w:w="2389"/>
      </w:tblGrid>
      <w:tr w14:paraId="3263381E">
        <w:tblPrEx>
          <w:tblBorders>
            <w:top w:val="single" w:color="B0C4DE" w:sz="0" w:space="0"/>
            <w:left w:val="single" w:color="B0C4DE" w:sz="0" w:space="0"/>
            <w:bottom w:val="single" w:color="B0C4DE" w:sz="0" w:space="0"/>
            <w:right w:val="single" w:color="B0C4DE" w:sz="0" w:space="0"/>
            <w:insideH w:val="single" w:color="B0C4DE" w:sz="0" w:space="0"/>
            <w:insideV w:val="single" w:color="B0C4DE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50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2B6CB0"/>
            <w:vAlign w:val="center"/>
          </w:tcPr>
          <w:p w14:paraId="3935C91C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2"/>
                <w:szCs w:val="22"/>
              </w:rPr>
              <w:t>指标</w:t>
            </w:r>
          </w:p>
        </w:tc>
        <w:tc>
          <w:tcPr>
            <w:tcW w:w="350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2B6CB0"/>
            <w:vAlign w:val="center"/>
          </w:tcPr>
          <w:p w14:paraId="725E4FFC">
            <w:pPr>
              <w:spacing w:before="60" w:after="6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2"/>
                <w:szCs w:val="22"/>
              </w:rPr>
              <w:t>数值</w:t>
            </w:r>
          </w:p>
        </w:tc>
        <w:tc>
          <w:tcPr>
            <w:tcW w:w="250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2B6CB0"/>
            <w:vAlign w:val="center"/>
          </w:tcPr>
          <w:p w14:paraId="3CF94B7A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2"/>
                <w:szCs w:val="22"/>
              </w:rPr>
              <w:t>同比变化</w:t>
            </w:r>
          </w:p>
        </w:tc>
      </w:tr>
      <w:tr w14:paraId="16C7BDE2">
        <w:tblPrEx>
          <w:tblBorders>
            <w:top w:val="single" w:color="B0C4DE" w:sz="0" w:space="0"/>
            <w:left w:val="single" w:color="B0C4DE" w:sz="0" w:space="0"/>
            <w:bottom w:val="single" w:color="B0C4DE" w:sz="0" w:space="0"/>
            <w:right w:val="single" w:color="B0C4DE" w:sz="0" w:space="0"/>
            <w:insideH w:val="single" w:color="B0C4DE" w:sz="0" w:space="0"/>
            <w:insideV w:val="single" w:color="B0C4DE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0F7FF"/>
            <w:vAlign w:val="center"/>
          </w:tcPr>
          <w:p w14:paraId="0278628D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营业收入</w:t>
            </w:r>
          </w:p>
        </w:tc>
        <w:tc>
          <w:tcPr>
            <w:tcW w:w="350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0F7FF"/>
            <w:vAlign w:val="center"/>
          </w:tcPr>
          <w:p w14:paraId="09F724D1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8,013.95亿元</w:t>
            </w:r>
          </w:p>
        </w:tc>
        <w:tc>
          <w:tcPr>
            <w:tcW w:w="250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0F7FF"/>
            <w:vAlign w:val="center"/>
          </w:tcPr>
          <w:p w14:paraId="28281D15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+1.9%</w:t>
            </w:r>
          </w:p>
        </w:tc>
      </w:tr>
      <w:tr w14:paraId="1480E58A">
        <w:tblPrEx>
          <w:tblBorders>
            <w:top w:val="single" w:color="B0C4DE" w:sz="0" w:space="0"/>
            <w:left w:val="single" w:color="B0C4DE" w:sz="0" w:space="0"/>
            <w:bottom w:val="single" w:color="B0C4DE" w:sz="0" w:space="0"/>
            <w:right w:val="single" w:color="B0C4DE" w:sz="0" w:space="0"/>
            <w:insideH w:val="single" w:color="B0C4DE" w:sz="0" w:space="0"/>
            <w:insideV w:val="single" w:color="B0C4DE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FFFFF"/>
            <w:vAlign w:val="center"/>
          </w:tcPr>
          <w:p w14:paraId="1165BF13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净利润</w:t>
            </w:r>
          </w:p>
        </w:tc>
        <w:tc>
          <w:tcPr>
            <w:tcW w:w="350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FFFFF"/>
            <w:vAlign w:val="center"/>
          </w:tcPr>
          <w:p w14:paraId="31E7C58F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3,707.66亿元</w:t>
            </w:r>
          </w:p>
        </w:tc>
        <w:tc>
          <w:tcPr>
            <w:tcW w:w="250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FFFFF"/>
            <w:vAlign w:val="center"/>
          </w:tcPr>
          <w:p w14:paraId="20459BFB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+1.0%</w:t>
            </w:r>
          </w:p>
        </w:tc>
      </w:tr>
      <w:tr w14:paraId="06046C73">
        <w:tblPrEx>
          <w:tblBorders>
            <w:top w:val="single" w:color="B0C4DE" w:sz="0" w:space="0"/>
            <w:left w:val="single" w:color="B0C4DE" w:sz="0" w:space="0"/>
            <w:bottom w:val="single" w:color="B0C4DE" w:sz="0" w:space="0"/>
            <w:right w:val="single" w:color="B0C4DE" w:sz="0" w:space="0"/>
            <w:insideH w:val="single" w:color="B0C4DE" w:sz="0" w:space="0"/>
            <w:insideV w:val="single" w:color="B0C4DE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0F7FF"/>
            <w:vAlign w:val="center"/>
          </w:tcPr>
          <w:p w14:paraId="7432C81D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归母净利润</w:t>
            </w:r>
          </w:p>
        </w:tc>
        <w:tc>
          <w:tcPr>
            <w:tcW w:w="350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0F7FF"/>
            <w:vAlign w:val="center"/>
          </w:tcPr>
          <w:p w14:paraId="6087F1DA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3,685.62亿元</w:t>
            </w:r>
          </w:p>
        </w:tc>
        <w:tc>
          <w:tcPr>
            <w:tcW w:w="250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0F7FF"/>
            <w:vAlign w:val="center"/>
          </w:tcPr>
          <w:p w14:paraId="112C0C4F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+0.74%</w:t>
            </w:r>
          </w:p>
        </w:tc>
      </w:tr>
      <w:tr w14:paraId="54B10CD3">
        <w:tblPrEx>
          <w:tblBorders>
            <w:top w:val="single" w:color="B0C4DE" w:sz="0" w:space="0"/>
            <w:left w:val="single" w:color="B0C4DE" w:sz="0" w:space="0"/>
            <w:bottom w:val="single" w:color="B0C4DE" w:sz="0" w:space="0"/>
            <w:right w:val="single" w:color="B0C4DE" w:sz="0" w:space="0"/>
            <w:insideH w:val="single" w:color="B0C4DE" w:sz="0" w:space="0"/>
            <w:insideV w:val="single" w:color="B0C4DE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FFFFF"/>
            <w:vAlign w:val="center"/>
          </w:tcPr>
          <w:p w14:paraId="3CEB901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ROE（加权平均）</w:t>
            </w:r>
          </w:p>
        </w:tc>
        <w:tc>
          <w:tcPr>
            <w:tcW w:w="350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FFFFF"/>
            <w:vAlign w:val="center"/>
          </w:tcPr>
          <w:p w14:paraId="55C55BC0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9.45%</w:t>
            </w:r>
          </w:p>
        </w:tc>
        <w:tc>
          <w:tcPr>
            <w:tcW w:w="250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FFFFF"/>
            <w:vAlign w:val="center"/>
          </w:tcPr>
          <w:p w14:paraId="6240BFA3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—</w:t>
            </w:r>
          </w:p>
        </w:tc>
      </w:tr>
      <w:tr w14:paraId="7F5BB9E8">
        <w:tblPrEx>
          <w:tblBorders>
            <w:top w:val="single" w:color="B0C4DE" w:sz="0" w:space="0"/>
            <w:left w:val="single" w:color="B0C4DE" w:sz="0" w:space="0"/>
            <w:bottom w:val="single" w:color="B0C4DE" w:sz="0" w:space="0"/>
            <w:right w:val="single" w:color="B0C4DE" w:sz="0" w:space="0"/>
            <w:insideH w:val="single" w:color="B0C4DE" w:sz="0" w:space="0"/>
            <w:insideV w:val="single" w:color="B0C4DE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0F7FF"/>
            <w:vAlign w:val="center"/>
          </w:tcPr>
          <w:p w14:paraId="45DC3710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ROA（平均总资产回报率）</w:t>
            </w:r>
          </w:p>
        </w:tc>
        <w:tc>
          <w:tcPr>
            <w:tcW w:w="350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0F7FF"/>
            <w:vAlign w:val="center"/>
          </w:tcPr>
          <w:p w14:paraId="192B2A82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0.72%</w:t>
            </w:r>
          </w:p>
        </w:tc>
        <w:tc>
          <w:tcPr>
            <w:tcW w:w="250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0F7FF"/>
            <w:vAlign w:val="center"/>
          </w:tcPr>
          <w:p w14:paraId="4DE87863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—</w:t>
            </w:r>
          </w:p>
        </w:tc>
      </w:tr>
      <w:tr w14:paraId="12E1F5E7">
        <w:tblPrEx>
          <w:tblBorders>
            <w:top w:val="single" w:color="B0C4DE" w:sz="0" w:space="0"/>
            <w:left w:val="single" w:color="B0C4DE" w:sz="0" w:space="0"/>
            <w:bottom w:val="single" w:color="B0C4DE" w:sz="0" w:space="0"/>
            <w:right w:val="single" w:color="B0C4DE" w:sz="0" w:space="0"/>
            <w:insideH w:val="single" w:color="B0C4DE" w:sz="0" w:space="0"/>
            <w:insideV w:val="single" w:color="B0C4DE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FFFFF"/>
            <w:vAlign w:val="center"/>
          </w:tcPr>
          <w:p w14:paraId="0B63711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净息差</w:t>
            </w:r>
          </w:p>
        </w:tc>
        <w:tc>
          <w:tcPr>
            <w:tcW w:w="350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FFFFF"/>
            <w:vAlign w:val="center"/>
          </w:tcPr>
          <w:p w14:paraId="1237014F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约1.30%</w:t>
            </w:r>
          </w:p>
        </w:tc>
        <w:tc>
          <w:tcPr>
            <w:tcW w:w="250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FFFFF"/>
            <w:vAlign w:val="center"/>
          </w:tcPr>
          <w:p w14:paraId="659781E8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—</w:t>
            </w:r>
          </w:p>
        </w:tc>
      </w:tr>
      <w:tr w14:paraId="3979220B">
        <w:tblPrEx>
          <w:tblBorders>
            <w:top w:val="single" w:color="B0C4DE" w:sz="0" w:space="0"/>
            <w:left w:val="single" w:color="B0C4DE" w:sz="0" w:space="0"/>
            <w:bottom w:val="single" w:color="B0C4DE" w:sz="0" w:space="0"/>
            <w:right w:val="single" w:color="B0C4DE" w:sz="0" w:space="0"/>
            <w:insideH w:val="single" w:color="B0C4DE" w:sz="0" w:space="0"/>
            <w:insideV w:val="single" w:color="B0C4DE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0F7FF"/>
            <w:vAlign w:val="center"/>
          </w:tcPr>
          <w:p w14:paraId="75A5F862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不良贷款率</w:t>
            </w:r>
          </w:p>
        </w:tc>
        <w:tc>
          <w:tcPr>
            <w:tcW w:w="350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0F7FF"/>
            <w:vAlign w:val="center"/>
          </w:tcPr>
          <w:p w14:paraId="39FC0DFB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1.31%</w:t>
            </w:r>
          </w:p>
        </w:tc>
        <w:tc>
          <w:tcPr>
            <w:tcW w:w="250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0F7FF"/>
            <w:vAlign w:val="center"/>
          </w:tcPr>
          <w:p w14:paraId="607DCE3A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—</w:t>
            </w:r>
          </w:p>
        </w:tc>
      </w:tr>
      <w:tr w14:paraId="654BCFF9">
        <w:tblPrEx>
          <w:tblBorders>
            <w:top w:val="single" w:color="B0C4DE" w:sz="0" w:space="0"/>
            <w:left w:val="single" w:color="B0C4DE" w:sz="0" w:space="0"/>
            <w:bottom w:val="single" w:color="B0C4DE" w:sz="0" w:space="0"/>
            <w:right w:val="single" w:color="B0C4DE" w:sz="0" w:space="0"/>
            <w:insideH w:val="single" w:color="B0C4DE" w:sz="0" w:space="0"/>
            <w:insideV w:val="single" w:color="B0C4DE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FFFFF"/>
            <w:vAlign w:val="center"/>
          </w:tcPr>
          <w:p w14:paraId="215028C3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资本充足率</w:t>
            </w:r>
          </w:p>
        </w:tc>
        <w:tc>
          <w:tcPr>
            <w:tcW w:w="350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FFFFF"/>
            <w:vAlign w:val="center"/>
          </w:tcPr>
          <w:p w14:paraId="7DEA4331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18.76%</w:t>
            </w:r>
          </w:p>
        </w:tc>
        <w:tc>
          <w:tcPr>
            <w:tcW w:w="250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FFFFF"/>
            <w:vAlign w:val="center"/>
          </w:tcPr>
          <w:p w14:paraId="1134D59D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—</w:t>
            </w:r>
          </w:p>
        </w:tc>
      </w:tr>
      <w:tr w14:paraId="3BE50F1C">
        <w:tblPrEx>
          <w:tblBorders>
            <w:top w:val="single" w:color="B0C4DE" w:sz="0" w:space="0"/>
            <w:left w:val="single" w:color="B0C4DE" w:sz="0" w:space="0"/>
            <w:bottom w:val="single" w:color="B0C4DE" w:sz="0" w:space="0"/>
            <w:right w:val="single" w:color="B0C4DE" w:sz="0" w:space="0"/>
            <w:insideH w:val="single" w:color="B0C4DE" w:sz="0" w:space="0"/>
            <w:insideV w:val="single" w:color="B0C4DE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0F7FF"/>
            <w:vAlign w:val="center"/>
          </w:tcPr>
          <w:p w14:paraId="35334581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拨备覆盖率</w:t>
            </w:r>
          </w:p>
        </w:tc>
        <w:tc>
          <w:tcPr>
            <w:tcW w:w="350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0F7FF"/>
            <w:vAlign w:val="center"/>
          </w:tcPr>
          <w:p w14:paraId="6B05C921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213.60%</w:t>
            </w:r>
          </w:p>
        </w:tc>
        <w:tc>
          <w:tcPr>
            <w:tcW w:w="250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0F7FF"/>
            <w:vAlign w:val="center"/>
          </w:tcPr>
          <w:p w14:paraId="3CC270B8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—</w:t>
            </w:r>
          </w:p>
        </w:tc>
      </w:tr>
      <w:tr w14:paraId="054BA749">
        <w:tblPrEx>
          <w:tblBorders>
            <w:top w:val="single" w:color="B0C4DE" w:sz="0" w:space="0"/>
            <w:left w:val="single" w:color="B0C4DE" w:sz="0" w:space="0"/>
            <w:bottom w:val="single" w:color="B0C4DE" w:sz="0" w:space="0"/>
            <w:right w:val="single" w:color="B0C4DE" w:sz="0" w:space="0"/>
            <w:insideH w:val="single" w:color="B0C4DE" w:sz="0" w:space="0"/>
            <w:insideV w:val="single" w:color="B0C4DE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FFFFF"/>
            <w:vAlign w:val="center"/>
          </w:tcPr>
          <w:p w14:paraId="68F98D2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资产总额</w:t>
            </w:r>
          </w:p>
        </w:tc>
        <w:tc>
          <w:tcPr>
            <w:tcW w:w="350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FFFFF"/>
            <w:vAlign w:val="center"/>
          </w:tcPr>
          <w:p w14:paraId="046C239F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53.48万亿元</w:t>
            </w:r>
          </w:p>
        </w:tc>
        <w:tc>
          <w:tcPr>
            <w:tcW w:w="2500" w:type="dxa"/>
            <w:tcBorders>
              <w:top w:val="single" w:color="B0C4DE" w:sz="0" w:space="0"/>
              <w:left w:val="single" w:color="B0C4DE" w:sz="0" w:space="0"/>
              <w:bottom w:val="single" w:color="B0C4DE" w:sz="0" w:space="0"/>
              <w:right w:val="single" w:color="B0C4DE" w:sz="0" w:space="0"/>
            </w:tcBorders>
            <w:shd w:val="clear" w:color="auto" w:fill="FFFFFF"/>
            <w:vAlign w:val="center"/>
          </w:tcPr>
          <w:p w14:paraId="1938D9D3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—</w:t>
            </w:r>
          </w:p>
        </w:tc>
      </w:tr>
    </w:tbl>
    <w:p w14:paraId="06CE712D">
      <w:pPr>
        <w:spacing w:before="200"/>
      </w:pPr>
    </w:p>
    <w:p w14:paraId="15E54E57">
      <w:pPr>
        <w:pStyle w:val="2"/>
        <w:spacing w:before="240" w:after="120" w:line="360" w:lineRule="auto"/>
        <w:jc w:val="left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A3A5C"/>
          <w:sz w:val="28"/>
          <w:szCs w:val="28"/>
        </w:rPr>
        <w:t>二、业务亮点</w:t>
      </w:r>
    </w:p>
    <w:p w14:paraId="6C69D0AE">
      <w:pPr>
        <w:spacing w:after="80" w:line="360" w:lineRule="auto"/>
        <w:ind w:firstLine="566"/>
        <w:jc w:val="both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z w:val="22"/>
          <w:szCs w:val="22"/>
        </w:rPr>
        <w:t>1. 盈利总量保持行业第一：2025年实现净利润3,707.66亿元，同比增长1.0%，营收8,013.95亿元，同比增长1.9%，继续保持全球银行业盈利规模最大银行地位。</w:t>
      </w:r>
    </w:p>
    <w:p w14:paraId="79FAC134">
      <w:pPr>
        <w:spacing w:after="80" w:line="360" w:lineRule="auto"/>
        <w:ind w:firstLine="566"/>
        <w:jc w:val="both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z w:val="22"/>
          <w:szCs w:val="22"/>
        </w:rPr>
        <w:t>2. 资产规模稳步增长：集团资产总额达53.48万亿元，持续巩固全球资产规模最大商业银行地位，资产质量保持稳定，不良贷款率控制在1.31%的较低水平。</w:t>
      </w:r>
    </w:p>
    <w:p w14:paraId="322FD80E">
      <w:pPr>
        <w:spacing w:after="80" w:line="360" w:lineRule="auto"/>
        <w:ind w:firstLine="566"/>
        <w:jc w:val="both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z w:val="22"/>
          <w:szCs w:val="22"/>
        </w:rPr>
        <w:t>3. 资本实力雄厚：资本充足率18.76%，拨备覆盖率213.60%，风险抵补能力充足，在复杂经济环境下展现了较强的抗风险韧性。</w:t>
      </w:r>
    </w:p>
    <w:p w14:paraId="5B8C718D">
      <w:pPr>
        <w:spacing w:before="200"/>
      </w:pPr>
    </w:p>
    <w:p w14:paraId="10EB80BB">
      <w:pPr>
        <w:pStyle w:val="2"/>
        <w:spacing w:before="240" w:after="120" w:line="360" w:lineRule="auto"/>
        <w:jc w:val="left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A3A5C"/>
          <w:sz w:val="28"/>
          <w:szCs w:val="28"/>
        </w:rPr>
        <w:t>三、风险提示</w:t>
      </w:r>
    </w:p>
    <w:p w14:paraId="24B037B2">
      <w:pPr>
        <w:spacing w:after="80" w:line="360" w:lineRule="auto"/>
        <w:ind w:firstLine="566"/>
        <w:jc w:val="both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z w:val="22"/>
          <w:szCs w:val="22"/>
        </w:rPr>
        <w:t>1. 房地产贷款风险需持续关注：房地产贷款不良率从2020年的2.32%升至2024年的4.99%，虽通过抵押品管理（平均抵押率44.6%）和区域聚焦（97.6%分布于一、二线城市）进行控制，但房地产周期下行压力仍不可忽视。</w:t>
      </w:r>
    </w:p>
    <w:p w14:paraId="76A66B50">
      <w:pPr>
        <w:spacing w:after="80" w:line="360" w:lineRule="auto"/>
        <w:ind w:firstLine="566"/>
        <w:jc w:val="both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z w:val="22"/>
          <w:szCs w:val="22"/>
        </w:rPr>
        <w:t>2. 净息差持续收窄：净息差约1.30%，在利率市场化深化和LPR持续下调的背景下，净息差收窄对银行盈利能力形成持续压力，需通过优化资产负债结构和提升非息收入占比来应对。</w:t>
      </w:r>
    </w:p>
    <w:p w14:paraId="3D35D2D4">
      <w:pPr>
        <w:spacing w:before="200"/>
      </w:pPr>
    </w:p>
    <w:p w14:paraId="009F68F3">
      <w:pPr>
        <w:pStyle w:val="2"/>
        <w:spacing w:before="240" w:after="120" w:line="360" w:lineRule="auto"/>
        <w:jc w:val="left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A3A5C"/>
          <w:sz w:val="28"/>
          <w:szCs w:val="28"/>
        </w:rPr>
        <w:t>四、总结与展望</w:t>
      </w:r>
    </w:p>
    <w:p w14:paraId="676DC944">
      <w:pPr>
        <w:spacing w:after="120" w:line="360" w:lineRule="auto"/>
        <w:ind w:firstLine="566"/>
        <w:jc w:val="both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z w:val="22"/>
          <w:szCs w:val="22"/>
        </w:rPr>
        <w:t>总体而言，工商银行2025年业绩稳健，在全球银行业中继续保持盈利规模和资产规模的双重领先地位。资产质量总体可控，资本充足水平较高，风险抵补能力较强。未来需重点关注净息差收窄压力和房地产贷款风险暴露，同时积极把握数字化转型、绿色金融和跨境业务等新增长机遇，持续推动高质量发展，巩固全球系统重要性银行地位。</w:t>
      </w:r>
    </w:p>
    <w:sectPr>
      <w:headerReference r:id="rId3" w:type="default"/>
      <w:footerReference r:id="rId4" w:type="default"/>
      <w:pgSz w:w="11905" w:h="16837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07609E">
    <w:pPr>
      <w:jc w:val="center"/>
    </w:pPr>
    <w:r>
      <w:rPr>
        <w:rFonts w:ascii="Arial" w:hAnsi="Arial" w:eastAsia="Arial" w:cs="Arial"/>
        <w:color w:val="666666"/>
        <w:sz w:val="18"/>
        <w:szCs w:val="18"/>
      </w:rPr>
      <w:fldChar w:fldCharType="begin"/>
    </w:r>
    <w:r>
      <w:rPr>
        <w:rFonts w:ascii="Arial" w:hAnsi="Arial" w:eastAsia="Arial" w:cs="Arial"/>
        <w:color w:val="666666"/>
        <w:sz w:val="18"/>
        <w:szCs w:val="18"/>
      </w:rPr>
      <w:instrText xml:space="preserve">PAGE</w:instrText>
    </w:r>
    <w:r>
      <w:rPr>
        <w:rFonts w:ascii="Arial" w:hAnsi="Arial" w:eastAsia="Arial" w:cs="Arial"/>
        <w:color w:val="666666"/>
        <w:sz w:val="18"/>
        <w:szCs w:val="18"/>
      </w:rPr>
      <w:fldChar w:fldCharType="separate"/>
    </w:r>
    <w:r>
      <w:rPr>
        <w:rFonts w:ascii="Arial" w:hAnsi="Arial" w:eastAsia="Arial" w:cs="Arial"/>
        <w:color w:val="666666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63C4C6"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275" cy="349885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D4BE01">
                          <w:pPr>
                            <w:jc w:val="right"/>
                          </w:pPr>
                          <w:r>
                            <w:rPr>
                              <w:rFonts w:ascii="Arial" w:hAnsi="Arial" w:eastAsia="宋体"/>
                              <w:color w:val="808080"/>
                              <w:sz w:val="32"/>
                              <w:szCs w:val="32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 id="Watermark" o:spid="_x0000_s1026" o:spt="202" type="#_x0000_t202" style="position:absolute;left:0pt;height:27.55pt;width:173.25pt;mso-position-horizontal:right;mso-position-horizontal-relative:page;mso-position-vertical:bottom;mso-position-vertical-relative:page;z-index:-251657216;v-text-anchor:bottom;mso-width-relative:page;mso-height-relative:page;" filled="f" stroked="f" coordsize="21600,21600" o:allowincell="f" o:gfxdata="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vLbXZNUAAAAEAQAADwAAAAAAAAABACAAAAAiAAAAZHJzL2Rvd25yZXYueG1s&#10;UEsBAhQAFAAAAAgAh07iQMHhyRzCAQAAkwMAAA4AAAAAAAAAAQAgAAAAJA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2.54mm,1.27mm">
                <w:txbxContent>
                  <w:p w14:paraId="35D4BE01">
                    <w:pPr>
                      <w:jc w:val="right"/>
                    </w:pPr>
                    <w:r>
                      <w:rPr>
                        <w:rFonts w:ascii="Arial" w:hAnsi="Arial" w:eastAsia="宋体"/>
                        <w:color w:val="808080"/>
                        <w:sz w:val="32"/>
                        <w:szCs w:val="32"/>
                        <w14:textFill>
                          <w14:solidFill>
                            <w14:srgbClr w14:val="808080">
                              <w14:alpha w14:val="19999"/>
                            </w14:srgbClr>
                          </w14:solidFill>
                        </w14:textFill>
                      </w:rPr>
                      <w:t>AI 生成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3A85FBE"/>
    <w:rsid w:val="0ADA4A3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color w:val="000000"/>
      <w:sz w:val="22"/>
      <w:szCs w:val="22"/>
    </w:rPr>
  </w:style>
  <w:style w:type="paragraph" w:styleId="2">
    <w:name w:val="heading 1"/>
    <w:next w:val="1"/>
    <w:qFormat/>
    <w:uiPriority w:val="0"/>
    <w:pPr>
      <w:spacing w:line="360" w:lineRule="auto"/>
    </w:pPr>
    <w:rPr>
      <w:rFonts w:ascii="微软雅黑" w:hAnsi="微软雅黑" w:eastAsia="微软雅黑" w:cs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pPr>
      <w:spacing w:line="360" w:lineRule="auto"/>
    </w:pPr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line="360" w:lineRule="auto"/>
    </w:pPr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360" w:lineRule="auto"/>
    </w:pPr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pPr>
      <w:spacing w:line="360" w:lineRule="auto"/>
    </w:pPr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pPr>
      <w:spacing w:line="360" w:lineRule="auto"/>
    </w:pPr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color w:val="000000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color w:val="000000"/>
      <w:sz w:val="20"/>
      <w:szCs w:val="20"/>
    </w:rPr>
  </w:style>
  <w:style w:type="paragraph" w:styleId="10">
    <w:name w:val="Title"/>
    <w:qFormat/>
    <w:uiPriority w:val="0"/>
    <w:pPr>
      <w:spacing w:line="360" w:lineRule="auto"/>
    </w:pPr>
    <w:rPr>
      <w:rFonts w:ascii="微软雅黑" w:hAnsi="微软雅黑" w:eastAsia="微软雅黑" w:cs="微软雅黑"/>
      <w:color w:val="000000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360" w:lineRule="auto"/>
    </w:pPr>
    <w:rPr>
      <w:rFonts w:ascii="微软雅黑" w:hAnsi="微软雅黑" w:eastAsia="微软雅黑" w:cs="微软雅黑"/>
      <w:color w:val="000000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655</Words>
  <Characters>844</Characters>
  <TotalTime>2</TotalTime>
  <ScaleCrop>false</ScaleCrop>
  <LinksUpToDate>false</LinksUpToDate>
  <CharactersWithSpaces>853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2026-06-27T07:43:00Z</dcterms:created>
  <dc:creator>Un-named</dc:creator>
  <cp:lastModifiedBy>張喜闻</cp:lastModifiedBy>
  <dcterms:modified xsi:type="dcterms:W3CDTF">2026-06-27T12:21:26Z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7848F0DEECA845EDBFA3477B3F06D4B7_13</vt:lpwstr>
  </property>
  <property fmtid="{D5CDD505-2E9C-101B-9397-08002B2CF9AE}" pid="4" name="KSOTemplateDocerSaveRecord">
    <vt:lpwstr>eyJoZGlkIjoiYjgyOGQyODI3NTAyMDJjYmRjZmFkZWE1NDI5Y2Q4NDIiLCJ1c2VySWQiOiIzOTgwNTMzNzIifQ==</vt:lpwstr>
  </property>
</Properties>
</file>