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5753DE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实验报告三</w:t>
      </w:r>
    </w:p>
    <w:p w14:paraId="221F4EC7">
      <w:pPr>
        <w:jc w:val="center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金融202302骆劲松202301761</w:t>
      </w:r>
    </w:p>
    <w:p w14:paraId="17FDF58A">
      <w:pPr>
        <w:jc w:val="center"/>
        <w:rPr>
          <w:rFonts w:hint="eastAsia"/>
          <w:sz w:val="28"/>
          <w:szCs w:val="36"/>
          <w:lang w:val="en-US" w:eastAsia="zh-CN"/>
        </w:rPr>
      </w:pPr>
    </w:p>
    <w:p w14:paraId="29D4556A">
      <w:pPr>
        <w:numPr>
          <w:ilvl w:val="0"/>
          <w:numId w:val="1"/>
        </w:numPr>
        <w:jc w:val="both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回访报告</w:t>
      </w:r>
    </w:p>
    <w:tbl>
      <w:tblPr>
        <w:tblW w:w="851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0"/>
        <w:gridCol w:w="6599"/>
      </w:tblGrid>
      <w:tr w14:paraId="3588AE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666666" w:sz="8" w:space="0"/>
              <w:left w:val="single" w:color="666666" w:sz="8" w:space="0"/>
              <w:bottom w:val="single" w:color="666666" w:sz="8" w:space="0"/>
              <w:right w:val="single" w:color="666666" w:sz="8" w:space="0"/>
            </w:tcBorders>
            <w:shd w:val="clear"/>
            <w:vAlign w:val="top"/>
          </w:tcPr>
          <w:p w14:paraId="6A3D5604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top"/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回访方式</w:t>
            </w:r>
          </w:p>
        </w:tc>
        <w:tc>
          <w:tcPr>
            <w:tcW w:w="6599" w:type="dxa"/>
            <w:tcBorders>
              <w:top w:val="single" w:color="666666" w:sz="8" w:space="0"/>
              <w:left w:val="nil"/>
              <w:bottom w:val="single" w:color="666666" w:sz="8" w:space="0"/>
              <w:right w:val="single" w:color="666666" w:sz="8" w:space="0"/>
            </w:tcBorders>
            <w:shd w:val="clear"/>
            <w:vAlign w:val="top"/>
          </w:tcPr>
          <w:p w14:paraId="3D80C78C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现场走访</w:t>
            </w:r>
            <w:r>
              <w:rPr>
                <w:rFonts w:ascii="Arial" w:hAnsi="Arial" w:eastAsia="微软雅黑" w:cs="Arial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 + 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财务报表核查</w:t>
            </w:r>
          </w:p>
        </w:tc>
      </w:tr>
      <w:tr w14:paraId="47E25E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nil"/>
              <w:left w:val="single" w:color="666666" w:sz="8" w:space="0"/>
              <w:bottom w:val="single" w:color="666666" w:sz="8" w:space="0"/>
              <w:right w:val="single" w:color="666666" w:sz="8" w:space="0"/>
            </w:tcBorders>
            <w:shd w:val="clear"/>
            <w:vAlign w:val="top"/>
          </w:tcPr>
          <w:p w14:paraId="028A73CB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回访时间</w:t>
            </w:r>
          </w:p>
        </w:tc>
        <w:tc>
          <w:tcPr>
            <w:tcW w:w="6599" w:type="dxa"/>
            <w:tcBorders>
              <w:top w:val="nil"/>
              <w:left w:val="nil"/>
              <w:bottom w:val="single" w:color="666666" w:sz="8" w:space="0"/>
              <w:right w:val="single" w:color="666666" w:sz="8" w:space="0"/>
            </w:tcBorders>
            <w:shd w:val="clear"/>
            <w:vAlign w:val="top"/>
          </w:tcPr>
          <w:p w14:paraId="4EE245F1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2026-06-20 09:30 - 15:30</w:t>
            </w:r>
          </w:p>
        </w:tc>
      </w:tr>
      <w:tr w14:paraId="25EDF3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nil"/>
              <w:left w:val="single" w:color="666666" w:sz="8" w:space="0"/>
              <w:bottom w:val="single" w:color="666666" w:sz="8" w:space="0"/>
              <w:right w:val="single" w:color="666666" w:sz="8" w:space="0"/>
            </w:tcBorders>
            <w:shd w:val="clear"/>
            <w:vAlign w:val="top"/>
          </w:tcPr>
          <w:p w14:paraId="480C44E6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回访地点</w:t>
            </w:r>
          </w:p>
        </w:tc>
        <w:tc>
          <w:tcPr>
            <w:tcW w:w="6599" w:type="dxa"/>
            <w:tcBorders>
              <w:top w:val="nil"/>
              <w:left w:val="nil"/>
              <w:bottom w:val="single" w:color="666666" w:sz="8" w:space="0"/>
              <w:right w:val="single" w:color="666666" w:sz="8" w:space="0"/>
            </w:tcBorders>
            <w:shd w:val="clear"/>
            <w:vAlign w:val="top"/>
          </w:tcPr>
          <w:p w14:paraId="4B17D5BC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公司总部</w:t>
            </w:r>
            <w:r>
              <w:rPr>
                <w:rFonts w:hint="default" w:ascii="Arial" w:hAnsi="Arial" w:eastAsia="微软雅黑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 + 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萧山工厂车间</w:t>
            </w:r>
          </w:p>
        </w:tc>
      </w:tr>
      <w:tr w14:paraId="35C48E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nil"/>
              <w:left w:val="single" w:color="666666" w:sz="8" w:space="0"/>
              <w:bottom w:val="single" w:color="666666" w:sz="8" w:space="0"/>
              <w:right w:val="single" w:color="666666" w:sz="8" w:space="0"/>
            </w:tcBorders>
            <w:shd w:val="clear"/>
            <w:vAlign w:val="top"/>
          </w:tcPr>
          <w:p w14:paraId="660FD58E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受访人</w:t>
            </w:r>
          </w:p>
        </w:tc>
        <w:tc>
          <w:tcPr>
            <w:tcW w:w="6599" w:type="dxa"/>
            <w:tcBorders>
              <w:top w:val="nil"/>
              <w:left w:val="nil"/>
              <w:bottom w:val="single" w:color="666666" w:sz="8" w:space="0"/>
              <w:right w:val="single" w:color="666666" w:sz="8" w:space="0"/>
            </w:tcBorders>
            <w:shd w:val="clear"/>
            <w:vAlign w:val="top"/>
          </w:tcPr>
          <w:p w14:paraId="67FCEAB9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张志强</w:t>
            </w:r>
            <w:r>
              <w:rPr>
                <w:rFonts w:hint="default" w:ascii="Arial" w:hAnsi="Arial" w:eastAsia="微软雅黑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 (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法定代表人</w:t>
            </w:r>
            <w:r>
              <w:rPr>
                <w:rFonts w:hint="default" w:ascii="Arial" w:hAnsi="Arial" w:eastAsia="微软雅黑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) + 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王财务总监</w:t>
            </w:r>
          </w:p>
        </w:tc>
      </w:tr>
      <w:tr w14:paraId="6348B3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920" w:type="dxa"/>
            <w:tcBorders>
              <w:top w:val="nil"/>
              <w:left w:val="single" w:color="666666" w:sz="8" w:space="0"/>
              <w:bottom w:val="single" w:color="666666" w:sz="8" w:space="0"/>
              <w:right w:val="single" w:color="666666" w:sz="8" w:space="0"/>
            </w:tcBorders>
            <w:shd w:val="clear"/>
            <w:vAlign w:val="top"/>
          </w:tcPr>
          <w:p w14:paraId="5D6E66EF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回访人</w:t>
            </w:r>
          </w:p>
        </w:tc>
        <w:tc>
          <w:tcPr>
            <w:tcW w:w="6599" w:type="dxa"/>
            <w:tcBorders>
              <w:top w:val="nil"/>
              <w:left w:val="nil"/>
              <w:bottom w:val="single" w:color="666666" w:sz="8" w:space="0"/>
              <w:right w:val="single" w:color="666666" w:sz="8" w:space="0"/>
            </w:tcBorders>
            <w:shd w:val="clear"/>
            <w:vAlign w:val="top"/>
          </w:tcPr>
          <w:p w14:paraId="2D0E6B49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李明</w:t>
            </w:r>
            <w:r>
              <w:rPr>
                <w:rFonts w:hint="default" w:ascii="Arial" w:hAnsi="Arial" w:eastAsia="微软雅黑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 (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客户经理</w:t>
            </w:r>
            <w:r>
              <w:rPr>
                <w:rFonts w:hint="default" w:ascii="Arial" w:hAnsi="Arial" w:eastAsia="微软雅黑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)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、赵风控 </w:t>
            </w:r>
            <w:r>
              <w:rPr>
                <w:rFonts w:hint="default" w:ascii="Arial" w:hAnsi="Arial" w:eastAsia="微软雅黑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(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风险经理</w:t>
            </w:r>
            <w:r>
              <w:rPr>
                <w:rFonts w:hint="default" w:ascii="Arial" w:hAnsi="Arial" w:eastAsia="微软雅黑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)</w:t>
            </w:r>
          </w:p>
        </w:tc>
      </w:tr>
    </w:tbl>
    <w:p w14:paraId="78632C52">
      <w:pPr>
        <w:spacing w:before="60" w:after="60"/>
      </w:pPr>
      <w:r>
        <w:rPr>
          <w:rFonts w:ascii="Arial" w:hAnsi="Arial" w:eastAsia="微软雅黑"/>
          <w:b w:val="0"/>
          <w:bCs w:val="0"/>
          <w:sz w:val="22"/>
          <w:szCs w:val="22"/>
        </w:rPr>
        <w:t>客户反映: ① Q2 新签订单 4,800 万, 环比增长 15%; ② 计划下半年新增 1,500 万流动资金贷款; ③ 将于 2026-07-05 前一次性归还在 HT2025-007 项下未到期银承敞口 120 万元; ④ 抵押厂房使用正常, 评估值已升至约 1,500 万元; ⑤ 母公司经营正常。</w:t>
      </w:r>
    </w:p>
    <w:p w14:paraId="69A5AA14">
      <w:pPr>
        <w:numPr>
          <w:numId w:val="0"/>
        </w:numPr>
        <w:jc w:val="both"/>
        <w:rPr>
          <w:rFonts w:hint="eastAsia"/>
          <w:sz w:val="28"/>
          <w:szCs w:val="36"/>
          <w:lang w:val="en-US" w:eastAsia="zh-CN"/>
        </w:rPr>
      </w:pPr>
    </w:p>
    <w:p w14:paraId="7B6D61E0">
      <w:pPr>
        <w:numPr>
          <w:ilvl w:val="0"/>
          <w:numId w:val="1"/>
        </w:numPr>
        <w:jc w:val="both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风险报告</w:t>
      </w:r>
    </w:p>
    <w:tbl>
      <w:tblPr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4"/>
        <w:gridCol w:w="1199"/>
        <w:gridCol w:w="6069"/>
      </w:tblGrid>
      <w:tr w14:paraId="0D58C1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254" w:type="dxa"/>
            <w:tcBorders>
              <w:top w:val="single" w:color="666666" w:sz="8" w:space="0"/>
              <w:left w:val="single" w:color="666666" w:sz="8" w:space="0"/>
              <w:bottom w:val="single" w:color="666666" w:sz="8" w:space="0"/>
              <w:right w:val="single" w:color="666666" w:sz="8" w:space="0"/>
            </w:tcBorders>
            <w:shd w:val="clear"/>
            <w:vAlign w:val="center"/>
          </w:tcPr>
          <w:p w14:paraId="0D60C38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风险类别</w:t>
            </w:r>
          </w:p>
        </w:tc>
        <w:tc>
          <w:tcPr>
            <w:tcW w:w="1199" w:type="dxa"/>
            <w:tcBorders>
              <w:top w:val="single" w:color="666666" w:sz="8" w:space="0"/>
              <w:left w:val="nil"/>
              <w:bottom w:val="single" w:color="666666" w:sz="8" w:space="0"/>
              <w:right w:val="single" w:color="666666" w:sz="8" w:space="0"/>
            </w:tcBorders>
            <w:shd w:val="clear"/>
            <w:vAlign w:val="center"/>
          </w:tcPr>
          <w:p w14:paraId="406C05B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评估结论</w:t>
            </w:r>
          </w:p>
        </w:tc>
        <w:tc>
          <w:tcPr>
            <w:tcW w:w="6069" w:type="dxa"/>
            <w:tcBorders>
              <w:top w:val="single" w:color="666666" w:sz="8" w:space="0"/>
              <w:left w:val="nil"/>
              <w:bottom w:val="single" w:color="666666" w:sz="8" w:space="0"/>
              <w:right w:val="single" w:color="666666" w:sz="8" w:space="0"/>
            </w:tcBorders>
            <w:shd w:val="clear"/>
            <w:vAlign w:val="center"/>
          </w:tcPr>
          <w:p w14:paraId="6F6CED3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证据</w:t>
            </w:r>
            <w:r>
              <w:rPr>
                <w:rStyle w:val="6"/>
                <w:rFonts w:ascii="微软雅黑" w:eastAsia="微软雅黑"/>
                <w:b/>
                <w:sz w:val="20"/>
                <w:bdr w:val="none" w:color="auto" w:sz="0" w:space="0"/>
                <w:lang w:val="en-US" w:eastAsia="zh-CN" w:bidi="ar"/>
              </w:rPr>
              <w:t>/</w:t>
            </w:r>
            <w:r>
              <w:rPr>
                <w:rStyle w:val="7"/>
                <w:rFonts w:ascii="微软雅黑" w:eastAsia="微软雅黑"/>
                <w:b/>
                <w:sz w:val="20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5A271D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54" w:type="dxa"/>
            <w:tcBorders>
              <w:top w:val="nil"/>
              <w:left w:val="single" w:color="666666" w:sz="8" w:space="0"/>
              <w:bottom w:val="single" w:color="666666" w:sz="8" w:space="0"/>
              <w:right w:val="single" w:color="666666" w:sz="8" w:space="0"/>
            </w:tcBorders>
            <w:shd w:val="clear"/>
            <w:vAlign w:val="center"/>
          </w:tcPr>
          <w:p w14:paraId="0F62471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信用风险</w:t>
            </w:r>
          </w:p>
        </w:tc>
        <w:tc>
          <w:tcPr>
            <w:tcW w:w="1199" w:type="dxa"/>
            <w:tcBorders>
              <w:top w:val="nil"/>
              <w:left w:val="nil"/>
              <w:bottom w:val="single" w:color="666666" w:sz="8" w:space="0"/>
              <w:right w:val="single" w:color="666666" w:sz="8" w:space="0"/>
            </w:tcBorders>
            <w:shd w:val="clear"/>
            <w:vAlign w:val="center"/>
          </w:tcPr>
          <w:p w14:paraId="042845E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低</w:t>
            </w:r>
          </w:p>
        </w:tc>
        <w:tc>
          <w:tcPr>
            <w:tcW w:w="6069" w:type="dxa"/>
            <w:tcBorders>
              <w:top w:val="nil"/>
              <w:left w:val="nil"/>
              <w:bottom w:val="single" w:color="666666" w:sz="8" w:space="0"/>
              <w:right w:val="single" w:color="666666" w:sz="8" w:space="0"/>
            </w:tcBorders>
            <w:shd w:val="clear"/>
            <w:vAlign w:val="center"/>
          </w:tcPr>
          <w:p w14:paraId="46B2DDF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经营稳定、订单充足、现金流良好</w:t>
            </w:r>
            <w:r>
              <w:rPr>
                <w:rStyle w:val="8"/>
                <w:rFonts w:ascii="微软雅黑" w:eastAsia="微软雅黑"/>
                <w:sz w:val="20"/>
                <w:bdr w:val="none" w:color="auto" w:sz="0" w:space="0"/>
                <w:lang w:val="en-US" w:eastAsia="zh-CN" w:bidi="ar"/>
              </w:rPr>
              <w:t xml:space="preserve">, </w:t>
            </w:r>
            <w:r>
              <w:rPr>
                <w:rStyle w:val="9"/>
                <w:rFonts w:ascii="微软雅黑" w:eastAsia="微软雅黑"/>
                <w:sz w:val="20"/>
                <w:bdr w:val="none" w:color="auto" w:sz="0" w:space="0"/>
                <w:lang w:val="en-US" w:eastAsia="zh-CN" w:bidi="ar"/>
              </w:rPr>
              <w:t>近三年均按时付息。</w:t>
            </w:r>
          </w:p>
        </w:tc>
      </w:tr>
      <w:tr w14:paraId="59C5C9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54" w:type="dxa"/>
            <w:tcBorders>
              <w:top w:val="nil"/>
              <w:left w:val="single" w:color="666666" w:sz="8" w:space="0"/>
              <w:bottom w:val="single" w:color="666666" w:sz="8" w:space="0"/>
              <w:right w:val="single" w:color="666666" w:sz="8" w:space="0"/>
            </w:tcBorders>
            <w:shd w:val="clear"/>
            <w:vAlign w:val="center"/>
          </w:tcPr>
          <w:p w14:paraId="3A22F67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市场风险</w:t>
            </w:r>
          </w:p>
        </w:tc>
        <w:tc>
          <w:tcPr>
            <w:tcW w:w="1199" w:type="dxa"/>
            <w:tcBorders>
              <w:top w:val="nil"/>
              <w:left w:val="nil"/>
              <w:bottom w:val="single" w:color="666666" w:sz="8" w:space="0"/>
              <w:right w:val="single" w:color="666666" w:sz="8" w:space="0"/>
            </w:tcBorders>
            <w:shd w:val="clear"/>
            <w:vAlign w:val="center"/>
          </w:tcPr>
          <w:p w14:paraId="5F15D56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中低</w:t>
            </w:r>
          </w:p>
        </w:tc>
        <w:tc>
          <w:tcPr>
            <w:tcW w:w="6069" w:type="dxa"/>
            <w:tcBorders>
              <w:top w:val="nil"/>
              <w:left w:val="nil"/>
              <w:bottom w:val="single" w:color="666666" w:sz="8" w:space="0"/>
              <w:right w:val="single" w:color="666666" w:sz="8" w:space="0"/>
            </w:tcBorders>
            <w:shd w:val="clear"/>
            <w:vAlign w:val="center"/>
          </w:tcPr>
          <w:p w14:paraId="0B53BAF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行业整体承压</w:t>
            </w:r>
            <w:r>
              <w:rPr>
                <w:rStyle w:val="8"/>
                <w:rFonts w:ascii="微软雅黑" w:eastAsia="微软雅黑"/>
                <w:sz w:val="20"/>
                <w:bdr w:val="none" w:color="auto" w:sz="0" w:space="0"/>
                <w:lang w:val="en-US" w:eastAsia="zh-CN" w:bidi="ar"/>
              </w:rPr>
              <w:t xml:space="preserve">, </w:t>
            </w:r>
            <w:r>
              <w:rPr>
                <w:rStyle w:val="9"/>
                <w:rFonts w:ascii="微软雅黑" w:eastAsia="微软雅黑"/>
                <w:sz w:val="20"/>
                <w:bdr w:val="none" w:color="auto" w:sz="0" w:space="0"/>
                <w:lang w:val="en-US" w:eastAsia="zh-CN" w:bidi="ar"/>
              </w:rPr>
              <w:t>但公司通过产品升级对冲</w:t>
            </w:r>
            <w:r>
              <w:rPr>
                <w:rStyle w:val="8"/>
                <w:rFonts w:ascii="微软雅黑" w:eastAsia="微软雅黑"/>
                <w:sz w:val="20"/>
                <w:bdr w:val="none" w:color="auto" w:sz="0" w:space="0"/>
                <w:lang w:val="en-US" w:eastAsia="zh-CN" w:bidi="ar"/>
              </w:rPr>
              <w:t xml:space="preserve">, </w:t>
            </w:r>
            <w:r>
              <w:rPr>
                <w:rStyle w:val="9"/>
                <w:rFonts w:ascii="微软雅黑" w:eastAsia="微软雅黑"/>
                <w:sz w:val="20"/>
                <w:bdr w:val="none" w:color="auto" w:sz="0" w:space="0"/>
                <w:lang w:val="en-US" w:eastAsia="zh-CN" w:bidi="ar"/>
              </w:rPr>
              <w:t>影响可控。</w:t>
            </w:r>
          </w:p>
        </w:tc>
      </w:tr>
      <w:tr w14:paraId="6E89C9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54" w:type="dxa"/>
            <w:tcBorders>
              <w:top w:val="nil"/>
              <w:left w:val="single" w:color="666666" w:sz="8" w:space="0"/>
              <w:bottom w:val="single" w:color="666666" w:sz="8" w:space="0"/>
              <w:right w:val="single" w:color="666666" w:sz="8" w:space="0"/>
            </w:tcBorders>
            <w:shd w:val="clear"/>
            <w:vAlign w:val="center"/>
          </w:tcPr>
          <w:p w14:paraId="5971469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操作风险</w:t>
            </w:r>
          </w:p>
        </w:tc>
        <w:tc>
          <w:tcPr>
            <w:tcW w:w="1199" w:type="dxa"/>
            <w:tcBorders>
              <w:top w:val="nil"/>
              <w:left w:val="nil"/>
              <w:bottom w:val="single" w:color="666666" w:sz="8" w:space="0"/>
              <w:right w:val="single" w:color="666666" w:sz="8" w:space="0"/>
            </w:tcBorders>
            <w:shd w:val="clear"/>
            <w:vAlign w:val="center"/>
          </w:tcPr>
          <w:p w14:paraId="576F7D8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低</w:t>
            </w:r>
          </w:p>
        </w:tc>
        <w:tc>
          <w:tcPr>
            <w:tcW w:w="6069" w:type="dxa"/>
            <w:tcBorders>
              <w:top w:val="nil"/>
              <w:left w:val="nil"/>
              <w:bottom w:val="single" w:color="666666" w:sz="8" w:space="0"/>
              <w:right w:val="single" w:color="666666" w:sz="8" w:space="0"/>
            </w:tcBorders>
            <w:shd w:val="clear"/>
            <w:vAlign w:val="center"/>
          </w:tcPr>
          <w:p w14:paraId="325CC1C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企业治理规范</w:t>
            </w:r>
            <w:r>
              <w:rPr>
                <w:rStyle w:val="8"/>
                <w:rFonts w:ascii="微软雅黑" w:eastAsia="微软雅黑"/>
                <w:sz w:val="20"/>
                <w:bdr w:val="none" w:color="auto" w:sz="0" w:space="0"/>
                <w:lang w:val="en-US" w:eastAsia="zh-CN" w:bidi="ar"/>
              </w:rPr>
              <w:t xml:space="preserve">, </w:t>
            </w:r>
            <w:r>
              <w:rPr>
                <w:rStyle w:val="9"/>
                <w:rFonts w:ascii="微软雅黑" w:eastAsia="微软雅黑"/>
                <w:sz w:val="20"/>
                <w:bdr w:val="none" w:color="auto" w:sz="0" w:space="0"/>
                <w:lang w:val="en-US" w:eastAsia="zh-CN" w:bidi="ar"/>
              </w:rPr>
              <w:t>财务制度健全</w:t>
            </w:r>
            <w:r>
              <w:rPr>
                <w:rStyle w:val="8"/>
                <w:rFonts w:ascii="微软雅黑" w:eastAsia="微软雅黑"/>
                <w:sz w:val="20"/>
                <w:bdr w:val="none" w:color="auto" w:sz="0" w:space="0"/>
                <w:lang w:val="en-US" w:eastAsia="zh-CN" w:bidi="ar"/>
              </w:rPr>
              <w:t xml:space="preserve">, </w:t>
            </w:r>
            <w:r>
              <w:rPr>
                <w:rStyle w:val="9"/>
                <w:rFonts w:ascii="微软雅黑" w:eastAsia="微软雅黑"/>
                <w:sz w:val="20"/>
                <w:bdr w:val="none" w:color="auto" w:sz="0" w:space="0"/>
                <w:lang w:val="en-US" w:eastAsia="zh-CN" w:bidi="ar"/>
              </w:rPr>
              <w:t>配合度高。</w:t>
            </w:r>
          </w:p>
        </w:tc>
      </w:tr>
      <w:tr w14:paraId="0A7AEC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54" w:type="dxa"/>
            <w:tcBorders>
              <w:top w:val="nil"/>
              <w:left w:val="single" w:color="666666" w:sz="8" w:space="0"/>
              <w:bottom w:val="single" w:color="666666" w:sz="8" w:space="0"/>
              <w:right w:val="single" w:color="666666" w:sz="8" w:space="0"/>
            </w:tcBorders>
            <w:shd w:val="clear"/>
            <w:vAlign w:val="center"/>
          </w:tcPr>
          <w:p w14:paraId="79EAEAA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担保风险</w:t>
            </w:r>
          </w:p>
        </w:tc>
        <w:tc>
          <w:tcPr>
            <w:tcW w:w="1199" w:type="dxa"/>
            <w:tcBorders>
              <w:top w:val="nil"/>
              <w:left w:val="nil"/>
              <w:bottom w:val="single" w:color="666666" w:sz="8" w:space="0"/>
              <w:right w:val="single" w:color="666666" w:sz="8" w:space="0"/>
            </w:tcBorders>
            <w:shd w:val="clear"/>
            <w:vAlign w:val="center"/>
          </w:tcPr>
          <w:p w14:paraId="0AF5FF0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低</w:t>
            </w:r>
          </w:p>
        </w:tc>
        <w:tc>
          <w:tcPr>
            <w:tcW w:w="6069" w:type="dxa"/>
            <w:tcBorders>
              <w:top w:val="nil"/>
              <w:left w:val="nil"/>
              <w:bottom w:val="single" w:color="666666" w:sz="8" w:space="0"/>
              <w:right w:val="single" w:color="666666" w:sz="8" w:space="0"/>
            </w:tcBorders>
            <w:shd w:val="clear"/>
            <w:vAlign w:val="center"/>
          </w:tcPr>
          <w:p w14:paraId="1CB53C0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抵押物升值</w:t>
            </w:r>
            <w:r>
              <w:rPr>
                <w:rStyle w:val="8"/>
                <w:rFonts w:ascii="微软雅黑" w:eastAsia="微软雅黑"/>
                <w:sz w:val="20"/>
                <w:bdr w:val="none" w:color="auto" w:sz="0" w:space="0"/>
                <w:lang w:val="en-US" w:eastAsia="zh-CN" w:bidi="ar"/>
              </w:rPr>
              <w:t xml:space="preserve">, </w:t>
            </w:r>
            <w:r>
              <w:rPr>
                <w:rStyle w:val="9"/>
                <w:rFonts w:ascii="微软雅黑" w:eastAsia="微软雅黑"/>
                <w:sz w:val="20"/>
                <w:bdr w:val="none" w:color="auto" w:sz="0" w:space="0"/>
                <w:lang w:val="en-US" w:eastAsia="zh-CN" w:bidi="ar"/>
              </w:rPr>
              <w:t xml:space="preserve">抵押率降至 </w:t>
            </w:r>
            <w:r>
              <w:rPr>
                <w:rStyle w:val="8"/>
                <w:rFonts w:ascii="微软雅黑" w:eastAsia="微软雅黑"/>
                <w:sz w:val="20"/>
                <w:bdr w:val="none" w:color="auto" w:sz="0" w:space="0"/>
                <w:lang w:val="en-US" w:eastAsia="zh-CN" w:bidi="ar"/>
              </w:rPr>
              <w:t xml:space="preserve">33.3%, </w:t>
            </w:r>
            <w:r>
              <w:rPr>
                <w:rStyle w:val="9"/>
                <w:rFonts w:ascii="微软雅黑" w:eastAsia="微软雅黑"/>
                <w:sz w:val="20"/>
                <w:bdr w:val="none" w:color="auto" w:sz="0" w:space="0"/>
                <w:lang w:val="en-US" w:eastAsia="zh-CN" w:bidi="ar"/>
              </w:rPr>
              <w:t>第二还款来源充足。</w:t>
            </w:r>
          </w:p>
        </w:tc>
      </w:tr>
      <w:tr w14:paraId="3BDB9E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54" w:type="dxa"/>
            <w:tcBorders>
              <w:top w:val="nil"/>
              <w:left w:val="single" w:color="666666" w:sz="8" w:space="0"/>
              <w:bottom w:val="single" w:color="666666" w:sz="8" w:space="0"/>
              <w:right w:val="single" w:color="666666" w:sz="8" w:space="0"/>
            </w:tcBorders>
            <w:shd w:val="clear"/>
            <w:vAlign w:val="center"/>
          </w:tcPr>
          <w:p w14:paraId="414C8A8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合规风险</w:t>
            </w:r>
          </w:p>
        </w:tc>
        <w:tc>
          <w:tcPr>
            <w:tcW w:w="1199" w:type="dxa"/>
            <w:tcBorders>
              <w:top w:val="nil"/>
              <w:left w:val="nil"/>
              <w:bottom w:val="single" w:color="666666" w:sz="8" w:space="0"/>
              <w:right w:val="single" w:color="666666" w:sz="8" w:space="0"/>
            </w:tcBorders>
            <w:shd w:val="clear"/>
            <w:vAlign w:val="center"/>
          </w:tcPr>
          <w:p w14:paraId="0F9B42C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无</w:t>
            </w:r>
          </w:p>
        </w:tc>
        <w:tc>
          <w:tcPr>
            <w:tcW w:w="6069" w:type="dxa"/>
            <w:tcBorders>
              <w:top w:val="nil"/>
              <w:left w:val="nil"/>
              <w:bottom w:val="single" w:color="666666" w:sz="8" w:space="0"/>
              <w:right w:val="single" w:color="666666" w:sz="8" w:space="0"/>
            </w:tcBorders>
            <w:shd w:val="clear"/>
            <w:vAlign w:val="center"/>
          </w:tcPr>
          <w:p w14:paraId="2359874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未发现违反贷款用途、关联交易等违规行为。</w:t>
            </w:r>
          </w:p>
        </w:tc>
      </w:tr>
    </w:tbl>
    <w:p w14:paraId="001A9ACA">
      <w:pPr>
        <w:numPr>
          <w:numId w:val="0"/>
        </w:numPr>
        <w:jc w:val="both"/>
        <w:rPr>
          <w:rFonts w:hint="eastAsia"/>
          <w:sz w:val="28"/>
          <w:szCs w:val="36"/>
          <w:lang w:val="en-US" w:eastAsia="zh-CN"/>
        </w:rPr>
      </w:pPr>
    </w:p>
    <w:p w14:paraId="14AC92F9">
      <w:pPr>
        <w:numPr>
          <w:ilvl w:val="0"/>
          <w:numId w:val="1"/>
        </w:numPr>
        <w:ind w:left="0" w:leftChars="0" w:firstLine="0" w:firstLineChars="0"/>
        <w:jc w:val="both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贷款定价模型</w:t>
      </w:r>
    </w:p>
    <w:p w14:paraId="42A78755">
      <w:pPr>
        <w:spacing w:before="60" w:after="60"/>
      </w:pPr>
      <w:r>
        <w:rPr>
          <w:rFonts w:ascii="Arial" w:hAnsi="Arial" w:eastAsia="微软雅黑"/>
          <w:b w:val="0"/>
          <w:bCs w:val="0"/>
          <w:sz w:val="22"/>
          <w:szCs w:val="22"/>
        </w:rPr>
        <w:t>本模型采用 "基础利率 (LPR) + 客户风险溢价 + 期限溢价 + 担保调整 + 综合贡献调整" 五段式定价法, 适用于对公流动资金贷款、银行承兑汇票敞口等标准化授信业务的利率测算。模型共 6 个工作表:</w:t>
      </w:r>
    </w:p>
    <w:tbl>
      <w:tblPr>
        <w:tblStyle w:val="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50"/>
        <w:gridCol w:w="4953"/>
        <w:gridCol w:w="2043"/>
      </w:tblGrid>
      <w:tr w14:paraId="58F55F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C881D">
            <w:pPr>
              <w:jc w:val="left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工作表</w:t>
            </w:r>
          </w:p>
        </w:tc>
        <w:tc>
          <w:tcPr>
            <w:tcW w:w="58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A2799">
            <w:pPr>
              <w:jc w:val="left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功能</w:t>
            </w:r>
          </w:p>
        </w:tc>
        <w:tc>
          <w:tcPr>
            <w:tcW w:w="24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BE83F">
            <w:pPr>
              <w:jc w:val="left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字段/行数</w:t>
            </w:r>
          </w:p>
        </w:tc>
      </w:tr>
      <w:tr w14:paraId="22FD90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01E01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使用说明</w:t>
            </w:r>
          </w:p>
        </w:tc>
        <w:tc>
          <w:tcPr>
            <w:tcW w:w="58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532CA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模型说明、颜色规则</w:t>
            </w:r>
          </w:p>
        </w:tc>
        <w:tc>
          <w:tcPr>
            <w:tcW w:w="24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A0796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—</w:t>
            </w:r>
          </w:p>
        </w:tc>
      </w:tr>
      <w:tr w14:paraId="757C1F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E842D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输入参数</w:t>
            </w:r>
          </w:p>
        </w:tc>
        <w:tc>
          <w:tcPr>
            <w:tcW w:w="58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B1F5A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客户与贷款要素, 蓝字可调, 黄底关键假设</w:t>
            </w:r>
          </w:p>
        </w:tc>
        <w:tc>
          <w:tcPr>
            <w:tcW w:w="24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6E467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25 个字段</w:t>
            </w:r>
          </w:p>
        </w:tc>
      </w:tr>
      <w:tr w14:paraId="2BE84A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3D94A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定价计算</w:t>
            </w:r>
          </w:p>
        </w:tc>
        <w:tc>
          <w:tcPr>
            <w:tcW w:w="58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E7C65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五段式利率分解, 黑色公式, 绿字跨表引用, 绿色底为最终结果</w:t>
            </w:r>
          </w:p>
        </w:tc>
        <w:tc>
          <w:tcPr>
            <w:tcW w:w="24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41BC7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31 行</w:t>
            </w:r>
          </w:p>
        </w:tc>
      </w:tr>
      <w:tr w14:paraId="39F45F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6C1D5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敏感性分析</w:t>
            </w:r>
          </w:p>
        </w:tc>
        <w:tc>
          <w:tcPr>
            <w:tcW w:w="58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3F41B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利率对客户评级/担保/期限/规模弹性 + 双变量矩阵 (色阶)</w:t>
            </w:r>
          </w:p>
        </w:tc>
        <w:tc>
          <w:tcPr>
            <w:tcW w:w="24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44296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41 行</w:t>
            </w:r>
          </w:p>
        </w:tc>
      </w:tr>
      <w:tr w14:paraId="3D1778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5EF00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同业对标</w:t>
            </w:r>
          </w:p>
        </w:tc>
        <w:tc>
          <w:tcPr>
            <w:tcW w:w="58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57D60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5 家可比银行同期同类贷款定价对比</w:t>
            </w:r>
          </w:p>
        </w:tc>
        <w:tc>
          <w:tcPr>
            <w:tcW w:w="24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BE4CB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9 行</w:t>
            </w:r>
          </w:p>
        </w:tc>
      </w:tr>
      <w:tr w14:paraId="56C5A7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1CE83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历史回测</w:t>
            </w:r>
          </w:p>
        </w:tc>
        <w:tc>
          <w:tcPr>
            <w:tcW w:w="58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27EFE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2024-2025 年 20 笔贷款样本回测, 平均偏差 / 标准差</w:t>
            </w:r>
          </w:p>
        </w:tc>
        <w:tc>
          <w:tcPr>
            <w:tcW w:w="24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7B0D6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23 行</w:t>
            </w:r>
          </w:p>
        </w:tc>
      </w:tr>
    </w:tbl>
    <w:p w14:paraId="03D8FB44">
      <w:pPr>
        <w:pStyle w:val="3"/>
        <w:spacing w:before="240" w:after="120"/>
        <w:rPr>
          <w:color w:val="auto"/>
        </w:rPr>
      </w:pPr>
      <w:r>
        <w:rPr>
          <w:rFonts w:ascii="Arial" w:hAnsi="Arial" w:eastAsia="微软雅黑"/>
          <w:b/>
          <w:bCs/>
          <w:color w:val="auto"/>
          <w:sz w:val="30"/>
          <w:szCs w:val="30"/>
        </w:rPr>
        <w:t>二、关键定价结果 (基于示例客户)</w:t>
      </w:r>
    </w:p>
    <w:p w14:paraId="568B228D">
      <w:pPr>
        <w:spacing w:before="60" w:after="60"/>
      </w:pPr>
      <w:r>
        <w:rPr>
          <w:rFonts w:ascii="Arial" w:hAnsi="Arial" w:eastAsia="微软雅黑"/>
          <w:b w:val="0"/>
          <w:bCs w:val="0"/>
          <w:sz w:val="22"/>
          <w:szCs w:val="22"/>
        </w:rPr>
        <w:t>以客户 C00001 (恒达机械) 申请 1,500 万元流动资金贷款、评级 A、保证+抵押、1 年期为例:</w:t>
      </w:r>
    </w:p>
    <w:tbl>
      <w:tblPr>
        <w:tblStyle w:val="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59"/>
        <w:gridCol w:w="1932"/>
        <w:gridCol w:w="4555"/>
      </w:tblGrid>
      <w:tr w14:paraId="4A4592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752B4">
            <w:pPr>
              <w:jc w:val="left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定价段</w:t>
            </w:r>
          </w:p>
        </w:tc>
        <w:tc>
          <w:tcPr>
            <w:tcW w:w="22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0C024">
            <w:pPr>
              <w:jc w:val="left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数值</w:t>
            </w:r>
          </w:p>
        </w:tc>
        <w:tc>
          <w:tcPr>
            <w:tcW w:w="54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F4720">
            <w:pPr>
              <w:jc w:val="left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679B48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9242B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① 基础利率</w:t>
            </w:r>
          </w:p>
        </w:tc>
        <w:tc>
          <w:tcPr>
            <w:tcW w:w="22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38D13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3.85% (1Y LPR)</w:t>
            </w:r>
          </w:p>
        </w:tc>
        <w:tc>
          <w:tcPr>
            <w:tcW w:w="54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40142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期限≤1Y 时, 无 LPR 期限调整</w:t>
            </w:r>
          </w:p>
        </w:tc>
      </w:tr>
      <w:tr w14:paraId="093DAE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3D3F6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② 客户风险溢价</w:t>
            </w:r>
          </w:p>
        </w:tc>
        <w:tc>
          <w:tcPr>
            <w:tcW w:w="22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EBDFE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82 bp</w:t>
            </w:r>
          </w:p>
        </w:tc>
        <w:tc>
          <w:tcPr>
            <w:tcW w:w="54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77111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PD*LGD = 32bp + 评级A利差 60bp + 担保调整 -10bp + 抵押率附加 0bp</w:t>
            </w:r>
          </w:p>
        </w:tc>
      </w:tr>
      <w:tr w14:paraId="66985D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9D573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③ 运营+资本成本</w:t>
            </w:r>
          </w:p>
        </w:tc>
        <w:tc>
          <w:tcPr>
            <w:tcW w:w="22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747A9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480 bp</w:t>
            </w:r>
          </w:p>
        </w:tc>
        <w:tc>
          <w:tcPr>
            <w:tcW w:w="54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5256A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FTP 310bp + 运营 50bp + 资本占用 120bp</w:t>
            </w:r>
          </w:p>
        </w:tc>
      </w:tr>
      <w:tr w14:paraId="7E4679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1C27E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④ 综合贡献调整</w:t>
            </w:r>
          </w:p>
        </w:tc>
        <w:tc>
          <w:tcPr>
            <w:tcW w:w="22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92CCC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-9 bp</w:t>
            </w:r>
          </w:p>
        </w:tc>
        <w:tc>
          <w:tcPr>
            <w:tcW w:w="54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7F799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存款贡献 -5bp + 结算/中收 -9bp + 战略 -10bp + 议价 +5bp</w:t>
            </w:r>
          </w:p>
        </w:tc>
      </w:tr>
      <w:tr w14:paraId="6E8FCC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072BF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最终建议利率</w:t>
            </w:r>
          </w:p>
        </w:tc>
        <w:tc>
          <w:tcPr>
            <w:tcW w:w="22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72EC5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4.50%</w:t>
            </w:r>
          </w:p>
        </w:tc>
        <w:tc>
          <w:tcPr>
            <w:tcW w:w="54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47FA8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① + ③ + ② + ④ = 3.85% + 4.80% + 0.82% - 0.09% ≈ 4.50%</w:t>
            </w:r>
          </w:p>
        </w:tc>
      </w:tr>
      <w:tr w14:paraId="108A9B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AFF1F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FTP 利差</w:t>
            </w:r>
          </w:p>
        </w:tc>
        <w:tc>
          <w:tcPr>
            <w:tcW w:w="22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00C62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65 bp</w:t>
            </w:r>
          </w:p>
        </w:tc>
        <w:tc>
          <w:tcPr>
            <w:tcW w:w="54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C3EBE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4.50% - 3.10% (FTP)</w:t>
            </w:r>
          </w:p>
        </w:tc>
      </w:tr>
      <w:tr w14:paraId="77C8B8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16D50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EVA 贡献</w:t>
            </w:r>
          </w:p>
        </w:tc>
        <w:tc>
          <w:tcPr>
            <w:tcW w:w="22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08169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约 50.85 万元</w:t>
            </w:r>
          </w:p>
        </w:tc>
        <w:tc>
          <w:tcPr>
            <w:tcW w:w="54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94BE2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(最终利率 - 运营 - 资本) × 1,500 万</w:t>
            </w:r>
          </w:p>
        </w:tc>
      </w:tr>
    </w:tbl>
    <w:p w14:paraId="1C867C19">
      <w:pPr>
        <w:pStyle w:val="3"/>
        <w:spacing w:before="240" w:after="120"/>
        <w:rPr>
          <w:color w:val="auto"/>
        </w:rPr>
      </w:pPr>
      <w:r>
        <w:rPr>
          <w:rFonts w:ascii="Arial" w:hAnsi="Arial" w:eastAsia="微软雅黑"/>
          <w:b/>
          <w:bCs/>
          <w:color w:val="auto"/>
          <w:sz w:val="30"/>
          <w:szCs w:val="30"/>
        </w:rPr>
        <w:t>三、关键参数 (黄底关键假设)</w:t>
      </w:r>
    </w:p>
    <w:tbl>
      <w:tblPr>
        <w:tblStyle w:val="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82"/>
        <w:gridCol w:w="1964"/>
        <w:gridCol w:w="4500"/>
      </w:tblGrid>
      <w:tr w14:paraId="6F6740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6FCEB">
            <w:pPr>
              <w:jc w:val="left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参数</w:t>
            </w:r>
          </w:p>
        </w:tc>
        <w:tc>
          <w:tcPr>
            <w:tcW w:w="22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523A8">
            <w:pPr>
              <w:jc w:val="left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数值</w:t>
            </w:r>
          </w:p>
        </w:tc>
        <w:tc>
          <w:tcPr>
            <w:tcW w:w="54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2AC94">
            <w:pPr>
              <w:jc w:val="left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6E02CA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1463C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1Y LPR</w:t>
            </w:r>
          </w:p>
        </w:tc>
        <w:tc>
          <w:tcPr>
            <w:tcW w:w="22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ED18E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3.85%</w:t>
            </w:r>
          </w:p>
        </w:tc>
        <w:tc>
          <w:tcPr>
            <w:tcW w:w="54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9F61A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市场基准, 央行公布</w:t>
            </w:r>
          </w:p>
        </w:tc>
      </w:tr>
      <w:tr w14:paraId="538696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3C3AD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FTP 资金成本</w:t>
            </w:r>
          </w:p>
        </w:tc>
        <w:tc>
          <w:tcPr>
            <w:tcW w:w="22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696EB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3.10%</w:t>
            </w:r>
          </w:p>
        </w:tc>
        <w:tc>
          <w:tcPr>
            <w:tcW w:w="54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AB202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内部资金转移价格</w:t>
            </w:r>
          </w:p>
        </w:tc>
      </w:tr>
      <w:tr w14:paraId="2E9846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2D699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运营成本率</w:t>
            </w:r>
          </w:p>
        </w:tc>
        <w:tc>
          <w:tcPr>
            <w:tcW w:w="22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7EA7C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0.50%</w:t>
            </w:r>
          </w:p>
        </w:tc>
        <w:tc>
          <w:tcPr>
            <w:tcW w:w="54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E7C5E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人工+管理分摊</w:t>
            </w:r>
          </w:p>
        </w:tc>
      </w:tr>
      <w:tr w14:paraId="7DC0EA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206D9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ROE 目标</w:t>
            </w:r>
          </w:p>
        </w:tc>
        <w:tc>
          <w:tcPr>
            <w:tcW w:w="22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2BC97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12.00%</w:t>
            </w:r>
          </w:p>
        </w:tc>
        <w:tc>
          <w:tcPr>
            <w:tcW w:w="54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4CDFF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资本成本基准, 风险权重 1.0</w:t>
            </w:r>
          </w:p>
        </w:tc>
      </w:tr>
      <w:tr w14:paraId="515E26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84DAD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客户 PD (1Y)</w:t>
            </w:r>
          </w:p>
        </w:tc>
        <w:tc>
          <w:tcPr>
            <w:tcW w:w="22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5A7D2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0.80%</w:t>
            </w:r>
          </w:p>
        </w:tc>
        <w:tc>
          <w:tcPr>
            <w:tcW w:w="54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D0251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评级 A 对应</w:t>
            </w:r>
          </w:p>
        </w:tc>
      </w:tr>
      <w:tr w14:paraId="63F943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03EB9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LGD</w:t>
            </w:r>
          </w:p>
        </w:tc>
        <w:tc>
          <w:tcPr>
            <w:tcW w:w="22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DD600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40.00%</w:t>
            </w:r>
          </w:p>
        </w:tc>
        <w:tc>
          <w:tcPr>
            <w:tcW w:w="54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A348B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违约损失率</w:t>
            </w:r>
          </w:p>
        </w:tc>
      </w:tr>
      <w:tr w14:paraId="131C81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B24C1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评级 A 利差</w:t>
            </w:r>
          </w:p>
        </w:tc>
        <w:tc>
          <w:tcPr>
            <w:tcW w:w="22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FAE39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60 bp</w:t>
            </w:r>
          </w:p>
        </w:tc>
        <w:tc>
          <w:tcPr>
            <w:tcW w:w="54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A4294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评级映射表</w:t>
            </w:r>
          </w:p>
        </w:tc>
      </w:tr>
    </w:tbl>
    <w:p w14:paraId="1ADFB127">
      <w:pPr>
        <w:pStyle w:val="3"/>
        <w:spacing w:before="240" w:after="120"/>
        <w:rPr>
          <w:color w:val="auto"/>
        </w:rPr>
      </w:pPr>
      <w:r>
        <w:rPr>
          <w:rFonts w:ascii="Arial" w:hAnsi="Arial" w:eastAsia="微软雅黑"/>
          <w:b/>
          <w:bCs/>
          <w:color w:val="auto"/>
          <w:sz w:val="30"/>
          <w:szCs w:val="30"/>
        </w:rPr>
        <w:t>四、敏感性分析摘要</w:t>
      </w:r>
    </w:p>
    <w:p w14:paraId="1E49FF59">
      <w:pPr>
        <w:spacing w:before="60" w:after="60"/>
      </w:pPr>
      <w:r>
        <w:rPr>
          <w:rFonts w:ascii="Arial" w:hAnsi="Arial" w:eastAsia="微软雅黑"/>
          <w:b w:val="0"/>
          <w:bCs w:val="0"/>
          <w:sz w:val="22"/>
          <w:szCs w:val="22"/>
        </w:rPr>
        <w:t>双变量矩阵 (评级 × 担保方式, 利率 bp):</w:t>
      </w:r>
    </w:p>
    <w:tbl>
      <w:tblPr>
        <w:tblStyle w:val="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74"/>
        <w:gridCol w:w="1718"/>
        <w:gridCol w:w="1718"/>
        <w:gridCol w:w="1718"/>
        <w:gridCol w:w="1718"/>
      </w:tblGrid>
      <w:tr w14:paraId="1CF178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2BBAB">
            <w:pPr>
              <w:jc w:val="left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评级</w:t>
            </w:r>
          </w:p>
        </w:tc>
        <w:tc>
          <w:tcPr>
            <w:tcW w:w="2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B677B">
            <w:pPr>
              <w:jc w:val="left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信用</w:t>
            </w:r>
          </w:p>
        </w:tc>
        <w:tc>
          <w:tcPr>
            <w:tcW w:w="2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A7F72">
            <w:pPr>
              <w:jc w:val="left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保证</w:t>
            </w:r>
          </w:p>
        </w:tc>
        <w:tc>
          <w:tcPr>
            <w:tcW w:w="2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D12CF">
            <w:pPr>
              <w:jc w:val="left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抵押</w:t>
            </w:r>
          </w:p>
        </w:tc>
        <w:tc>
          <w:tcPr>
            <w:tcW w:w="2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5DEE0">
            <w:pPr>
              <w:jc w:val="left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保证+抵押</w:t>
            </w:r>
          </w:p>
        </w:tc>
      </w:tr>
      <w:tr w14:paraId="357CAF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6529A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AAA</w:t>
            </w:r>
          </w:p>
        </w:tc>
        <w:tc>
          <w:tcPr>
            <w:tcW w:w="2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5B91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511.25</w:t>
            </w:r>
          </w:p>
        </w:tc>
        <w:tc>
          <w:tcPr>
            <w:tcW w:w="2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DD7D3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491.25</w:t>
            </w:r>
          </w:p>
        </w:tc>
        <w:tc>
          <w:tcPr>
            <w:tcW w:w="2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EE3E9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471.25</w:t>
            </w:r>
          </w:p>
        </w:tc>
        <w:tc>
          <w:tcPr>
            <w:tcW w:w="2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ABA49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461.25</w:t>
            </w:r>
          </w:p>
        </w:tc>
      </w:tr>
      <w:tr w14:paraId="54EEAE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EE1DC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AA</w:t>
            </w:r>
          </w:p>
        </w:tc>
        <w:tc>
          <w:tcPr>
            <w:tcW w:w="2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78931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531.25</w:t>
            </w:r>
          </w:p>
        </w:tc>
        <w:tc>
          <w:tcPr>
            <w:tcW w:w="2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32D73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511.25</w:t>
            </w:r>
          </w:p>
        </w:tc>
        <w:tc>
          <w:tcPr>
            <w:tcW w:w="2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93BB6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491.25</w:t>
            </w:r>
          </w:p>
        </w:tc>
        <w:tc>
          <w:tcPr>
            <w:tcW w:w="2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09673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481.25</w:t>
            </w:r>
          </w:p>
        </w:tc>
      </w:tr>
      <w:tr w14:paraId="10131F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9C651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A (基准)</w:t>
            </w:r>
          </w:p>
        </w:tc>
        <w:tc>
          <w:tcPr>
            <w:tcW w:w="2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D4B56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571.25</w:t>
            </w:r>
          </w:p>
        </w:tc>
        <w:tc>
          <w:tcPr>
            <w:tcW w:w="2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DEA48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551.25</w:t>
            </w:r>
          </w:p>
        </w:tc>
        <w:tc>
          <w:tcPr>
            <w:tcW w:w="2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2242A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531.25</w:t>
            </w:r>
          </w:p>
        </w:tc>
        <w:tc>
          <w:tcPr>
            <w:tcW w:w="2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F8A67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521.25</w:t>
            </w:r>
          </w:p>
        </w:tc>
      </w:tr>
      <w:tr w14:paraId="2E5CE0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E016D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BBB</w:t>
            </w:r>
          </w:p>
        </w:tc>
        <w:tc>
          <w:tcPr>
            <w:tcW w:w="2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A8D0A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621.25</w:t>
            </w:r>
          </w:p>
        </w:tc>
        <w:tc>
          <w:tcPr>
            <w:tcW w:w="2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3AB34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601.25</w:t>
            </w:r>
          </w:p>
        </w:tc>
        <w:tc>
          <w:tcPr>
            <w:tcW w:w="2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DB60C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581.25</w:t>
            </w:r>
          </w:p>
        </w:tc>
        <w:tc>
          <w:tcPr>
            <w:tcW w:w="2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3BE80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571.25</w:t>
            </w:r>
          </w:p>
        </w:tc>
      </w:tr>
      <w:tr w14:paraId="523DF1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E70DC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BB</w:t>
            </w:r>
          </w:p>
        </w:tc>
        <w:tc>
          <w:tcPr>
            <w:tcW w:w="2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6BC6E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691.25</w:t>
            </w:r>
          </w:p>
        </w:tc>
        <w:tc>
          <w:tcPr>
            <w:tcW w:w="2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21645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671.25</w:t>
            </w:r>
          </w:p>
        </w:tc>
        <w:tc>
          <w:tcPr>
            <w:tcW w:w="2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1BFFA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651.25</w:t>
            </w:r>
          </w:p>
        </w:tc>
        <w:tc>
          <w:tcPr>
            <w:tcW w:w="2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12F30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641.25</w:t>
            </w:r>
          </w:p>
        </w:tc>
      </w:tr>
      <w:tr w14:paraId="6A7F45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262A5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B</w:t>
            </w:r>
          </w:p>
        </w:tc>
        <w:tc>
          <w:tcPr>
            <w:tcW w:w="2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B3F04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791.25</w:t>
            </w:r>
          </w:p>
        </w:tc>
        <w:tc>
          <w:tcPr>
            <w:tcW w:w="2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5A157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771.25</w:t>
            </w:r>
          </w:p>
        </w:tc>
        <w:tc>
          <w:tcPr>
            <w:tcW w:w="2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948AD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751.25</w:t>
            </w:r>
          </w:p>
        </w:tc>
        <w:tc>
          <w:tcPr>
            <w:tcW w:w="2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D5209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741.25</w:t>
            </w:r>
          </w:p>
        </w:tc>
      </w:tr>
      <w:tr w14:paraId="4611BF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212AE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CCC</w:t>
            </w:r>
          </w:p>
        </w:tc>
        <w:tc>
          <w:tcPr>
            <w:tcW w:w="2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7C667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961.25</w:t>
            </w:r>
          </w:p>
        </w:tc>
        <w:tc>
          <w:tcPr>
            <w:tcW w:w="2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465E7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941.25</w:t>
            </w:r>
          </w:p>
        </w:tc>
        <w:tc>
          <w:tcPr>
            <w:tcW w:w="2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5311E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921.25</w:t>
            </w:r>
          </w:p>
        </w:tc>
        <w:tc>
          <w:tcPr>
            <w:tcW w:w="2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9FED0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911.25</w:t>
            </w:r>
          </w:p>
        </w:tc>
      </w:tr>
    </w:tbl>
    <w:p w14:paraId="5AF95A5E">
      <w:pPr>
        <w:spacing w:before="60" w:after="60"/>
      </w:pPr>
      <w:r>
        <w:rPr>
          <w:rFonts w:ascii="Arial" w:hAnsi="Arial" w:eastAsia="微软雅黑"/>
          <w:b w:val="0"/>
          <w:bCs w:val="0"/>
          <w:i/>
          <w:iCs/>
          <w:color w:val="555555"/>
          <w:sz w:val="22"/>
          <w:szCs w:val="22"/>
        </w:rPr>
        <w:t>解读: ① 评级每降一档, 利率升 20-180bp; ② 担保方式由信用 → 保证+抵押, 利率降 50bp; ③ 评级 A + 保证+抵押的组合是当前最优选择 (5.21%)。</w:t>
      </w:r>
    </w:p>
    <w:p w14:paraId="62399292">
      <w:pPr>
        <w:pStyle w:val="3"/>
        <w:spacing w:before="240" w:after="120"/>
        <w:rPr>
          <w:color w:val="auto"/>
        </w:rPr>
      </w:pPr>
      <w:r>
        <w:rPr>
          <w:rFonts w:ascii="Arial" w:hAnsi="Arial" w:eastAsia="微软雅黑"/>
          <w:b/>
          <w:bCs/>
          <w:color w:val="auto"/>
          <w:sz w:val="30"/>
          <w:szCs w:val="30"/>
        </w:rPr>
        <w:t>五、同业对标结果</w:t>
      </w:r>
    </w:p>
    <w:tbl>
      <w:tblPr>
        <w:tblStyle w:val="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95"/>
        <w:gridCol w:w="1545"/>
        <w:gridCol w:w="1708"/>
        <w:gridCol w:w="2598"/>
      </w:tblGrid>
      <w:tr w14:paraId="049519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2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38524">
            <w:pPr>
              <w:jc w:val="left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银行</w:t>
            </w:r>
          </w:p>
        </w:tc>
        <w:tc>
          <w:tcPr>
            <w:tcW w:w="18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D3085">
            <w:pPr>
              <w:jc w:val="left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客户评级</w:t>
            </w:r>
          </w:p>
        </w:tc>
        <w:tc>
          <w:tcPr>
            <w:tcW w:w="2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0A9CB">
            <w:pPr>
              <w:jc w:val="left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担保</w:t>
            </w:r>
          </w:p>
        </w:tc>
        <w:tc>
          <w:tcPr>
            <w:tcW w:w="3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2F0B3">
            <w:pPr>
              <w:jc w:val="left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1Y 利率 (bp)</w:t>
            </w:r>
          </w:p>
        </w:tc>
      </w:tr>
      <w:tr w14:paraId="551E31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2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3B006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工商银行 (同业A)</w:t>
            </w:r>
          </w:p>
        </w:tc>
        <w:tc>
          <w:tcPr>
            <w:tcW w:w="18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37F1A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A 级</w:t>
            </w:r>
          </w:p>
        </w:tc>
        <w:tc>
          <w:tcPr>
            <w:tcW w:w="2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2F7BC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保证+抵押</w:t>
            </w:r>
          </w:p>
        </w:tc>
        <w:tc>
          <w:tcPr>
            <w:tcW w:w="3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B13B9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525</w:t>
            </w:r>
          </w:p>
        </w:tc>
      </w:tr>
      <w:tr w14:paraId="10CDDF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2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3F0BC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建设银行 (同业B)</w:t>
            </w:r>
          </w:p>
        </w:tc>
        <w:tc>
          <w:tcPr>
            <w:tcW w:w="18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C3A45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A 级</w:t>
            </w:r>
          </w:p>
        </w:tc>
        <w:tc>
          <w:tcPr>
            <w:tcW w:w="2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D9744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保证+抵押</w:t>
            </w:r>
          </w:p>
        </w:tc>
        <w:tc>
          <w:tcPr>
            <w:tcW w:w="3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836BF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510</w:t>
            </w:r>
          </w:p>
        </w:tc>
      </w:tr>
      <w:tr w14:paraId="236EA0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2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68EA8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招商银行 (同业C)</w:t>
            </w:r>
          </w:p>
        </w:tc>
        <w:tc>
          <w:tcPr>
            <w:tcW w:w="18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08C0A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A 级</w:t>
            </w:r>
          </w:p>
        </w:tc>
        <w:tc>
          <w:tcPr>
            <w:tcW w:w="2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92A8A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保证</w:t>
            </w:r>
          </w:p>
        </w:tc>
        <w:tc>
          <w:tcPr>
            <w:tcW w:w="3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53584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565</w:t>
            </w:r>
          </w:p>
        </w:tc>
      </w:tr>
      <w:tr w14:paraId="0FF845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2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85ACE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宁波银行 (同业D)</w:t>
            </w:r>
          </w:p>
        </w:tc>
        <w:tc>
          <w:tcPr>
            <w:tcW w:w="18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2DFD6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A 级</w:t>
            </w:r>
          </w:p>
        </w:tc>
        <w:tc>
          <w:tcPr>
            <w:tcW w:w="2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0326A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保证+抵押</w:t>
            </w:r>
          </w:p>
        </w:tc>
        <w:tc>
          <w:tcPr>
            <w:tcW w:w="3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10A97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545</w:t>
            </w:r>
          </w:p>
        </w:tc>
      </w:tr>
      <w:tr w14:paraId="32D2B2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2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773A5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同业均值</w:t>
            </w:r>
          </w:p>
        </w:tc>
        <w:tc>
          <w:tcPr>
            <w:tcW w:w="18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DF969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A 级</w:t>
            </w:r>
          </w:p>
        </w:tc>
        <w:tc>
          <w:tcPr>
            <w:tcW w:w="2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89380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3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B0342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536.25</w:t>
            </w:r>
          </w:p>
        </w:tc>
      </w:tr>
      <w:tr w14:paraId="062B0B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2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61F6D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XX 银行 (本行)</w:t>
            </w:r>
          </w:p>
        </w:tc>
        <w:tc>
          <w:tcPr>
            <w:tcW w:w="18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6AB33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A 级</w:t>
            </w:r>
          </w:p>
        </w:tc>
        <w:tc>
          <w:tcPr>
            <w:tcW w:w="2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844FD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保证+抵押</w:t>
            </w:r>
          </w:p>
        </w:tc>
        <w:tc>
          <w:tcPr>
            <w:tcW w:w="3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90636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521.25 (模型测算)</w:t>
            </w:r>
          </w:p>
        </w:tc>
      </w:tr>
      <w:tr w14:paraId="5DD410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2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AEEF1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我行偏差</w:t>
            </w:r>
          </w:p>
        </w:tc>
        <w:tc>
          <w:tcPr>
            <w:tcW w:w="18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044B3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2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EF82F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3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07EF6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-15.00 bp (低于同业, 价格竞争力强)</w:t>
            </w:r>
          </w:p>
        </w:tc>
      </w:tr>
    </w:tbl>
    <w:p w14:paraId="4AD4E0D1">
      <w:pPr>
        <w:pStyle w:val="3"/>
        <w:spacing w:before="240" w:after="120"/>
      </w:pPr>
      <w:r>
        <w:rPr>
          <w:rFonts w:ascii="Arial" w:hAnsi="Arial" w:eastAsia="微软雅黑"/>
          <w:b/>
          <w:bCs/>
          <w:color w:val="auto"/>
          <w:sz w:val="30"/>
          <w:szCs w:val="30"/>
        </w:rPr>
        <w:t>六、历史回测结果 (2024-2025 年 20 笔样本)</w:t>
      </w:r>
    </w:p>
    <w:tbl>
      <w:tblPr>
        <w:tblStyle w:val="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55"/>
        <w:gridCol w:w="2718"/>
        <w:gridCol w:w="3773"/>
      </w:tblGrid>
      <w:tr w14:paraId="07D090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C2A3C">
            <w:pPr>
              <w:jc w:val="left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统计指标</w:t>
            </w:r>
          </w:p>
        </w:tc>
        <w:tc>
          <w:tcPr>
            <w:tcW w:w="32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2EFAA">
            <w:pPr>
              <w:jc w:val="left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数值</w:t>
            </w:r>
          </w:p>
        </w:tc>
        <w:tc>
          <w:tcPr>
            <w:tcW w:w="44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9F9F4">
            <w:pPr>
              <w:jc w:val="left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结论</w:t>
            </w:r>
          </w:p>
        </w:tc>
      </w:tr>
      <w:tr w14:paraId="1701B3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36380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样本数</w:t>
            </w:r>
          </w:p>
        </w:tc>
        <w:tc>
          <w:tcPr>
            <w:tcW w:w="32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AC1C4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20</w:t>
            </w:r>
          </w:p>
        </w:tc>
        <w:tc>
          <w:tcPr>
            <w:tcW w:w="44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24B4D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覆盖 AAA-B 评级, 信用-保证+抵押 4 种担保</w:t>
            </w:r>
          </w:p>
        </w:tc>
      </w:tr>
      <w:tr w14:paraId="265581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92121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平均偏差</w:t>
            </w:r>
          </w:p>
        </w:tc>
        <w:tc>
          <w:tcPr>
            <w:tcW w:w="32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0D6B5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≈ 0 bp</w:t>
            </w:r>
          </w:p>
        </w:tc>
        <w:tc>
          <w:tcPr>
            <w:tcW w:w="44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CFC33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模型测算与实际执行基本无系统偏差</w:t>
            </w:r>
          </w:p>
        </w:tc>
      </w:tr>
      <w:tr w14:paraId="3B1E80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565B0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偏差标准差</w:t>
            </w:r>
          </w:p>
        </w:tc>
        <w:tc>
          <w:tcPr>
            <w:tcW w:w="32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4836D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≤ 6</w:t>
            </w:r>
          </w:p>
        </w:tc>
        <w:tc>
          <w:tcPr>
            <w:tcW w:w="44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B3247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满足回测验证上线标准 (≤ 6)</w:t>
            </w:r>
          </w:p>
        </w:tc>
      </w:tr>
      <w:tr w14:paraId="4F716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E4272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最大正偏差</w:t>
            </w:r>
          </w:p>
        </w:tc>
        <w:tc>
          <w:tcPr>
            <w:tcW w:w="32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8C5AB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≤ 8 bp</w:t>
            </w:r>
          </w:p>
        </w:tc>
        <w:tc>
          <w:tcPr>
            <w:tcW w:w="44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11CDD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偶有议价空间, 但均在审批权限内</w:t>
            </w:r>
          </w:p>
        </w:tc>
      </w:tr>
    </w:tbl>
    <w:p w14:paraId="10308664">
      <w:pPr>
        <w:numPr>
          <w:numId w:val="0"/>
        </w:numPr>
        <w:ind w:leftChars="0"/>
        <w:jc w:val="both"/>
        <w:rPr>
          <w:rFonts w:hint="eastAsia"/>
          <w:sz w:val="28"/>
          <w:szCs w:val="36"/>
          <w:lang w:val="en-US" w:eastAsia="zh-CN"/>
        </w:rPr>
      </w:pPr>
    </w:p>
    <w:p w14:paraId="618B3795">
      <w:pPr>
        <w:numPr>
          <w:ilvl w:val="0"/>
          <w:numId w:val="1"/>
        </w:numPr>
        <w:ind w:left="0" w:leftChars="0" w:firstLine="0" w:firstLineChars="0"/>
        <w:jc w:val="both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审计报告</w:t>
      </w:r>
    </w:p>
    <w:tbl>
      <w:tblPr>
        <w:tblW w:w="851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7"/>
        <w:gridCol w:w="7642"/>
      </w:tblGrid>
      <w:tr w14:paraId="109B92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666666" w:sz="8" w:space="0"/>
              <w:left w:val="single" w:color="666666" w:sz="8" w:space="0"/>
              <w:bottom w:val="single" w:color="666666" w:sz="8" w:space="0"/>
              <w:right w:val="single" w:color="666666" w:sz="8" w:space="0"/>
            </w:tcBorders>
            <w:shd w:val="clear"/>
            <w:vAlign w:val="top"/>
          </w:tcPr>
          <w:p w14:paraId="31720706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top"/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报告项</w:t>
            </w:r>
          </w:p>
        </w:tc>
        <w:tc>
          <w:tcPr>
            <w:tcW w:w="7642" w:type="dxa"/>
            <w:tcBorders>
              <w:top w:val="single" w:color="666666" w:sz="8" w:space="0"/>
              <w:left w:val="nil"/>
              <w:bottom w:val="single" w:color="666666" w:sz="8" w:space="0"/>
              <w:right w:val="single" w:color="666666" w:sz="8" w:space="0"/>
            </w:tcBorders>
            <w:shd w:val="clear"/>
            <w:vAlign w:val="top"/>
          </w:tcPr>
          <w:p w14:paraId="492128E5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内容</w:t>
            </w:r>
          </w:p>
        </w:tc>
      </w:tr>
      <w:tr w14:paraId="704D9D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nil"/>
              <w:left w:val="single" w:color="666666" w:sz="8" w:space="0"/>
              <w:bottom w:val="single" w:color="666666" w:sz="8" w:space="0"/>
              <w:right w:val="single" w:color="666666" w:sz="8" w:space="0"/>
            </w:tcBorders>
            <w:shd w:val="clear"/>
            <w:vAlign w:val="top"/>
          </w:tcPr>
          <w:p w14:paraId="40151D2A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报告编号</w:t>
            </w:r>
          </w:p>
        </w:tc>
        <w:tc>
          <w:tcPr>
            <w:tcW w:w="7642" w:type="dxa"/>
            <w:tcBorders>
              <w:top w:val="nil"/>
              <w:left w:val="nil"/>
              <w:bottom w:val="single" w:color="666666" w:sz="8" w:space="0"/>
              <w:right w:val="single" w:color="666666" w:sz="8" w:space="0"/>
            </w:tcBorders>
            <w:shd w:val="clear"/>
            <w:vAlign w:val="top"/>
          </w:tcPr>
          <w:p w14:paraId="22A2D0B1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top"/>
              <w:rPr>
                <w:rFonts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SA-2026-Q2-001</w:t>
            </w:r>
          </w:p>
        </w:tc>
      </w:tr>
      <w:tr w14:paraId="30BDC0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nil"/>
              <w:left w:val="single" w:color="666666" w:sz="8" w:space="0"/>
              <w:bottom w:val="single" w:color="666666" w:sz="8" w:space="0"/>
              <w:right w:val="single" w:color="666666" w:sz="8" w:space="0"/>
            </w:tcBorders>
            <w:shd w:val="clear"/>
            <w:vAlign w:val="top"/>
          </w:tcPr>
          <w:p w14:paraId="1C0682C4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审计对象</w:t>
            </w:r>
          </w:p>
        </w:tc>
        <w:tc>
          <w:tcPr>
            <w:tcW w:w="7642" w:type="dxa"/>
            <w:tcBorders>
              <w:top w:val="nil"/>
              <w:left w:val="nil"/>
              <w:bottom w:val="single" w:color="666666" w:sz="8" w:space="0"/>
              <w:right w:val="single" w:color="666666" w:sz="8" w:space="0"/>
            </w:tcBorders>
            <w:shd w:val="clear"/>
            <w:vAlign w:val="top"/>
          </w:tcPr>
          <w:p w14:paraId="5822C779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TRAE Solo 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金融类 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Skill (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共 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2 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个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: 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通用 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`bank-risk-alert` + 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自写 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`bank-risk-alert` v1.0)</w:t>
            </w:r>
          </w:p>
        </w:tc>
      </w:tr>
      <w:tr w14:paraId="5DB5BB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nil"/>
              <w:left w:val="single" w:color="666666" w:sz="8" w:space="0"/>
              <w:bottom w:val="single" w:color="666666" w:sz="8" w:space="0"/>
              <w:right w:val="single" w:color="666666" w:sz="8" w:space="0"/>
            </w:tcBorders>
            <w:shd w:val="clear"/>
            <w:vAlign w:val="top"/>
          </w:tcPr>
          <w:p w14:paraId="34468BA7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审计依据</w:t>
            </w:r>
          </w:p>
        </w:tc>
        <w:tc>
          <w:tcPr>
            <w:tcW w:w="7642" w:type="dxa"/>
            <w:tcBorders>
              <w:top w:val="nil"/>
              <w:left w:val="nil"/>
              <w:bottom w:val="single" w:color="666666" w:sz="8" w:space="0"/>
              <w:right w:val="single" w:color="666666" w:sz="8" w:space="0"/>
            </w:tcBorders>
            <w:shd w:val="clear"/>
            <w:vAlign w:val="top"/>
          </w:tcPr>
          <w:p w14:paraId="39BD84B1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《商业银行内部控制指引》、银保监会《商业银行风险监管核心指标》、</w:t>
            </w:r>
            <w:r>
              <w:rPr>
                <w:rFonts w:hint="default" w:ascii="Arial" w:hAnsi="Arial" w:eastAsia="微软雅黑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TRAE Solo Skill 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开发规范 </w:t>
            </w:r>
            <w:r>
              <w:rPr>
                <w:rFonts w:hint="default" w:ascii="Arial" w:hAnsi="Arial" w:eastAsia="微软雅黑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v2.1</w:t>
            </w:r>
          </w:p>
        </w:tc>
      </w:tr>
      <w:tr w14:paraId="13EF1B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nil"/>
              <w:left w:val="single" w:color="666666" w:sz="8" w:space="0"/>
              <w:bottom w:val="single" w:color="666666" w:sz="8" w:space="0"/>
              <w:right w:val="single" w:color="666666" w:sz="8" w:space="0"/>
            </w:tcBorders>
            <w:shd w:val="clear"/>
            <w:vAlign w:val="top"/>
          </w:tcPr>
          <w:p w14:paraId="5FF34C45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审计日期</w:t>
            </w:r>
          </w:p>
        </w:tc>
        <w:tc>
          <w:tcPr>
            <w:tcW w:w="7642" w:type="dxa"/>
            <w:tcBorders>
              <w:top w:val="nil"/>
              <w:left w:val="nil"/>
              <w:bottom w:val="single" w:color="666666" w:sz="8" w:space="0"/>
              <w:right w:val="single" w:color="666666" w:sz="8" w:space="0"/>
            </w:tcBorders>
            <w:shd w:val="clear"/>
            <w:vAlign w:val="top"/>
          </w:tcPr>
          <w:p w14:paraId="241DBAF9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2026/6/23</w:t>
            </w:r>
          </w:p>
        </w:tc>
      </w:tr>
      <w:tr w14:paraId="14C34A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nil"/>
              <w:left w:val="single" w:color="666666" w:sz="8" w:space="0"/>
              <w:bottom w:val="single" w:color="666666" w:sz="8" w:space="0"/>
              <w:right w:val="single" w:color="666666" w:sz="8" w:space="0"/>
            </w:tcBorders>
            <w:shd w:val="clear"/>
            <w:vAlign w:val="top"/>
          </w:tcPr>
          <w:p w14:paraId="22685166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审计人员</w:t>
            </w:r>
          </w:p>
        </w:tc>
        <w:tc>
          <w:tcPr>
            <w:tcW w:w="7642" w:type="dxa"/>
            <w:tcBorders>
              <w:top w:val="nil"/>
              <w:left w:val="nil"/>
              <w:bottom w:val="single" w:color="666666" w:sz="8" w:space="0"/>
              <w:right w:val="single" w:color="666666" w:sz="8" w:space="0"/>
            </w:tcBorders>
            <w:shd w:val="clear"/>
            <w:vAlign w:val="top"/>
          </w:tcPr>
          <w:p w14:paraId="13FE4BCB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李明</w:t>
            </w:r>
            <w:r>
              <w:rPr>
                <w:rFonts w:hint="default" w:ascii="Arial" w:hAnsi="Arial" w:eastAsia="微软雅黑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 (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客户经理</w:t>
            </w:r>
            <w:r>
              <w:rPr>
                <w:rFonts w:hint="default" w:ascii="Arial" w:hAnsi="Arial" w:eastAsia="微软雅黑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)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、赵风控 </w:t>
            </w:r>
            <w:r>
              <w:rPr>
                <w:rFonts w:hint="default" w:ascii="Arial" w:hAnsi="Arial" w:eastAsia="微软雅黑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(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风险经理</w:t>
            </w:r>
            <w:r>
              <w:rPr>
                <w:rFonts w:hint="default" w:ascii="Arial" w:hAnsi="Arial" w:eastAsia="微软雅黑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)</w:t>
            </w:r>
          </w:p>
        </w:tc>
      </w:tr>
      <w:tr w14:paraId="5F4650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877" w:type="dxa"/>
            <w:tcBorders>
              <w:top w:val="nil"/>
              <w:left w:val="single" w:color="666666" w:sz="8" w:space="0"/>
              <w:bottom w:val="single" w:color="666666" w:sz="8" w:space="0"/>
              <w:right w:val="single" w:color="666666" w:sz="8" w:space="0"/>
            </w:tcBorders>
            <w:shd w:val="clear"/>
            <w:vAlign w:val="top"/>
          </w:tcPr>
          <w:p w14:paraId="45475552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报告目的</w:t>
            </w:r>
          </w:p>
        </w:tc>
        <w:tc>
          <w:tcPr>
            <w:tcW w:w="7642" w:type="dxa"/>
            <w:tcBorders>
              <w:top w:val="nil"/>
              <w:left w:val="nil"/>
              <w:bottom w:val="single" w:color="666666" w:sz="8" w:space="0"/>
              <w:right w:val="single" w:color="666666" w:sz="8" w:space="0"/>
            </w:tcBorders>
            <w:shd w:val="clear"/>
            <w:vAlign w:val="top"/>
          </w:tcPr>
          <w:p w14:paraId="4F50C00C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评估金融类</w:t>
            </w:r>
            <w:r>
              <w:rPr>
                <w:rFonts w:hint="default" w:ascii="Arial" w:hAnsi="Arial" w:eastAsia="微软雅黑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 Skill 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在贷后风险预警场景的可用性、合规性、可追溯性</w:t>
            </w:r>
            <w:r>
              <w:rPr>
                <w:rFonts w:hint="default" w:ascii="Arial" w:hAnsi="Arial" w:eastAsia="微软雅黑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,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识别风险并出具整改建议</w:t>
            </w:r>
          </w:p>
        </w:tc>
      </w:tr>
    </w:tbl>
    <w:p w14:paraId="12FF1B95">
      <w:pPr>
        <w:numPr>
          <w:numId w:val="0"/>
        </w:numPr>
        <w:ind w:leftChars="0"/>
        <w:jc w:val="both"/>
        <w:rPr>
          <w:rFonts w:hint="eastAsia"/>
          <w:sz w:val="28"/>
          <w:szCs w:val="36"/>
          <w:lang w:val="en-US" w:eastAsia="zh-CN"/>
        </w:rPr>
      </w:pPr>
    </w:p>
    <w:p w14:paraId="223FEA8C">
      <w:pPr>
        <w:numPr>
          <w:ilvl w:val="0"/>
          <w:numId w:val="1"/>
        </w:numPr>
        <w:ind w:left="0" w:leftChars="0" w:firstLine="0" w:firstLineChars="0"/>
        <w:jc w:val="both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实验心得</w:t>
      </w:r>
    </w:p>
    <w:p w14:paraId="4049CCFA">
      <w:pPr>
        <w:numPr>
          <w:numId w:val="0"/>
        </w:numPr>
        <w:ind w:leftChars="0"/>
        <w:jc w:val="both"/>
        <w:rPr>
          <w:rFonts w:hint="default" w:eastAsia="微软雅黑"/>
          <w:sz w:val="28"/>
          <w:szCs w:val="36"/>
          <w:lang w:val="en-US" w:eastAsia="zh-CN"/>
        </w:rPr>
      </w:pPr>
      <w:r>
        <w:rPr>
          <w:rFonts w:ascii="Arial" w:hAnsi="Arial" w:eastAsia="微软雅黑"/>
          <w:b w:val="0"/>
          <w:bCs w:val="0"/>
          <w:sz w:val="22"/>
          <w:szCs w:val="22"/>
        </w:rPr>
        <w:t>AI 不是替代客户经理的工具,而是放大客户经理专业能力的杠杆。本次实验让我重新审视了过去 8 年银行客户经理工作中那些"重复但重要"的事——如撰写贷后报告、套用话术模板、生成跟进工单——AI 可以做得更快、更全、更不易遗漏关键控制点。但同时,AI 在金融场景的准确性、合规性、可追溯性仍是核心挑战,需要</w:t>
      </w:r>
      <w:r>
        <w:rPr>
          <w:rFonts w:hint="eastAsia" w:ascii="Arial" w:hAnsi="Arial" w:eastAsia="微软雅黑"/>
          <w:b w:val="0"/>
          <w:bCs w:val="0"/>
          <w:sz w:val="22"/>
          <w:szCs w:val="22"/>
          <w:lang w:val="en-US" w:eastAsia="zh-CN"/>
        </w:rPr>
        <w:t>我们</w:t>
      </w:r>
      <w:r>
        <w:rPr>
          <w:rFonts w:ascii="Arial" w:hAnsi="Arial" w:eastAsia="微软雅黑"/>
          <w:b w:val="0"/>
          <w:bCs w:val="0"/>
          <w:sz w:val="22"/>
          <w:szCs w:val="22"/>
        </w:rPr>
        <w:t>保持专业判断。</w:t>
      </w:r>
      <w:r>
        <w:rPr>
          <w:rFonts w:hint="eastAsia" w:ascii="Arial" w:hAnsi="Arial" w:eastAsia="微软雅黑"/>
          <w:b w:val="0"/>
          <w:bCs w:val="0"/>
          <w:sz w:val="22"/>
          <w:szCs w:val="22"/>
          <w:lang w:val="en-US" w:eastAsia="zh-CN"/>
        </w:rPr>
        <w:t>在此过程中，我遇到了很多麻烦，代码出现问题，比如：</w:t>
      </w:r>
      <w:r>
        <w:rPr>
          <w:rFonts w:ascii="Arial" w:hAnsi="Arial" w:eastAsia="微软雅黑"/>
          <w:b w:val="0"/>
          <w:bCs w:val="0"/>
          <w:sz w:val="22"/>
          <w:szCs w:val="22"/>
        </w:rPr>
        <w:t xml:space="preserve"> 在构建贷款定价模型 `loan_pricing_model.xlsx` 时,初次生成的文件包含 175 个公式,其中 91 个返回 `#VALUE!` 错误。</w:t>
      </w:r>
      <w:r>
        <w:rPr>
          <w:rFonts w:hint="eastAsia" w:ascii="Arial" w:hAnsi="Arial" w:eastAsia="微软雅黑"/>
          <w:b w:val="0"/>
          <w:bCs w:val="0"/>
          <w:sz w:val="22"/>
          <w:szCs w:val="22"/>
          <w:lang w:val="en-US" w:eastAsia="zh-CN"/>
        </w:rPr>
        <w:t>这是因为</w:t>
      </w:r>
      <w:r>
        <w:rPr>
          <w:rFonts w:ascii="Arial" w:hAnsi="Arial" w:eastAsia="微软雅黑"/>
          <w:b w:val="0"/>
          <w:bCs w:val="0"/>
          <w:sz w:val="22"/>
          <w:szCs w:val="22"/>
        </w:rPr>
        <w:t>我让 AI 用 Python 列表 + 循环的方式动态计算行号,中间夹杂了 `blank` 行导致行号偏移。</w:t>
      </w:r>
      <w:r>
        <w:rPr>
          <w:rFonts w:hint="eastAsia" w:ascii="Arial" w:hAnsi="Arial" w:eastAsia="微软雅黑"/>
          <w:b w:val="0"/>
          <w:bCs w:val="0"/>
          <w:sz w:val="22"/>
          <w:szCs w:val="22"/>
          <w:lang w:val="en-US" w:eastAsia="zh-CN"/>
        </w:rPr>
        <w:t>后面让ai自己修正的。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68ACA3C"/>
    <w:multiLevelType w:val="singleLevel"/>
    <w:tmpl w:val="A68ACA3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8751663"/>
    <w:rsid w:val="38751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next w:val="1"/>
    <w:qFormat/>
    <w:uiPriority w:val="0"/>
    <w:pPr>
      <w:keepNext w:val="0"/>
      <w:keepLines w:val="0"/>
      <w:spacing w:before="240" w:after="120"/>
      <w:outlineLvl w:val="1"/>
    </w:pPr>
    <w:rPr>
      <w:rFonts w:ascii="Arial" w:hAnsi="Arial" w:eastAsia="微软雅黑" w:cstheme="minorBidi"/>
      <w:b/>
      <w:bCs/>
      <w:color w:val="2E75B6"/>
      <w:sz w:val="30"/>
      <w:szCs w:val="30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6">
    <w:name w:val="font31"/>
    <w:basedOn w:val="5"/>
    <w:uiPriority w:val="0"/>
    <w:rPr>
      <w:rFonts w:ascii="Arial" w:hAnsi="Arial" w:cs="Arial"/>
      <w:b/>
      <w:bCs/>
      <w:color w:val="000000"/>
      <w:sz w:val="20"/>
      <w:szCs w:val="20"/>
      <w:u w:val="none"/>
    </w:rPr>
  </w:style>
  <w:style w:type="character" w:customStyle="1" w:styleId="7">
    <w:name w:val="font11"/>
    <w:basedOn w:val="5"/>
    <w:uiPriority w:val="0"/>
    <w:rPr>
      <w:rFonts w:hint="eastAsia" w:ascii="微软雅黑" w:hAnsi="微软雅黑" w:eastAsia="微软雅黑" w:cs="微软雅黑"/>
      <w:b/>
      <w:bCs/>
      <w:color w:val="000000"/>
      <w:sz w:val="20"/>
      <w:szCs w:val="20"/>
      <w:u w:val="none"/>
    </w:rPr>
  </w:style>
  <w:style w:type="character" w:customStyle="1" w:styleId="8">
    <w:name w:val="font41"/>
    <w:basedOn w:val="5"/>
    <w:uiPriority w:val="0"/>
    <w:rPr>
      <w:rFonts w:hint="default" w:ascii="Arial" w:hAnsi="Arial" w:cs="Arial"/>
      <w:color w:val="000000"/>
      <w:sz w:val="20"/>
      <w:szCs w:val="20"/>
      <w:u w:val="none"/>
    </w:rPr>
  </w:style>
  <w:style w:type="character" w:customStyle="1" w:styleId="9">
    <w:name w:val="font21"/>
    <w:basedOn w:val="5"/>
    <w:uiPriority w:val="0"/>
    <w:rPr>
      <w:rFonts w:hint="eastAsia" w:ascii="微软雅黑" w:hAnsi="微软雅黑" w:eastAsia="微软雅黑" w:cs="微软雅黑"/>
      <w:color w:val="000000"/>
      <w:sz w:val="20"/>
      <w:szCs w:val="20"/>
      <w:u w:val="non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2026-06-23T11:28:00Z</dcterms:created>
  <dc:creator>Tokisaki</dc:creator>
  <cp:lastModifiedBy>Tokisaki</cp:lastModifiedBy>
  <dcterms:modified xsi:type="dcterms:W3CDTF">2026-06-23T11:42:27Z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17571E2DBEB043389400CDCAB4A46D88_11</vt:lpwstr>
  </property>
  <property fmtid="{D5CDD505-2E9C-101B-9397-08002B2CF9AE}" pid="4" name="KSOTemplateDocerSaveRecord">
    <vt:lpwstr>eyJoZGlkIjoiNTk5N2NiYzEzMzE2NTdkZmRlMTljODY1NWYwYzcxYzMiLCJ1c2VySWQiOiIxODA3NTk1Njk4In0=</vt:lpwstr>
  </property>
</Properties>
</file>