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F396F">
      <w:pPr>
        <w:rPr>
          <w:rFonts w:hint="eastAsia" w:ascii="微软雅黑" w:hAnsi="微软雅黑" w:eastAsia="微软雅黑" w:cs="微软雅黑"/>
        </w:rPr>
      </w:pPr>
    </w:p>
    <w:p w14:paraId="402DFF59">
      <w:pPr>
        <w:rPr>
          <w:rFonts w:hint="eastAsia" w:ascii="微软雅黑" w:hAnsi="微软雅黑" w:eastAsia="微软雅黑" w:cs="微软雅黑"/>
        </w:rPr>
      </w:pPr>
    </w:p>
    <w:p w14:paraId="6BE64D5A">
      <w:pPr>
        <w:jc w:val="center"/>
        <w:rPr>
          <w:rFonts w:hint="eastAsia" w:ascii="微软雅黑" w:hAnsi="微软雅黑" w:eastAsia="微软雅黑" w:cs="微软雅黑"/>
          <w:b/>
          <w:color w:val="1F4E79"/>
          <w:sz w:val="56"/>
        </w:rPr>
      </w:pPr>
    </w:p>
    <w:p w14:paraId="243478D7">
      <w:pPr>
        <w:keepNext w:val="0"/>
        <w:keepLines w:val="0"/>
        <w:pageBreakBefore w:val="0"/>
        <w:widowControl/>
        <w:kinsoku/>
        <w:wordWrap/>
        <w:overflowPunct/>
        <w:topLinePunct w:val="0"/>
        <w:autoSpaceDE/>
        <w:autoSpaceDN/>
        <w:bidi w:val="0"/>
        <w:adjustRightInd/>
        <w:snapToGrid/>
        <w:spacing w:after="600" w:line="240" w:lineRule="auto"/>
        <w:jc w:val="center"/>
        <w:textAlignment w:val="auto"/>
      </w:pPr>
      <w:r>
        <w:rPr>
          <w:rFonts w:ascii="微软雅黑" w:hAnsi="微软雅黑" w:eastAsia="微软雅黑" w:cs="微软雅黑"/>
          <w:b/>
          <w:bCs/>
          <w:color w:val="1F4E79"/>
          <w:sz w:val="52"/>
          <w:szCs w:val="52"/>
        </w:rPr>
        <w:t>智慧银行综合实验</w:t>
      </w:r>
    </w:p>
    <w:p w14:paraId="2366DBD5">
      <w:pPr>
        <w:keepNext w:val="0"/>
        <w:keepLines w:val="0"/>
        <w:pageBreakBefore w:val="0"/>
        <w:widowControl/>
        <w:kinsoku/>
        <w:wordWrap/>
        <w:overflowPunct/>
        <w:topLinePunct w:val="0"/>
        <w:autoSpaceDE/>
        <w:autoSpaceDN/>
        <w:bidi w:val="0"/>
        <w:adjustRightInd/>
        <w:snapToGrid/>
        <w:spacing w:after="200" w:line="240" w:lineRule="auto"/>
        <w:jc w:val="center"/>
        <w:textAlignment w:val="auto"/>
      </w:pPr>
      <w:r>
        <w:rPr>
          <w:rFonts w:ascii="微软雅黑" w:hAnsi="微软雅黑" w:eastAsia="微软雅黑" w:cs="微软雅黑"/>
          <w:color w:val="2E75B6"/>
          <w:sz w:val="36"/>
          <w:szCs w:val="36"/>
        </w:rPr>
        <w:t>第</w:t>
      </w:r>
      <w:r>
        <w:rPr>
          <w:rFonts w:hint="eastAsia" w:cs="微软雅黑"/>
          <w:color w:val="2E75B6"/>
          <w:sz w:val="36"/>
          <w:szCs w:val="36"/>
          <w:lang w:val="en-US" w:eastAsia="zh-CN"/>
        </w:rPr>
        <w:t>三</w:t>
      </w:r>
      <w:r>
        <w:rPr>
          <w:rFonts w:ascii="微软雅黑" w:hAnsi="微软雅黑" w:eastAsia="微软雅黑" w:cs="微软雅黑"/>
          <w:color w:val="2E75B6"/>
          <w:sz w:val="36"/>
          <w:szCs w:val="36"/>
        </w:rPr>
        <w:t>次实验报告</w:t>
      </w:r>
    </w:p>
    <w:p w14:paraId="38FF29B1">
      <w:pPr>
        <w:keepNext w:val="0"/>
        <w:keepLines w:val="0"/>
        <w:pageBreakBefore w:val="0"/>
        <w:widowControl/>
        <w:kinsoku/>
        <w:wordWrap/>
        <w:overflowPunct/>
        <w:topLinePunct w:val="0"/>
        <w:autoSpaceDE/>
        <w:autoSpaceDN/>
        <w:bidi w:val="0"/>
        <w:adjustRightInd/>
        <w:snapToGrid/>
        <w:spacing w:after="60" w:line="240" w:lineRule="auto"/>
        <w:jc w:val="center"/>
        <w:textAlignment w:val="auto"/>
      </w:pPr>
    </w:p>
    <w:p w14:paraId="50E74523">
      <w:pPr>
        <w:keepNext w:val="0"/>
        <w:keepLines w:val="0"/>
        <w:pageBreakBefore w:val="0"/>
        <w:widowControl/>
        <w:pBdr>
          <w:bottom w:val="single" w:color="2E75B6" w:sz="6" w:space="1"/>
        </w:pBdr>
        <w:kinsoku/>
        <w:wordWrap/>
        <w:overflowPunct/>
        <w:topLinePunct w:val="0"/>
        <w:autoSpaceDE/>
        <w:autoSpaceDN/>
        <w:bidi w:val="0"/>
        <w:adjustRightInd/>
        <w:snapToGrid/>
        <w:spacing w:after="100" w:line="240" w:lineRule="auto"/>
        <w:jc w:val="center"/>
        <w:textAlignment w:val="auto"/>
        <w:rPr>
          <w:rFonts w:hint="default" w:eastAsia="微软雅黑"/>
          <w:lang w:val="en-US" w:eastAsia="zh-CN"/>
        </w:rPr>
      </w:pPr>
      <w:r>
        <w:rPr>
          <w:rFonts w:ascii="微软雅黑" w:hAnsi="微软雅黑" w:eastAsia="微软雅黑" w:cs="微软雅黑"/>
          <w:color w:val="555555"/>
          <w:sz w:val="24"/>
          <w:szCs w:val="24"/>
        </w:rPr>
        <w:t>第</w:t>
      </w:r>
      <w:r>
        <w:rPr>
          <w:rFonts w:hint="eastAsia" w:cs="微软雅黑"/>
          <w:color w:val="555555"/>
          <w:sz w:val="24"/>
          <w:szCs w:val="24"/>
          <w:lang w:val="en-US" w:eastAsia="zh-CN"/>
        </w:rPr>
        <w:t>4</w:t>
      </w:r>
      <w:r>
        <w:rPr>
          <w:rFonts w:ascii="微软雅黑" w:hAnsi="微软雅黑" w:eastAsia="微软雅黑" w:cs="微软雅黑"/>
          <w:color w:val="555555"/>
          <w:sz w:val="24"/>
          <w:szCs w:val="24"/>
        </w:rPr>
        <w:t xml:space="preserve">章  </w:t>
      </w:r>
      <w:r>
        <w:rPr>
          <w:rFonts w:hint="eastAsia" w:cs="微软雅黑"/>
          <w:color w:val="555555"/>
          <w:sz w:val="24"/>
          <w:szCs w:val="24"/>
          <w:lang w:val="en-US" w:eastAsia="zh-CN"/>
        </w:rPr>
        <w:t>Skill体系：赋予AI金融专业能力</w:t>
      </w:r>
    </w:p>
    <w:p w14:paraId="7D300442">
      <w:pPr>
        <w:keepNext w:val="0"/>
        <w:keepLines w:val="0"/>
        <w:pageBreakBefore w:val="0"/>
        <w:widowControl/>
        <w:kinsoku/>
        <w:wordWrap/>
        <w:overflowPunct/>
        <w:topLinePunct w:val="0"/>
        <w:autoSpaceDE/>
        <w:autoSpaceDN/>
        <w:bidi w:val="0"/>
        <w:adjustRightInd/>
        <w:snapToGrid/>
        <w:spacing w:before="600" w:line="240" w:lineRule="auto"/>
        <w:textAlignment w:val="auto"/>
      </w:pPr>
    </w:p>
    <w:tbl>
      <w:tblPr>
        <w:tblStyle w:val="3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26"/>
      </w:tblGrid>
      <w:tr w14:paraId="2500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F29D4F2">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姓    名</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75363E">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刘丹丹</w:t>
            </w:r>
          </w:p>
        </w:tc>
      </w:tr>
      <w:tr w14:paraId="31C4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6FCF77D">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学    号</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7AB8A9">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202301792</w:t>
            </w:r>
          </w:p>
        </w:tc>
      </w:tr>
      <w:tr w14:paraId="3384E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E9CCF9D">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班    级</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0E244F">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金融202302</w:t>
            </w:r>
          </w:p>
        </w:tc>
      </w:tr>
      <w:tr w14:paraId="7385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EC6C1A2">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实验课程</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959C6C">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智慧银行实验</w:t>
            </w:r>
          </w:p>
        </w:tc>
      </w:tr>
      <w:tr w14:paraId="630A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26AFE6A">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实验时间</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EB8D89">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2026年6月</w:t>
            </w:r>
          </w:p>
        </w:tc>
      </w:tr>
      <w:tr w14:paraId="40CF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F077BD3">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实验平台</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87159">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Trae IDE / Qoder MCP Client / Stata 16</w:t>
            </w:r>
          </w:p>
        </w:tc>
      </w:tr>
      <w:tr w14:paraId="12CA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72B2DE64">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仓库地址</w:t>
            </w:r>
          </w:p>
        </w:tc>
        <w:tc>
          <w:tcPr>
            <w:tcW w:w="6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CD344">
            <w:pPr>
              <w:keepNext w:val="0"/>
              <w:keepLines w:val="0"/>
              <w:pageBreakBefore w:val="0"/>
              <w:widowControl/>
              <w:kinsoku/>
              <w:wordWrap/>
              <w:overflowPunct/>
              <w:topLinePunct w:val="0"/>
              <w:autoSpaceDE/>
              <w:autoSpaceDN/>
              <w:bidi w:val="0"/>
              <w:adjustRightInd/>
              <w:snapToGrid/>
              <w:spacing w:line="240" w:lineRule="auto"/>
              <w:textAlignment w:val="auto"/>
            </w:pPr>
            <w:r>
              <w:rPr>
                <w:rFonts w:hint="eastAsia" w:ascii="微软雅黑" w:hAnsi="微软雅黑" w:eastAsia="微软雅黑" w:cs="微软雅黑"/>
                <w:sz w:val="20"/>
                <w:szCs w:val="20"/>
              </w:rPr>
              <w:t>https://cnb.cool/liudandan-2026/Moooa</w:t>
            </w:r>
          </w:p>
        </w:tc>
      </w:tr>
      <w:tr w14:paraId="5D5D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vAlign w:val="top"/>
          </w:tcPr>
          <w:p w14:paraId="734E880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sz w:val="20"/>
                <w:szCs w:val="20"/>
                <w:lang w:val="en-US" w:eastAsia="zh-CN" w:bidi="ar-SA"/>
              </w:rPr>
            </w:pPr>
            <w:r>
              <w:rPr>
                <w:rFonts w:hint="eastAsia" w:cs="微软雅黑"/>
                <w:sz w:val="20"/>
                <w:szCs w:val="20"/>
                <w:lang w:val="en-US" w:eastAsia="zh-CN"/>
              </w:rPr>
              <w:t>个人作业（小组作业）</w:t>
            </w:r>
          </w:p>
        </w:tc>
        <w:tc>
          <w:tcPr>
            <w:tcW w:w="6526" w:type="dxa"/>
            <w:tcBorders>
              <w:top w:val="single" w:color="CCCCCC" w:sz="0" w:space="0"/>
              <w:left w:val="single" w:color="CCCCCC" w:sz="0" w:space="0"/>
              <w:bottom w:val="single" w:color="CCCCCC" w:sz="0" w:space="0"/>
              <w:right w:val="single" w:color="CCCCCC" w:sz="0" w:space="0"/>
            </w:tcBorders>
            <w:shd w:val="clear"/>
            <w:tcMar>
              <w:top w:w="60" w:type="dxa"/>
              <w:left w:w="100" w:type="dxa"/>
              <w:bottom w:w="60" w:type="dxa"/>
              <w:right w:w="100" w:type="dxa"/>
            </w:tcMar>
            <w:vAlign w:val="top"/>
          </w:tcPr>
          <w:p w14:paraId="64606EDC">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cs="微软雅黑"/>
                <w:sz w:val="20"/>
                <w:szCs w:val="20"/>
                <w:lang w:val="en-US" w:eastAsia="zh-CN"/>
              </w:rPr>
            </w:pPr>
            <w:r>
              <w:rPr>
                <w:rFonts w:hint="eastAsia" w:cs="微软雅黑"/>
                <w:sz w:val="20"/>
                <w:szCs w:val="20"/>
                <w:lang w:val="en-US" w:eastAsia="zh-CN"/>
              </w:rPr>
              <w:t>智能银行网点导航系统</w:t>
            </w:r>
          </w:p>
          <w:p w14:paraId="76E7B6BE">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0"/>
                <w:szCs w:val="20"/>
                <w:lang w:val="en-US" w:eastAsia="en-US" w:bidi="ar-SA"/>
              </w:rPr>
            </w:pPr>
            <w:r>
              <w:rPr>
                <w:rFonts w:hint="eastAsia" w:ascii="微软雅黑" w:hAnsi="微软雅黑" w:eastAsia="微软雅黑" w:cs="微软雅黑"/>
                <w:sz w:val="20"/>
                <w:szCs w:val="20"/>
              </w:rPr>
              <w:t>https://cnb.cool/liudandan-2026/Moooa/-/tree/bank-branch-nav</w:t>
            </w:r>
          </w:p>
        </w:tc>
      </w:tr>
    </w:tbl>
    <w:p w14:paraId="6327846E">
      <w:r>
        <w:br w:type="page"/>
      </w:r>
    </w:p>
    <w:p w14:paraId="17E1D8B7">
      <w:pPr>
        <w:pStyle w:val="3"/>
        <w:rPr>
          <w:rFonts w:hint="eastAsia" w:ascii="微软雅黑" w:hAnsi="微软雅黑" w:eastAsia="微软雅黑" w:cs="微软雅黑"/>
        </w:rPr>
      </w:pPr>
      <w:r>
        <w:rPr>
          <w:rFonts w:hint="eastAsia" w:ascii="微软雅黑" w:hAnsi="微软雅黑" w:eastAsia="微软雅黑" w:cs="微软雅黑"/>
        </w:rPr>
        <w:t>目  录</w:t>
      </w:r>
    </w:p>
    <w:tbl>
      <w:tblPr>
        <w:tblStyle w:val="3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683E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0A3973FC">
            <w:pPr>
              <w:keepNext w:val="0"/>
              <w:keepLines w:val="0"/>
              <w:pageBreakBefore w:val="0"/>
              <w:widowControl/>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20"/>
                <w:szCs w:val="20"/>
              </w:rPr>
              <w:t>序号</w:t>
            </w:r>
          </w:p>
        </w:tc>
        <w:tc>
          <w:tcPr>
            <w:tcW w:w="7526"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vAlign w:val="center"/>
          </w:tcPr>
          <w:p w14:paraId="7E23FD3A">
            <w:pPr>
              <w:keepNext w:val="0"/>
              <w:keepLines w:val="0"/>
              <w:pageBreakBefore w:val="0"/>
              <w:widowControl/>
              <w:kinsoku/>
              <w:wordWrap/>
              <w:overflowPunct/>
              <w:topLinePunct w:val="0"/>
              <w:autoSpaceDE/>
              <w:autoSpaceDN/>
              <w:bidi w:val="0"/>
              <w:adjustRightInd/>
              <w:snapToGrid/>
              <w:spacing w:line="240" w:lineRule="auto"/>
              <w:jc w:val="center"/>
              <w:textAlignment w:val="auto"/>
            </w:pPr>
            <w:r>
              <w:rPr>
                <w:rFonts w:ascii="微软雅黑" w:hAnsi="微软雅黑" w:eastAsia="微软雅黑" w:cs="微软雅黑"/>
                <w:b/>
                <w:bCs/>
                <w:color w:val="FFFFFF"/>
                <w:sz w:val="20"/>
                <w:szCs w:val="20"/>
              </w:rPr>
              <w:t>内容</w:t>
            </w:r>
          </w:p>
        </w:tc>
      </w:tr>
      <w:tr w14:paraId="61B1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7952CA6">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一</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9A01EA">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一  实验目的</w:t>
            </w:r>
          </w:p>
        </w:tc>
      </w:tr>
      <w:tr w14:paraId="344E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C2B13F6">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二</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E05E">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二  实验环境</w:t>
            </w:r>
          </w:p>
        </w:tc>
      </w:tr>
      <w:tr w14:paraId="36EB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256FA208">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三</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09C07E">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三  实验步骤</w:t>
            </w:r>
          </w:p>
        </w:tc>
      </w:tr>
      <w:tr w14:paraId="6E73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7F48BCB">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3.1</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2FCFD5">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 xml:space="preserve">3.1 </w:t>
            </w:r>
            <w:r>
              <w:rPr>
                <w:rFonts w:hint="eastAsia" w:ascii="微软雅黑" w:hAnsi="微软雅黑" w:eastAsia="微软雅黑" w:cs="微软雅黑"/>
                <w:b w:val="0"/>
                <w:bCs w:val="0"/>
                <w:color w:val="000000" w:themeColor="text1"/>
                <w:sz w:val="21"/>
                <w14:textFill>
                  <w14:solidFill>
                    <w14:schemeClr w14:val="tx1"/>
                  </w14:solidFill>
                </w14:textFill>
              </w:rPr>
              <w:t>CNB注册与Skill环境配置</w:t>
            </w:r>
          </w:p>
        </w:tc>
      </w:tr>
      <w:tr w14:paraId="2B1DC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0EB2C0F">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3.2</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569F73">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 xml:space="preserve">3.2  </w:t>
            </w:r>
            <w:r>
              <w:rPr>
                <w:rFonts w:hint="eastAsia" w:ascii="微软雅黑" w:hAnsi="微软雅黑" w:eastAsia="微软雅黑" w:cs="微软雅黑"/>
                <w:b w:val="0"/>
                <w:bCs w:val="0"/>
                <w:color w:val="000000" w:themeColor="text1"/>
                <w:sz w:val="21"/>
                <w14:textFill>
                  <w14:solidFill>
                    <w14:schemeClr w14:val="tx1"/>
                  </w14:solidFill>
                </w14:textFill>
              </w:rPr>
              <w:t>docx Skill — 客户电话回访报告</w:t>
            </w:r>
          </w:p>
        </w:tc>
      </w:tr>
      <w:tr w14:paraId="4981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4FCDCCCA">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3.3</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F3CEF8">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 xml:space="preserve">3.3  </w:t>
            </w:r>
            <w:r>
              <w:rPr>
                <w:rFonts w:hint="eastAsia" w:ascii="微软雅黑" w:hAnsi="微软雅黑" w:eastAsia="微软雅黑" w:cs="微软雅黑"/>
                <w:b w:val="0"/>
                <w:bCs w:val="0"/>
                <w:color w:val="000000" w:themeColor="text1"/>
                <w:sz w:val="21"/>
                <w14:textFill>
                  <w14:solidFill>
                    <w14:schemeClr w14:val="tx1"/>
                  </w14:solidFill>
                </w14:textFill>
              </w:rPr>
              <w:t>finance-expert — 信用风险评估</w:t>
            </w:r>
          </w:p>
          <w:p w14:paraId="16543AEF">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1"/>
                <w14:textFill>
                  <w14:solidFill>
                    <w14:schemeClr w14:val="tx1"/>
                  </w14:solidFill>
                </w14:textFill>
              </w:rPr>
              <w:t xml:space="preserve">      资产负债率敏感性分析</w:t>
            </w:r>
          </w:p>
        </w:tc>
      </w:tr>
      <w:tr w14:paraId="140B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23C01A0">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3.4</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C5343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14:textFill>
                  <w14:solidFill>
                    <w14:schemeClr w14:val="tx1"/>
                  </w14:solidFill>
                </w14:textFill>
              </w:rPr>
            </w:pPr>
            <w:r>
              <w:rPr>
                <w:rFonts w:hint="eastAsia" w:ascii="微软雅黑" w:hAnsi="微软雅黑" w:eastAsia="微软雅黑" w:cs="微软雅黑"/>
                <w:b w:val="0"/>
                <w:bCs w:val="0"/>
                <w:color w:val="000000" w:themeColor="text1"/>
                <w:sz w:val="20"/>
                <w:szCs w:val="20"/>
                <w14:textFill>
                  <w14:solidFill>
                    <w14:schemeClr w14:val="tx1"/>
                  </w14:solidFill>
                </w14:textFill>
              </w:rPr>
              <w:t xml:space="preserve">3.4  </w:t>
            </w:r>
            <w:r>
              <w:rPr>
                <w:rFonts w:hint="eastAsia" w:ascii="微软雅黑" w:hAnsi="微软雅黑" w:eastAsia="微软雅黑" w:cs="微软雅黑"/>
                <w:b w:val="0"/>
                <w:bCs w:val="0"/>
                <w:color w:val="000000" w:themeColor="text1"/>
                <w:sz w:val="21"/>
                <w14:textFill>
                  <w14:solidFill>
                    <w14:schemeClr w14:val="tx1"/>
                  </w14:solidFill>
                </w14:textFill>
              </w:rPr>
              <w:t>银行同业对标分析</w:t>
            </w:r>
          </w:p>
        </w:tc>
      </w:tr>
      <w:tr w14:paraId="0E3F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304543B7">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t>3.5</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A9ED55">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sz w:val="20"/>
                <w:szCs w:val="20"/>
                <w14:textFill>
                  <w14:solidFill>
                    <w14:schemeClr w14:val="tx1"/>
                  </w14:solidFill>
                </w14:textFill>
              </w:rPr>
            </w:pPr>
            <w:r>
              <w:rPr>
                <w:rFonts w:hint="eastAsia" w:ascii="微软雅黑" w:hAnsi="微软雅黑" w:eastAsia="微软雅黑" w:cs="微软雅黑"/>
                <w:b w:val="0"/>
                <w:bCs w:val="0"/>
                <w:color w:val="000000" w:themeColor="text1"/>
                <w:sz w:val="21"/>
                <w14:textFill>
                  <w14:solidFill>
                    <w14:schemeClr w14:val="tx1"/>
                  </w14:solidFill>
                </w14:textFill>
              </w:rPr>
              <w:t>3.5  xlsx Skill — 贷款FTP定价模型</w:t>
            </w:r>
          </w:p>
        </w:tc>
      </w:tr>
      <w:tr w14:paraId="28B5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0D07257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t>3.6</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EF70B3">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sz w:val="20"/>
                <w:szCs w:val="20"/>
                <w14:textFill>
                  <w14:solidFill>
                    <w14:schemeClr w14:val="tx1"/>
                  </w14:solidFill>
                </w14:textFill>
              </w:rPr>
            </w:pPr>
            <w:r>
              <w:rPr>
                <w:rFonts w:hint="eastAsia" w:ascii="微软雅黑" w:hAnsi="微软雅黑" w:eastAsia="微软雅黑" w:cs="微软雅黑"/>
                <w:b w:val="0"/>
                <w:bCs w:val="0"/>
                <w:color w:val="000000" w:themeColor="text1"/>
                <w:sz w:val="21"/>
                <w14:textFill>
                  <w14:solidFill>
                    <w14:schemeClr w14:val="tx1"/>
                  </w14:solidFill>
                </w14:textFill>
              </w:rPr>
              <w:t>3.6  编写bank-risk-alert Skill</w:t>
            </w:r>
          </w:p>
        </w:tc>
      </w:tr>
      <w:tr w14:paraId="2DD0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535EBDF9">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0"/>
                <w:szCs w:val="20"/>
                <w:lang w:val="en-US" w:eastAsia="zh-CN"/>
                <w14:textFill>
                  <w14:solidFill>
                    <w14:schemeClr w14:val="tx1"/>
                  </w14:solidFill>
                </w14:textFill>
              </w:rPr>
              <w:t>3.7</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2A6615">
            <w:pPr>
              <w:keepNext w:val="0"/>
              <w:keepLines w:val="0"/>
              <w:pageBreakBefore w:val="0"/>
              <w:widowControl/>
              <w:kinsoku/>
              <w:wordWrap/>
              <w:overflowPunct/>
              <w:topLinePunct w:val="0"/>
              <w:autoSpaceDE/>
              <w:autoSpaceDN/>
              <w:bidi w:val="0"/>
              <w:adjustRightInd/>
              <w:snapToGrid/>
              <w:spacing w:before="20" w:after="20" w:line="240" w:lineRule="auto"/>
              <w:textAlignment w:val="auto"/>
              <w:rPr>
                <w:rFonts w:hint="eastAsia" w:ascii="微软雅黑" w:hAnsi="微软雅黑" w:eastAsia="微软雅黑" w:cs="微软雅黑"/>
                <w:b w:val="0"/>
                <w:bCs w:val="0"/>
                <w:color w:val="000000" w:themeColor="text1"/>
                <w:sz w:val="20"/>
                <w:szCs w:val="20"/>
                <w14:textFill>
                  <w14:solidFill>
                    <w14:schemeClr w14:val="tx1"/>
                  </w14:solidFill>
                </w14:textFill>
              </w:rPr>
            </w:pPr>
            <w:r>
              <w:rPr>
                <w:rFonts w:hint="eastAsia" w:ascii="微软雅黑" w:hAnsi="微软雅黑" w:eastAsia="微软雅黑" w:cs="微软雅黑"/>
                <w:b w:val="0"/>
                <w:bCs w:val="0"/>
                <w:color w:val="000000" w:themeColor="text1"/>
                <w:sz w:val="21"/>
                <w14:textFill>
                  <w14:solidFill>
                    <w14:schemeClr w14:val="tx1"/>
                  </w14:solidFill>
                </w14:textFill>
              </w:rPr>
              <w:t>3.7  Skill安全审计</w:t>
            </w:r>
          </w:p>
        </w:tc>
      </w:tr>
      <w:tr w14:paraId="13EE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2A2F2A97">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四</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28664F">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四  实验结果</w:t>
            </w:r>
          </w:p>
        </w:tc>
      </w:tr>
      <w:tr w14:paraId="045A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1A82747F">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五</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EEB074">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五  问题与解决</w:t>
            </w:r>
          </w:p>
        </w:tc>
      </w:tr>
      <w:tr w14:paraId="075C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3042AD11">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六</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A45EAC">
            <w:pPr>
              <w:keepNext w:val="0"/>
              <w:keepLines w:val="0"/>
              <w:pageBreakBefore w:val="0"/>
              <w:widowControl/>
              <w:kinsoku/>
              <w:wordWrap/>
              <w:overflowPunct/>
              <w:topLinePunct w:val="0"/>
              <w:autoSpaceDE/>
              <w:autoSpaceDN/>
              <w:bidi w:val="0"/>
              <w:adjustRightInd/>
              <w:snapToGrid/>
              <w:spacing w:line="240" w:lineRule="auto"/>
              <w:textAlignment w:val="auto"/>
            </w:pPr>
            <w:r>
              <w:rPr>
                <w:rFonts w:ascii="微软雅黑" w:hAnsi="微软雅黑" w:eastAsia="微软雅黑" w:cs="微软雅黑"/>
                <w:sz w:val="20"/>
                <w:szCs w:val="20"/>
              </w:rPr>
              <w:t>六  实验心得</w:t>
            </w:r>
          </w:p>
        </w:tc>
      </w:tr>
      <w:tr w14:paraId="322C4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8F0FE"/>
            <w:tcMar>
              <w:top w:w="60" w:type="dxa"/>
              <w:left w:w="100" w:type="dxa"/>
              <w:bottom w:w="60" w:type="dxa"/>
              <w:right w:w="100" w:type="dxa"/>
            </w:tcMar>
          </w:tcPr>
          <w:p w14:paraId="6F1BA761">
            <w:pPr>
              <w:keepNext w:val="0"/>
              <w:keepLines w:val="0"/>
              <w:pageBreakBefore w:val="0"/>
              <w:widowControl/>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 w:val="20"/>
                <w:szCs w:val="20"/>
                <w:lang w:val="en-US" w:eastAsia="zh-CN"/>
              </w:rPr>
            </w:pPr>
            <w:r>
              <w:rPr>
                <w:rFonts w:hint="eastAsia" w:cs="微软雅黑"/>
                <w:sz w:val="20"/>
                <w:szCs w:val="20"/>
                <w:lang w:val="en-US" w:eastAsia="zh-CN"/>
              </w:rPr>
              <w:t>七</w:t>
            </w:r>
          </w:p>
        </w:tc>
        <w:tc>
          <w:tcPr>
            <w:tcW w:w="7526"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769FD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sz w:val="20"/>
                <w:szCs w:val="20"/>
                <w:lang w:val="en-US" w:eastAsia="zh-CN"/>
              </w:rPr>
            </w:pPr>
            <w:r>
              <w:rPr>
                <w:rFonts w:hint="eastAsia" w:cs="微软雅黑"/>
                <w:sz w:val="20"/>
                <w:szCs w:val="20"/>
                <w:lang w:val="en-US" w:eastAsia="zh-CN"/>
              </w:rPr>
              <w:t>七 附录：文件清单与仓库链接</w:t>
            </w:r>
          </w:p>
        </w:tc>
      </w:tr>
    </w:tbl>
    <w:p w14:paraId="7E86D9ED">
      <w:pPr>
        <w:rPr>
          <w:rFonts w:hint="eastAsia"/>
        </w:rPr>
      </w:pPr>
    </w:p>
    <w:p w14:paraId="05B45A6D">
      <w:pPr>
        <w:rPr>
          <w:rFonts w:hint="eastAsia" w:ascii="微软雅黑" w:hAnsi="微软雅黑" w:eastAsia="微软雅黑" w:cs="微软雅黑"/>
        </w:rPr>
      </w:pPr>
      <w:bookmarkStart w:id="0" w:name="_GoBack"/>
      <w:bookmarkEnd w:id="0"/>
      <w:r>
        <w:rPr>
          <w:rFonts w:hint="eastAsia" w:ascii="微软雅黑" w:hAnsi="微软雅黑" w:eastAsia="微软雅黑" w:cs="微软雅黑"/>
        </w:rPr>
        <w:br w:type="page"/>
      </w:r>
    </w:p>
    <w:p w14:paraId="53AA6738">
      <w:pPr>
        <w:pStyle w:val="3"/>
        <w:rPr>
          <w:rFonts w:hint="eastAsia" w:ascii="微软雅黑" w:hAnsi="微软雅黑" w:eastAsia="微软雅黑" w:cs="微软雅黑"/>
          <w:b/>
          <w:bCs/>
          <w:color w:val="0070C0"/>
        </w:rPr>
      </w:pPr>
      <w:r>
        <w:rPr>
          <w:rFonts w:hint="eastAsia" w:ascii="微软雅黑" w:hAnsi="微软雅黑" w:eastAsia="微软雅黑" w:cs="微软雅黑"/>
          <w:b/>
          <w:bCs/>
          <w:color w:val="0070C0"/>
          <w:lang w:val="en-US" w:eastAsia="zh-CN"/>
        </w:rPr>
        <w:t>一、</w:t>
      </w:r>
      <w:r>
        <w:rPr>
          <w:rFonts w:hint="eastAsia" w:ascii="微软雅黑" w:hAnsi="微软雅黑" w:eastAsia="微软雅黑" w:cs="微软雅黑"/>
          <w:b/>
          <w:bCs/>
          <w:color w:val="0070C0"/>
        </w:rPr>
        <w:t>实验目的</w:t>
      </w:r>
    </w:p>
    <w:p w14:paraId="4C604E35">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次实验基于《智慧银行实验教程——AI驱动的金融科技实践》第4章"Skill体系：赋予AI金融专业能力"的课程要求展开。第4章的核心教学目标是让学生理解Skill（技能文件）的设计原理，掌握从Skill安装、调用到自主编写的完整技能链，并能够将金融专业知识转化为可被AI IDE识别和执行的标准化技能文件。</w:t>
      </w:r>
    </w:p>
    <w:p w14:paraId="1932203D">
      <w:pPr>
        <w:numPr>
          <w:ilvl w:val="0"/>
          <w:numId w:val="7"/>
        </w:numPr>
        <w:ind w:left="420" w:leftChars="0" w:hanging="420" w:firstLineChars="0"/>
        <w:jc w:val="both"/>
        <w:rPr>
          <w:rFonts w:hint="eastAsia" w:ascii="微软雅黑" w:hAnsi="微软雅黑" w:eastAsia="微软雅黑" w:cs="微软雅黑"/>
        </w:rPr>
      </w:pPr>
      <w:r>
        <w:rPr>
          <w:rFonts w:hint="eastAsia" w:ascii="微软雅黑" w:hAnsi="微软雅黑" w:eastAsia="微软雅黑" w:cs="微软雅黑"/>
          <w:b w:val="0"/>
          <w:sz w:val="22"/>
        </w:rPr>
        <w:t>本实验围绕"从使用到创造、从消费到生产"的能力进阶路线，设定了以下六个层次递进的学习目标：</w:t>
      </w:r>
    </w:p>
    <w:p w14:paraId="02EC5981">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理解Skill体系的设计哲学 —— 理解MCP协议、Skill知识文件与CLI工具三者之间的协作关系，掌握"AI获取能力、人赋予知识"的协同工作模式</w:t>
      </w:r>
    </w:p>
    <w:p w14:paraId="0DAEE74D">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Skill安装与调用实操 —— 在Trae CN IDE中完成金融类Skill（docx、finance-expert、xlsx）的安装、注册和首次调用，打通"需求→Skill匹配→输出交付"的全流程</w:t>
      </w:r>
    </w:p>
    <w:p w14:paraId="0995C921">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docx Skill实战 —— 使用docx Skill为银行VIP客户自动生成《客户电话回访报告》，体验从无格式内容到结构化Word文档的自动化产出过程</w:t>
      </w:r>
    </w:p>
    <w:p w14:paraId="0A7BF73B">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finance-expert综合应用 —— 调用金融分析Skill完成企业信用风险评估、Altman Z-Score计算、敏感性分析以及银行同业对标分析，体验AI辅助金融决策</w:t>
      </w:r>
    </w:p>
    <w:p w14:paraId="3771E3E9">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xlsx定价建模 —— 使用xlsx Skill构建基于FTP的贷款定价模型，实现参数化利率自动计算与双因素敏感性分析</w:t>
      </w:r>
    </w:p>
    <w:p w14:paraId="4988416C">
      <w:pPr>
        <w:pStyle w:val="143"/>
        <w:numPr>
          <w:ilvl w:val="0"/>
          <w:numId w:val="7"/>
        </w:numPr>
        <w:ind w:left="420" w:leftChars="0" w:hanging="420" w:firstLineChars="0"/>
        <w:rPr>
          <w:rFonts w:hint="eastAsia" w:ascii="微软雅黑" w:hAnsi="微软雅黑" w:eastAsia="微软雅黑" w:cs="微软雅黑"/>
        </w:rPr>
      </w:pPr>
      <w:r>
        <w:rPr>
          <w:rFonts w:hint="eastAsia" w:ascii="微软雅黑" w:hAnsi="微软雅黑" w:eastAsia="微软雅黑" w:cs="微软雅黑"/>
          <w:b w:val="0"/>
          <w:sz w:val="22"/>
        </w:rPr>
        <w:t>Skill自主编写与安全审计 —— 独立编写bank-risk-alert预警Skill（含触发词、参数模板和三色分级逻辑），并对现成金融Skill进行五维安全合规审计</w:t>
      </w:r>
    </w:p>
    <w:p w14:paraId="7DE988D7">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通过上述六个递进式实验任务，力求达成"会安装、会调用、会分析、会编写、会审计"五项核心能力。</w:t>
      </w:r>
    </w:p>
    <w:p w14:paraId="162F89DF">
      <w:pPr>
        <w:pStyle w:val="3"/>
        <w:rPr>
          <w:rFonts w:hint="eastAsia" w:ascii="微软雅黑" w:hAnsi="微软雅黑" w:eastAsia="微软雅黑" w:cs="微软雅黑"/>
        </w:rPr>
      </w:pPr>
      <w:r>
        <w:rPr>
          <w:rFonts w:hint="eastAsia" w:ascii="微软雅黑" w:hAnsi="微软雅黑" w:eastAsia="微软雅黑" w:cs="微软雅黑"/>
          <w:lang w:val="en-US" w:eastAsia="zh-CN"/>
        </w:rPr>
        <w:t>二、</w:t>
      </w:r>
      <w:r>
        <w:rPr>
          <w:rFonts w:hint="eastAsia" w:ascii="微软雅黑" w:hAnsi="微软雅黑" w:eastAsia="微软雅黑" w:cs="微软雅黑"/>
        </w:rPr>
        <w:t>实验环境</w:t>
      </w:r>
    </w:p>
    <w:p w14:paraId="3F7978C6">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本次实验在Windows 11平台上完成，核心运行环境为Trae CN AI IDE，依托MCP协议实现工具调用，通过Skills CLI加载和管理金融专业知识文件。以下是完整的软硬件环境配置表：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3935"/>
        <w:gridCol w:w="2880"/>
      </w:tblGrid>
      <w:tr w14:paraId="3971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shd w:val="clear" w:color="auto" w:fill="1F497D" w:themeFill="text2"/>
          </w:tcPr>
          <w:p w14:paraId="772C19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项目</w:t>
            </w:r>
          </w:p>
        </w:tc>
        <w:tc>
          <w:tcPr>
            <w:tcW w:w="3935" w:type="dxa"/>
            <w:shd w:val="clear" w:color="auto" w:fill="1F497D" w:themeFill="text2"/>
          </w:tcPr>
          <w:p w14:paraId="268055A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配置详情</w:t>
            </w:r>
          </w:p>
        </w:tc>
        <w:tc>
          <w:tcPr>
            <w:tcW w:w="2880" w:type="dxa"/>
            <w:shd w:val="clear" w:color="auto" w:fill="1F497D" w:themeFill="text2"/>
          </w:tcPr>
          <w:p w14:paraId="7B1B6B9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说明</w:t>
            </w:r>
          </w:p>
        </w:tc>
      </w:tr>
      <w:tr w14:paraId="79A33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76B2B04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操作系统</w:t>
            </w:r>
          </w:p>
        </w:tc>
        <w:tc>
          <w:tcPr>
            <w:tcW w:w="3935" w:type="dxa"/>
          </w:tcPr>
          <w:p w14:paraId="56D5492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Windows 11 专业版 23H2</w:t>
            </w:r>
          </w:p>
        </w:tc>
        <w:tc>
          <w:tcPr>
            <w:tcW w:w="2880" w:type="dxa"/>
          </w:tcPr>
          <w:p w14:paraId="1BC766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支持WSL2可选</w:t>
            </w:r>
          </w:p>
        </w:tc>
      </w:tr>
      <w:tr w14:paraId="79F1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2C74636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AI IDE</w:t>
            </w:r>
          </w:p>
        </w:tc>
        <w:tc>
          <w:tcPr>
            <w:tcW w:w="3935" w:type="dxa"/>
          </w:tcPr>
          <w:p w14:paraId="00D7188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TRAE CN（MCP + Skill原生支持）</w:t>
            </w:r>
          </w:p>
        </w:tc>
        <w:tc>
          <w:tcPr>
            <w:tcW w:w="2880" w:type="dxa"/>
          </w:tcPr>
          <w:p w14:paraId="33353FB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AI Agent模式</w:t>
            </w:r>
          </w:p>
        </w:tc>
      </w:tr>
      <w:tr w14:paraId="5A3A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43C7422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Python</w:t>
            </w:r>
          </w:p>
        </w:tc>
        <w:tc>
          <w:tcPr>
            <w:tcW w:w="3935" w:type="dxa"/>
          </w:tcPr>
          <w:p w14:paraId="37747A0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3.11.9（python-docx 1.1.2, openpyxl 3.1.5）</w:t>
            </w:r>
          </w:p>
        </w:tc>
        <w:tc>
          <w:tcPr>
            <w:tcW w:w="2880" w:type="dxa"/>
          </w:tcPr>
          <w:p w14:paraId="62DE9CD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pip扩展库</w:t>
            </w:r>
          </w:p>
        </w:tc>
      </w:tr>
      <w:tr w14:paraId="5E04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378BE2E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Node.js</w:t>
            </w:r>
          </w:p>
        </w:tc>
        <w:tc>
          <w:tcPr>
            <w:tcW w:w="3935" w:type="dxa"/>
          </w:tcPr>
          <w:p w14:paraId="3D43F6A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v20.11.1 / npm 10.2.4</w:t>
            </w:r>
          </w:p>
        </w:tc>
        <w:tc>
          <w:tcPr>
            <w:tcW w:w="2880" w:type="dxa"/>
          </w:tcPr>
          <w:p w14:paraId="489F33F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Skills CLI依赖</w:t>
            </w:r>
          </w:p>
        </w:tc>
      </w:tr>
      <w:tr w14:paraId="00C8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6313E2E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Skills CLI</w:t>
            </w:r>
          </w:p>
        </w:tc>
        <w:tc>
          <w:tcPr>
            <w:tcW w:w="3935" w:type="dxa"/>
          </w:tcPr>
          <w:p w14:paraId="078780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skills（已注册docx/finance-expert/xlsx）</w:t>
            </w:r>
          </w:p>
        </w:tc>
        <w:tc>
          <w:tcPr>
            <w:tcW w:w="2880" w:type="dxa"/>
          </w:tcPr>
          <w:p w14:paraId="002660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3个金融Skill</w:t>
            </w:r>
          </w:p>
        </w:tc>
      </w:tr>
      <w:tr w14:paraId="4CDF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6A9A08A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版本控制</w:t>
            </w:r>
          </w:p>
        </w:tc>
        <w:tc>
          <w:tcPr>
            <w:tcW w:w="3935" w:type="dxa"/>
          </w:tcPr>
          <w:p w14:paraId="4EC387E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Git 2.42.0 + CNB (cnb.cool)</w:t>
            </w:r>
          </w:p>
        </w:tc>
        <w:tc>
          <w:tcPr>
            <w:tcW w:w="2880" w:type="dxa"/>
            <w:shd w:val="clear" w:color="auto" w:fill="F5F5F5"/>
          </w:tcPr>
          <w:p w14:paraId="5D499B1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仓库托管</w:t>
            </w:r>
          </w:p>
        </w:tc>
      </w:tr>
      <w:tr w14:paraId="25DB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25" w:type="dxa"/>
          </w:tcPr>
          <w:p w14:paraId="5F016B7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仓库地址</w:t>
            </w:r>
          </w:p>
        </w:tc>
        <w:tc>
          <w:tcPr>
            <w:tcW w:w="3935" w:type="dxa"/>
          </w:tcPr>
          <w:p w14:paraId="646992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https://cnb.cool/liudandan-2026/Moooa</w:t>
            </w:r>
          </w:p>
        </w:tc>
        <w:tc>
          <w:tcPr>
            <w:tcW w:w="2880" w:type="dxa"/>
          </w:tcPr>
          <w:p w14:paraId="2DD6BF5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主仓库</w:t>
            </w:r>
          </w:p>
        </w:tc>
      </w:tr>
    </w:tbl>
    <w:p w14:paraId="657EA4A6">
      <w:pPr>
        <w:rPr>
          <w:rFonts w:hint="eastAsia" w:ascii="微软雅黑" w:hAnsi="微软雅黑" w:eastAsia="微软雅黑" w:cs="微软雅黑"/>
        </w:rPr>
      </w:pPr>
    </w:p>
    <w:p w14:paraId="0897B5C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所有实验均在Trae CN的AI Agent模式下完成，通过对话式交互调用相关Skill。Python第三方库使用项目本地目录（py_libs/）加载，避免全局环境污染。</w:t>
      </w:r>
    </w:p>
    <w:p w14:paraId="01BA28F5">
      <w:pPr>
        <w:pStyle w:val="3"/>
        <w:rPr>
          <w:rFonts w:hint="eastAsia" w:ascii="微软雅黑" w:hAnsi="微软雅黑" w:eastAsia="微软雅黑" w:cs="微软雅黑"/>
        </w:rPr>
      </w:pPr>
      <w:r>
        <w:rPr>
          <w:rFonts w:hint="eastAsia" w:ascii="微软雅黑" w:hAnsi="微软雅黑" w:eastAsia="微软雅黑" w:cs="微软雅黑"/>
        </w:rPr>
        <w:t>三、实验步骤</w:t>
      </w:r>
    </w:p>
    <w:p w14:paraId="0972E8ED">
      <w:pPr>
        <w:pStyle w:val="4"/>
        <w:rPr>
          <w:rFonts w:hint="eastAsia" w:ascii="微软雅黑" w:hAnsi="微软雅黑" w:eastAsia="微软雅黑" w:cs="微软雅黑"/>
        </w:rPr>
      </w:pPr>
      <w:r>
        <w:rPr>
          <w:rFonts w:hint="eastAsia" w:ascii="微软雅黑" w:hAnsi="微软雅黑" w:eastAsia="微软雅黑" w:cs="微软雅黑"/>
        </w:rPr>
        <w:t>3.1 CNB注册与Skill环境配置</w:t>
      </w:r>
    </w:p>
    <w:p w14:paraId="76BB216D">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实验的第一步是完成CNB云开发平台的注册与开发环境搭建。CNB（cnb.cool）是一个面向AI开发者的云端协作平台，支持Git代码托管、Issue管理、CI/CD流水线以及Skill分发等能力，是贯穿整个实验的操作基础。</w:t>
      </w:r>
    </w:p>
    <w:p w14:paraId="465BABDA">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具体操作流程如下：</w:t>
      </w:r>
    </w:p>
    <w:p w14:paraId="5067FA17">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首先，访问CNB官网（https://cnb.cool），使用微信扫码完成账号注册。注册成功后，进入"个人设置"→"访问令牌"页面，创建一个新的访问令牌（Token），授权范围选择"Git客户端凭据"（repo-code:rw权限）。注意Token仅显示一次，需要立即复制保存。</w:t>
      </w:r>
    </w:p>
    <w:p w14:paraId="10F8785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然后，在终端中安装CNB CLI工具和Skills CLI工具：</w:t>
      </w:r>
    </w:p>
    <w:p w14:paraId="4D05B7E5">
      <w:pPr>
        <w:shd w:val="clear" w:fill="F2F2F2"/>
        <w:spacing w:before="80" w:after="80"/>
        <w:ind w:left="454"/>
        <w:rPr>
          <w:rFonts w:hint="eastAsia" w:ascii="微软雅黑" w:hAnsi="微软雅黑" w:eastAsia="微软雅黑" w:cs="微软雅黑"/>
        </w:rPr>
      </w:pPr>
      <w:r>
        <w:rPr>
          <w:rFonts w:hint="eastAsia" w:ascii="微软雅黑" w:hAnsi="微软雅黑" w:eastAsia="微软雅黑" w:cs="微软雅黑"/>
          <w:color w:val="2D2D2D"/>
          <w:sz w:val="17"/>
        </w:rPr>
        <w:t># 1. 安装CNB CLI（仓库管理）</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npm install @cnbcool/cnb-cli -g</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2. 安装Skills CLI（技能管理）</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npm install skills -g</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3. 验证工具安装</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cnb --version    # 输出版本号即成功</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skills list      # 首次安装后应有cnb-api</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4. 安装三个金融Skill</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npx skills add anthropics/skills@docx -y</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npx skills add personamanagmentlayer/pcl@finance-expert -y</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npx skills add anthropics/skills@xlsx -y</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5. 确认Skill安装成功</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skills list      # 应显示 docx, finance-expert, xlsx</w:t>
      </w:r>
    </w:p>
    <w:p w14:paraId="1267289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环境验证完成后，还需要将代码推送到CNB个人仓库：配置Git用户名和邮箱，关联远程仓库地址（git remote add），最后使用git push完成代码同步。推送成功后，可以在CNB网页端查看项目文件列表，确认所有实验交付物均已正确上传。</w:t>
      </w:r>
    </w:p>
    <w:p w14:paraId="3079D1EF">
      <w:pPr>
        <w:pStyle w:val="4"/>
        <w:rPr>
          <w:rFonts w:hint="eastAsia" w:ascii="微软雅黑" w:hAnsi="微软雅黑" w:eastAsia="微软雅黑" w:cs="微软雅黑"/>
        </w:rPr>
      </w:pPr>
      <w:r>
        <w:rPr>
          <w:rFonts w:hint="eastAsia" w:ascii="微软雅黑" w:hAnsi="微软雅黑" w:eastAsia="微软雅黑" w:cs="微软雅黑"/>
        </w:rPr>
        <w:t>3.2 docx Skill — 客户电话回访报告</w:t>
      </w:r>
    </w:p>
    <w:p w14:paraId="7F825222">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本实验使用docx Skill为VIP客户C00001（张宝）生成一份专业的《客户电话回访报告》。该实验模拟了城商行客户经理的日常工作场景——在定期存款到期日前进行电话回访，并在回访后形成标准化的客户联系文档。</w:t>
      </w:r>
    </w:p>
    <w:p w14:paraId="5DB15527">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实验要求生成的Word文档包含以下六个标准章节：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5673"/>
      </w:tblGrid>
      <w:tr w14:paraId="2A31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shd w:val="clear" w:color="auto" w:fill="1F497D" w:themeFill="text2"/>
          </w:tcPr>
          <w:p w14:paraId="4BE3F07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章节</w:t>
            </w:r>
          </w:p>
        </w:tc>
        <w:tc>
          <w:tcPr>
            <w:tcW w:w="5673" w:type="dxa"/>
            <w:shd w:val="clear" w:color="auto" w:fill="1F497D" w:themeFill="text2"/>
          </w:tcPr>
          <w:p w14:paraId="24683F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核心内容</w:t>
            </w:r>
          </w:p>
        </w:tc>
      </w:tr>
      <w:tr w14:paraId="4509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730C3C3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 客户基本信息</w:t>
            </w:r>
          </w:p>
        </w:tc>
        <w:tc>
          <w:tcPr>
            <w:tcW w:w="5673" w:type="dxa"/>
          </w:tcPr>
          <w:p w14:paraId="20F6F27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客户编号C00001、姓名、资产等级、开户行、客户经理</w:t>
            </w:r>
          </w:p>
        </w:tc>
      </w:tr>
      <w:tr w14:paraId="3222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0481F82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 回访背景</w:t>
            </w:r>
          </w:p>
        </w:tc>
        <w:tc>
          <w:tcPr>
            <w:tcW w:w="5673" w:type="dxa"/>
          </w:tcPr>
          <w:p w14:paraId="7953B10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定期存款到期提醒（50万一年期大额存单）+ 理财产品推荐</w:t>
            </w:r>
          </w:p>
        </w:tc>
      </w:tr>
      <w:tr w14:paraId="51CB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6D44A14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 沟通要点</w:t>
            </w:r>
          </w:p>
        </w:tc>
        <w:tc>
          <w:tcPr>
            <w:tcW w:w="5673" w:type="dxa"/>
          </w:tcPr>
          <w:p w14:paraId="1701C93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电话沟通中的关键内容与讨论事项的逐条记录</w:t>
            </w:r>
          </w:p>
        </w:tc>
      </w:tr>
      <w:tr w14:paraId="7CC0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209004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 客户反馈</w:t>
            </w:r>
          </w:p>
        </w:tc>
        <w:tc>
          <w:tcPr>
            <w:tcW w:w="5673" w:type="dxa"/>
          </w:tcPr>
          <w:p w14:paraId="7E52BD5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满意度评分（1-5分制）+ 具体意见与建议</w:t>
            </w:r>
          </w:p>
        </w:tc>
      </w:tr>
      <w:tr w14:paraId="2B10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11FA820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5. 产品意向</w:t>
            </w:r>
          </w:p>
        </w:tc>
        <w:tc>
          <w:tcPr>
            <w:tcW w:w="5673" w:type="dxa"/>
          </w:tcPr>
          <w:p w14:paraId="0EF6B0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客户对大额存单/结构性存款/基金定投的兴趣程度</w:t>
            </w:r>
          </w:p>
        </w:tc>
      </w:tr>
      <w:tr w14:paraId="4258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67" w:type="dxa"/>
          </w:tcPr>
          <w:p w14:paraId="3C74FDF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6. 跟进计划</w:t>
            </w:r>
          </w:p>
        </w:tc>
        <w:tc>
          <w:tcPr>
            <w:tcW w:w="5673" w:type="dxa"/>
            <w:shd w:val="clear" w:color="auto" w:fill="F5F5F5"/>
          </w:tcPr>
          <w:p w14:paraId="34D2300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时间节点、责任人、后续行动项</w:t>
            </w:r>
          </w:p>
        </w:tc>
      </w:tr>
    </w:tbl>
    <w:p w14:paraId="5A72CBCA">
      <w:pPr>
        <w:rPr>
          <w:rFonts w:hint="eastAsia" w:ascii="微软雅黑" w:hAnsi="微软雅黑" w:eastAsia="微软雅黑" w:cs="微软雅黑"/>
        </w:rPr>
      </w:pPr>
    </w:p>
    <w:p w14:paraId="52E364DE">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同时要求文档具有正式的格式设计：封面页含银行Logo占位区域和报告标题；自动更新的目录页；每页页眉显示"内部文件 · 密级：内部"；底部显示居中的页码。</w:t>
      </w:r>
    </w:p>
    <w:p w14:paraId="7901A0C3">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核心实现代码：</w:t>
      </w:r>
    </w:p>
    <w:p w14:paraId="29992659">
      <w:pPr>
        <w:shd w:val="clear" w:fill="F2F2F2"/>
        <w:spacing w:before="80" w:after="80"/>
        <w:ind w:left="454"/>
        <w:rPr>
          <w:rFonts w:hint="eastAsia" w:ascii="微软雅黑" w:hAnsi="微软雅黑" w:eastAsia="微软雅黑" w:cs="微软雅黑"/>
        </w:rPr>
      </w:pPr>
      <w:r>
        <w:rPr>
          <w:rFonts w:hint="eastAsia" w:ascii="微软雅黑" w:hAnsi="微软雅黑" w:eastAsia="微软雅黑" w:cs="微软雅黑"/>
          <w:color w:val="2D2D2D"/>
          <w:sz w:val="17"/>
        </w:rPr>
        <w:t>from docx import Document</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from docx.shared import Pt, RGBColor, Inches</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doc = Document()</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封面标题</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title = doc.add_paragraph()</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title.alignment = WD_ALIGN_PARAGRAPH.CENTER</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run = title.add_run('客户电话回访报告')</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run.font.size = Pt(26); run.font.bold = True</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银行Logo占位</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logo_para = doc.add_paragraph()</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logo_run = logo_para.add_run('[银行Logo位置]')</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目录（Word自动域）</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doc.add_heading('目录', level=1)</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六章正文内容</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doc.add_heading('一、客户基本信息', level=1)</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 填充客户数据</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页眉密级</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header = doc.sections[0].header</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header.paragraphs[0].add_run('内部文件 · 密级：内部')</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保存</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doc.save('reports/客户回访报告_C00001.docx')</w:t>
      </w:r>
    </w:p>
    <w:p w14:paraId="3F343988">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生成的报告结构完整、格式规范，可直接用于客户档案归档或内部检查。</w:t>
      </w:r>
    </w:p>
    <w:p w14:paraId="63BBA6AC">
      <w:pPr>
        <w:pStyle w:val="4"/>
        <w:rPr>
          <w:rFonts w:hint="eastAsia" w:ascii="微软雅黑" w:hAnsi="微软雅黑" w:eastAsia="微软雅黑" w:cs="微软雅黑"/>
        </w:rPr>
      </w:pPr>
      <w:r>
        <w:rPr>
          <w:rFonts w:hint="eastAsia" w:ascii="微软雅黑" w:hAnsi="微软雅黑" w:eastAsia="微软雅黑" w:cs="微软雅黑"/>
        </w:rPr>
        <w:t>3.3 finance-expert — 信用风险评估</w:t>
      </w:r>
    </w:p>
    <w:p w14:paraId="0FE8CE5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本实验使用finance-expert Skill对恒达机械制造有限公司进行全面的信用风险评估。该企业向银行申请500万元一年期流动资金贷款，用途为原材料采购。实验的核心任务是基于企业近三年财务数据，计算关键风控指标并进行综合评级。</w:t>
      </w:r>
    </w:p>
    <w:p w14:paraId="346A5A2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企业基础财务数据如下：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C7F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97D" w:themeFill="text2"/>
            <w:vAlign w:val="center"/>
          </w:tcPr>
          <w:p w14:paraId="010A540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财务指标</w:t>
            </w:r>
          </w:p>
        </w:tc>
        <w:tc>
          <w:tcPr>
            <w:tcW w:w="2160" w:type="dxa"/>
            <w:shd w:val="clear" w:color="auto" w:fill="1F497D" w:themeFill="text2"/>
            <w:vAlign w:val="center"/>
          </w:tcPr>
          <w:p w14:paraId="39ACCB8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2023年</w:t>
            </w:r>
          </w:p>
        </w:tc>
        <w:tc>
          <w:tcPr>
            <w:tcW w:w="2160" w:type="dxa"/>
            <w:shd w:val="clear" w:color="auto" w:fill="1F497D" w:themeFill="text2"/>
            <w:vAlign w:val="center"/>
          </w:tcPr>
          <w:p w14:paraId="5F07AD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2024年</w:t>
            </w:r>
          </w:p>
        </w:tc>
        <w:tc>
          <w:tcPr>
            <w:tcW w:w="2160" w:type="dxa"/>
            <w:shd w:val="clear" w:color="auto" w:fill="1F497D" w:themeFill="text2"/>
            <w:vAlign w:val="center"/>
          </w:tcPr>
          <w:p w14:paraId="66845B1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2025年</w:t>
            </w:r>
          </w:p>
        </w:tc>
      </w:tr>
      <w:tr w14:paraId="7525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8B68C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营业收入（万元）</w:t>
            </w:r>
          </w:p>
        </w:tc>
        <w:tc>
          <w:tcPr>
            <w:tcW w:w="2160" w:type="dxa"/>
            <w:vAlign w:val="center"/>
          </w:tcPr>
          <w:p w14:paraId="06E2B5F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3,200</w:t>
            </w:r>
          </w:p>
        </w:tc>
        <w:tc>
          <w:tcPr>
            <w:tcW w:w="2160" w:type="dxa"/>
            <w:vAlign w:val="center"/>
          </w:tcPr>
          <w:p w14:paraId="2F5907D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3,800</w:t>
            </w:r>
          </w:p>
        </w:tc>
        <w:tc>
          <w:tcPr>
            <w:tcW w:w="2160" w:type="dxa"/>
            <w:vAlign w:val="center"/>
          </w:tcPr>
          <w:p w14:paraId="60EB73F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4,100</w:t>
            </w:r>
          </w:p>
        </w:tc>
      </w:tr>
      <w:tr w14:paraId="28C9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F82A74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净利润（万元）</w:t>
            </w:r>
          </w:p>
        </w:tc>
        <w:tc>
          <w:tcPr>
            <w:tcW w:w="2160" w:type="dxa"/>
            <w:vAlign w:val="center"/>
          </w:tcPr>
          <w:p w14:paraId="6E59B3A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180</w:t>
            </w:r>
          </w:p>
        </w:tc>
        <w:tc>
          <w:tcPr>
            <w:tcW w:w="2160" w:type="dxa"/>
            <w:vAlign w:val="center"/>
          </w:tcPr>
          <w:p w14:paraId="17EE186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220</w:t>
            </w:r>
          </w:p>
        </w:tc>
        <w:tc>
          <w:tcPr>
            <w:tcW w:w="2160" w:type="dxa"/>
            <w:vAlign w:val="center"/>
          </w:tcPr>
          <w:p w14:paraId="60DF2BA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250</w:t>
            </w:r>
          </w:p>
        </w:tc>
      </w:tr>
      <w:tr w14:paraId="0096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668CCD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资产总额（万元）</w:t>
            </w:r>
          </w:p>
        </w:tc>
        <w:tc>
          <w:tcPr>
            <w:tcW w:w="2160" w:type="dxa"/>
            <w:vAlign w:val="center"/>
          </w:tcPr>
          <w:p w14:paraId="586047B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2160" w:type="dxa"/>
            <w:vAlign w:val="center"/>
          </w:tcPr>
          <w:p w14:paraId="73BA558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2160" w:type="dxa"/>
            <w:vAlign w:val="center"/>
          </w:tcPr>
          <w:p w14:paraId="54E2D00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2,800</w:t>
            </w:r>
          </w:p>
        </w:tc>
      </w:tr>
      <w:tr w14:paraId="0401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F490F2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负债总额（万元）</w:t>
            </w:r>
          </w:p>
        </w:tc>
        <w:tc>
          <w:tcPr>
            <w:tcW w:w="2160" w:type="dxa"/>
            <w:vAlign w:val="center"/>
          </w:tcPr>
          <w:p w14:paraId="60848E7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2160" w:type="dxa"/>
            <w:vAlign w:val="center"/>
          </w:tcPr>
          <w:p w14:paraId="56681CD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w:t>
            </w:r>
          </w:p>
        </w:tc>
        <w:tc>
          <w:tcPr>
            <w:tcW w:w="2160" w:type="dxa"/>
            <w:shd w:val="clear" w:color="auto" w:fill="F5F5F5"/>
            <w:vAlign w:val="center"/>
          </w:tcPr>
          <w:p w14:paraId="0E7498B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1,600</w:t>
            </w:r>
          </w:p>
        </w:tc>
      </w:tr>
    </w:tbl>
    <w:p w14:paraId="5CA89CC8">
      <w:pPr>
        <w:rPr>
          <w:rFonts w:hint="eastAsia" w:ascii="微软雅黑" w:hAnsi="微软雅黑" w:eastAsia="微软雅黑" w:cs="微软雅黑"/>
        </w:rPr>
      </w:pPr>
    </w:p>
    <w:p w14:paraId="59DDD0E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基于上述数据，计算的核心风控指标如下：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2074"/>
        <w:gridCol w:w="1382"/>
        <w:gridCol w:w="1728"/>
        <w:gridCol w:w="1728"/>
      </w:tblGrid>
      <w:tr w14:paraId="7774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97D" w:themeFill="text2"/>
            <w:vAlign w:val="center"/>
          </w:tcPr>
          <w:p w14:paraId="13E505A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指标</w:t>
            </w:r>
          </w:p>
        </w:tc>
        <w:tc>
          <w:tcPr>
            <w:tcW w:w="2074" w:type="dxa"/>
            <w:shd w:val="clear" w:color="auto" w:fill="1F497D" w:themeFill="text2"/>
            <w:vAlign w:val="center"/>
          </w:tcPr>
          <w:p w14:paraId="42E80A5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公式</w:t>
            </w:r>
          </w:p>
        </w:tc>
        <w:tc>
          <w:tcPr>
            <w:tcW w:w="1382" w:type="dxa"/>
            <w:shd w:val="clear" w:color="auto" w:fill="1F497D" w:themeFill="text2"/>
            <w:vAlign w:val="center"/>
          </w:tcPr>
          <w:p w14:paraId="0D2B5B3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计算结果</w:t>
            </w:r>
          </w:p>
        </w:tc>
        <w:tc>
          <w:tcPr>
            <w:tcW w:w="1728" w:type="dxa"/>
            <w:shd w:val="clear" w:color="auto" w:fill="1F497D" w:themeFill="text2"/>
            <w:vAlign w:val="center"/>
          </w:tcPr>
          <w:p w14:paraId="6A9B2F2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行业参考</w:t>
            </w:r>
          </w:p>
        </w:tc>
        <w:tc>
          <w:tcPr>
            <w:tcW w:w="1728" w:type="dxa"/>
            <w:shd w:val="clear" w:color="auto" w:fill="1F497D" w:themeFill="text2"/>
            <w:vAlign w:val="center"/>
          </w:tcPr>
          <w:p w14:paraId="43FB4DB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评价</w:t>
            </w:r>
          </w:p>
        </w:tc>
      </w:tr>
      <w:tr w14:paraId="45D2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2A3193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资产负债率</w:t>
            </w:r>
          </w:p>
        </w:tc>
        <w:tc>
          <w:tcPr>
            <w:tcW w:w="2074" w:type="dxa"/>
            <w:vAlign w:val="center"/>
          </w:tcPr>
          <w:p w14:paraId="57F0F4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总负债/总资产</w:t>
            </w:r>
          </w:p>
        </w:tc>
        <w:tc>
          <w:tcPr>
            <w:tcW w:w="1382" w:type="dxa"/>
            <w:vAlign w:val="center"/>
          </w:tcPr>
          <w:p w14:paraId="399F3D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57.14%</w:t>
            </w:r>
          </w:p>
        </w:tc>
        <w:tc>
          <w:tcPr>
            <w:tcW w:w="1728" w:type="dxa"/>
            <w:vAlign w:val="center"/>
          </w:tcPr>
          <w:p w14:paraId="75A21DA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40-60%</w:t>
            </w:r>
          </w:p>
        </w:tc>
        <w:tc>
          <w:tcPr>
            <w:tcW w:w="1728" w:type="dxa"/>
            <w:vAlign w:val="center"/>
          </w:tcPr>
          <w:p w14:paraId="49D8E52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适中</w:t>
            </w:r>
          </w:p>
        </w:tc>
      </w:tr>
      <w:tr w14:paraId="5F98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B75B5B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流动比率</w:t>
            </w:r>
          </w:p>
        </w:tc>
        <w:tc>
          <w:tcPr>
            <w:tcW w:w="2074" w:type="dxa"/>
            <w:vAlign w:val="center"/>
          </w:tcPr>
          <w:p w14:paraId="2740817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流动资产/流动负债</w:t>
            </w:r>
          </w:p>
        </w:tc>
        <w:tc>
          <w:tcPr>
            <w:tcW w:w="1382" w:type="dxa"/>
            <w:vAlign w:val="center"/>
          </w:tcPr>
          <w:p w14:paraId="75C07F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≈1.60</w:t>
            </w:r>
          </w:p>
        </w:tc>
        <w:tc>
          <w:tcPr>
            <w:tcW w:w="1728" w:type="dxa"/>
            <w:vAlign w:val="center"/>
          </w:tcPr>
          <w:p w14:paraId="7C4296B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&gt;1.5</w:t>
            </w:r>
          </w:p>
        </w:tc>
        <w:tc>
          <w:tcPr>
            <w:tcW w:w="1728" w:type="dxa"/>
            <w:vAlign w:val="center"/>
          </w:tcPr>
          <w:p w14:paraId="6630BE4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良好</w:t>
            </w:r>
          </w:p>
        </w:tc>
      </w:tr>
      <w:tr w14:paraId="0907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0FA0E31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Altman Z-Score</w:t>
            </w:r>
          </w:p>
        </w:tc>
        <w:tc>
          <w:tcPr>
            <w:tcW w:w="2074" w:type="dxa"/>
            <w:vAlign w:val="center"/>
          </w:tcPr>
          <w:p w14:paraId="42DCC9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制造业修正模型</w:t>
            </w:r>
          </w:p>
        </w:tc>
        <w:tc>
          <w:tcPr>
            <w:tcW w:w="1382" w:type="dxa"/>
            <w:vAlign w:val="center"/>
          </w:tcPr>
          <w:p w14:paraId="2FFF9BC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3.94</w:t>
            </w:r>
          </w:p>
        </w:tc>
        <w:tc>
          <w:tcPr>
            <w:tcW w:w="1728" w:type="dxa"/>
            <w:vAlign w:val="center"/>
          </w:tcPr>
          <w:p w14:paraId="4693C33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&gt;2.99安全</w:t>
            </w:r>
          </w:p>
        </w:tc>
        <w:tc>
          <w:tcPr>
            <w:tcW w:w="1728" w:type="dxa"/>
            <w:vAlign w:val="center"/>
          </w:tcPr>
          <w:p w14:paraId="6A2941D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安全区</w:t>
            </w:r>
          </w:p>
        </w:tc>
      </w:tr>
      <w:tr w14:paraId="75B3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5ED709B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利息保障倍数</w:t>
            </w:r>
          </w:p>
        </w:tc>
        <w:tc>
          <w:tcPr>
            <w:tcW w:w="2074" w:type="dxa"/>
            <w:vAlign w:val="center"/>
          </w:tcPr>
          <w:p w14:paraId="31F3395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EBIT/利息费用</w:t>
            </w:r>
          </w:p>
        </w:tc>
        <w:tc>
          <w:tcPr>
            <w:tcW w:w="1382" w:type="dxa"/>
            <w:vAlign w:val="center"/>
          </w:tcPr>
          <w:p w14:paraId="2757D7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6.12倍</w:t>
            </w:r>
          </w:p>
        </w:tc>
        <w:tc>
          <w:tcPr>
            <w:tcW w:w="1728" w:type="dxa"/>
            <w:vAlign w:val="center"/>
          </w:tcPr>
          <w:p w14:paraId="6F1BF48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&gt;3倍</w:t>
            </w:r>
          </w:p>
        </w:tc>
        <w:tc>
          <w:tcPr>
            <w:tcW w:w="1728" w:type="dxa"/>
            <w:shd w:val="clear" w:color="auto" w:fill="F5F5F5"/>
            <w:vAlign w:val="center"/>
          </w:tcPr>
          <w:p w14:paraId="528021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充足</w:t>
            </w:r>
          </w:p>
        </w:tc>
      </w:tr>
    </w:tbl>
    <w:p w14:paraId="575C2514">
      <w:pPr>
        <w:rPr>
          <w:rFonts w:hint="eastAsia" w:ascii="微软雅黑" w:hAnsi="微软雅黑" w:eastAsia="微软雅黑" w:cs="微软雅黑"/>
        </w:rPr>
      </w:pPr>
    </w:p>
    <w:p w14:paraId="7E3FC3E9">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Altman Z-Score的计算过程（中国制造业修正版）如下。这一模型是评估企业破产风险的国际通用工具，包含五个加权财务比率：</w:t>
      </w:r>
    </w:p>
    <w:p w14:paraId="36908ABF">
      <w:pPr>
        <w:shd w:val="clear" w:fill="F2F2F2"/>
        <w:spacing w:before="80" w:after="80"/>
        <w:ind w:left="454"/>
        <w:rPr>
          <w:rFonts w:hint="eastAsia" w:ascii="微软雅黑" w:hAnsi="微软雅黑" w:eastAsia="微软雅黑" w:cs="微软雅黑"/>
        </w:rPr>
      </w:pPr>
      <w:r>
        <w:rPr>
          <w:rFonts w:hint="eastAsia" w:ascii="微软雅黑" w:hAnsi="微软雅黑" w:eastAsia="微软雅黑" w:cs="微软雅黑"/>
          <w:color w:val="2D2D2D"/>
          <w:sz w:val="17"/>
        </w:rPr>
        <w:t>X1 = 营运资本 / 总资产 = 774.79 / 2,800 = 0.277</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X2 = 留存收益 / 总资产 = 500 / 2,800 = 0.179</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X3 = EBIT / 总资产 = (250+88) / 2,800 = 0.121</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X4 = 权益市值 / 总负债 = 1,200 / 1,600 = 0.750</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X5 = 营业收入 / 总资产 = 4,100 / 2,800 = 1.464</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Z = 1.2×0.277 + 1.4×0.179 + 3.3×0.121 + 0.6×0.750 + 1.0×1.464</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 0.332 + 0.251 + 0.399 + 0.450 + 1.464</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 3.94 (&gt; 2.99，安全区)</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结论：综合评分 78.35/100 → 中等风险</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审批建议：有条件批准——建议追加厂房抵押登记</w:t>
      </w:r>
    </w:p>
    <w:p w14:paraId="730931EF">
      <w:pPr>
        <w:pStyle w:val="5"/>
        <w:rPr>
          <w:rFonts w:hint="eastAsia" w:ascii="微软雅黑" w:hAnsi="微软雅黑" w:eastAsia="微软雅黑" w:cs="微软雅黑"/>
        </w:rPr>
      </w:pPr>
      <w:r>
        <w:rPr>
          <w:rFonts w:hint="eastAsia" w:ascii="微软雅黑" w:hAnsi="微软雅黑" w:eastAsia="微软雅黑" w:cs="微软雅黑"/>
        </w:rPr>
        <w:t>资产负债率敏感性分析</w:t>
      </w:r>
    </w:p>
    <w:p w14:paraId="653911B0">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为了考察企业财务杠杆变化对信用评级的影响，进行敏感性分析：将资产负债率从原有的57.14%提高至75%（通过增加负债500万元、净资产减少500万元模拟），重新计算各项指标：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2E1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97D" w:themeFill="text2"/>
          </w:tcPr>
          <w:p w14:paraId="2BF3B62F">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参数</w:t>
            </w:r>
          </w:p>
        </w:tc>
        <w:tc>
          <w:tcPr>
            <w:tcW w:w="1728" w:type="dxa"/>
            <w:shd w:val="clear" w:color="auto" w:fill="1F497D" w:themeFill="text2"/>
          </w:tcPr>
          <w:p w14:paraId="03BE367A">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调整前</w:t>
            </w:r>
          </w:p>
        </w:tc>
        <w:tc>
          <w:tcPr>
            <w:tcW w:w="1728" w:type="dxa"/>
            <w:shd w:val="clear" w:color="auto" w:fill="1F497D" w:themeFill="text2"/>
          </w:tcPr>
          <w:p w14:paraId="67B311B3">
            <w:pPr>
              <w:jc w:val="center"/>
              <w:rPr>
                <w:rFonts w:hint="eastAsia" w:ascii="微软雅黑" w:hAnsi="微软雅黑" w:eastAsia="微软雅黑" w:cs="微软雅黑"/>
              </w:rPr>
            </w:pPr>
            <w:r>
              <w:rPr>
                <w:rFonts w:hint="eastAsia" w:ascii="微软雅黑" w:hAnsi="微软雅黑" w:eastAsia="微软雅黑" w:cs="微软雅黑"/>
                <w:b/>
                <w:color w:val="FFFFFF"/>
                <w:sz w:val="18"/>
              </w:rPr>
              <w:t>调整后</w:t>
            </w:r>
          </w:p>
        </w:tc>
        <w:tc>
          <w:tcPr>
            <w:tcW w:w="1728" w:type="dxa"/>
            <w:shd w:val="clear" w:color="auto" w:fill="1F497D" w:themeFill="text2"/>
          </w:tcPr>
          <w:p w14:paraId="26003305">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变动幅度</w:t>
            </w:r>
          </w:p>
        </w:tc>
        <w:tc>
          <w:tcPr>
            <w:tcW w:w="1728" w:type="dxa"/>
            <w:shd w:val="clear" w:color="auto" w:fill="1F497D" w:themeFill="text2"/>
          </w:tcPr>
          <w:p w14:paraId="00149E28">
            <w:pPr>
              <w:jc w:val="center"/>
              <w:rPr>
                <w:rFonts w:hint="eastAsia" w:ascii="微软雅黑" w:hAnsi="微软雅黑" w:eastAsia="微软雅黑" w:cs="微软雅黑"/>
              </w:rPr>
            </w:pPr>
            <w:r>
              <w:rPr>
                <w:rFonts w:hint="eastAsia" w:ascii="微软雅黑" w:hAnsi="微软雅黑" w:eastAsia="微软雅黑" w:cs="微软雅黑"/>
                <w:b/>
                <w:color w:val="FFFFFF"/>
                <w:sz w:val="18"/>
              </w:rPr>
              <w:t>影响评估</w:t>
            </w:r>
          </w:p>
        </w:tc>
      </w:tr>
      <w:tr w14:paraId="6090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070F7D8">
            <w:pPr>
              <w:jc w:val="center"/>
              <w:rPr>
                <w:rFonts w:hint="eastAsia" w:ascii="微软雅黑" w:hAnsi="微软雅黑" w:eastAsia="微软雅黑" w:cs="微软雅黑"/>
              </w:rPr>
            </w:pPr>
            <w:r>
              <w:rPr>
                <w:rFonts w:hint="eastAsia" w:ascii="微软雅黑" w:hAnsi="微软雅黑" w:eastAsia="微软雅黑" w:cs="微软雅黑"/>
                <w:sz w:val="18"/>
              </w:rPr>
              <w:t>资产负债率</w:t>
            </w:r>
          </w:p>
        </w:tc>
        <w:tc>
          <w:tcPr>
            <w:tcW w:w="1728" w:type="dxa"/>
          </w:tcPr>
          <w:p w14:paraId="6248D3EA">
            <w:pPr>
              <w:jc w:val="center"/>
              <w:rPr>
                <w:rFonts w:hint="eastAsia" w:ascii="微软雅黑" w:hAnsi="微软雅黑" w:eastAsia="微软雅黑" w:cs="微软雅黑"/>
              </w:rPr>
            </w:pPr>
            <w:r>
              <w:rPr>
                <w:rFonts w:hint="eastAsia" w:ascii="微软雅黑" w:hAnsi="微软雅黑" w:eastAsia="微软雅黑" w:cs="微软雅黑"/>
                <w:sz w:val="18"/>
              </w:rPr>
              <w:t>57.14%</w:t>
            </w:r>
          </w:p>
        </w:tc>
        <w:tc>
          <w:tcPr>
            <w:tcW w:w="1728" w:type="dxa"/>
          </w:tcPr>
          <w:p w14:paraId="3A44F6AC">
            <w:pPr>
              <w:jc w:val="center"/>
              <w:rPr>
                <w:rFonts w:hint="eastAsia" w:ascii="微软雅黑" w:hAnsi="微软雅黑" w:eastAsia="微软雅黑" w:cs="微软雅黑"/>
              </w:rPr>
            </w:pPr>
            <w:r>
              <w:rPr>
                <w:rFonts w:hint="eastAsia" w:ascii="微软雅黑" w:hAnsi="微软雅黑" w:eastAsia="微软雅黑" w:cs="微软雅黑"/>
                <w:sz w:val="18"/>
              </w:rPr>
              <w:t>75.00%</w:t>
            </w:r>
          </w:p>
        </w:tc>
        <w:tc>
          <w:tcPr>
            <w:tcW w:w="1728" w:type="dxa"/>
          </w:tcPr>
          <w:p w14:paraId="4C5A2A43">
            <w:pPr>
              <w:jc w:val="center"/>
              <w:rPr>
                <w:rFonts w:hint="eastAsia" w:ascii="微软雅黑" w:hAnsi="微软雅黑" w:eastAsia="微软雅黑" w:cs="微软雅黑"/>
              </w:rPr>
            </w:pPr>
            <w:r>
              <w:rPr>
                <w:rFonts w:hint="eastAsia" w:ascii="微软雅黑" w:hAnsi="微软雅黑" w:eastAsia="微软雅黑" w:cs="微软雅黑"/>
                <w:sz w:val="18"/>
              </w:rPr>
              <w:t>↑ 17.86pct</w:t>
            </w:r>
          </w:p>
        </w:tc>
        <w:tc>
          <w:tcPr>
            <w:tcW w:w="1728" w:type="dxa"/>
          </w:tcPr>
          <w:p w14:paraId="14D55D9A">
            <w:pPr>
              <w:jc w:val="center"/>
              <w:rPr>
                <w:rFonts w:hint="eastAsia" w:ascii="微软雅黑" w:hAnsi="微软雅黑" w:eastAsia="微软雅黑" w:cs="微软雅黑"/>
              </w:rPr>
            </w:pPr>
            <w:r>
              <w:rPr>
                <w:rFonts w:hint="eastAsia" w:ascii="微软雅黑" w:hAnsi="微软雅黑" w:eastAsia="微软雅黑" w:cs="微软雅黑"/>
                <w:sz w:val="18"/>
              </w:rPr>
              <w:t>显著上升</w:t>
            </w:r>
          </w:p>
        </w:tc>
      </w:tr>
      <w:tr w14:paraId="1AF4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CB3562">
            <w:pPr>
              <w:jc w:val="center"/>
              <w:rPr>
                <w:rFonts w:hint="eastAsia" w:ascii="微软雅黑" w:hAnsi="微软雅黑" w:eastAsia="微软雅黑" w:cs="微软雅黑"/>
              </w:rPr>
            </w:pPr>
            <w:r>
              <w:rPr>
                <w:rFonts w:hint="eastAsia" w:ascii="微软雅黑" w:hAnsi="微软雅黑" w:eastAsia="微软雅黑" w:cs="微软雅黑"/>
                <w:sz w:val="18"/>
              </w:rPr>
              <w:t>Z-Score</w:t>
            </w:r>
          </w:p>
        </w:tc>
        <w:tc>
          <w:tcPr>
            <w:tcW w:w="1728" w:type="dxa"/>
          </w:tcPr>
          <w:p w14:paraId="5E988359">
            <w:pPr>
              <w:jc w:val="center"/>
              <w:rPr>
                <w:rFonts w:hint="eastAsia" w:ascii="微软雅黑" w:hAnsi="微软雅黑" w:eastAsia="微软雅黑" w:cs="微软雅黑"/>
              </w:rPr>
            </w:pPr>
            <w:r>
              <w:rPr>
                <w:rFonts w:hint="eastAsia" w:ascii="微软雅黑" w:hAnsi="微软雅黑" w:eastAsia="微软雅黑" w:cs="微软雅黑"/>
                <w:sz w:val="18"/>
              </w:rPr>
              <w:t>3.94</w:t>
            </w:r>
          </w:p>
        </w:tc>
        <w:tc>
          <w:tcPr>
            <w:tcW w:w="1728" w:type="dxa"/>
          </w:tcPr>
          <w:p w14:paraId="104F0352">
            <w:pPr>
              <w:jc w:val="center"/>
              <w:rPr>
                <w:rFonts w:hint="eastAsia" w:ascii="微软雅黑" w:hAnsi="微软雅黑" w:eastAsia="微软雅黑" w:cs="微软雅黑"/>
              </w:rPr>
            </w:pPr>
            <w:r>
              <w:rPr>
                <w:rFonts w:hint="eastAsia" w:ascii="微软雅黑" w:hAnsi="微软雅黑" w:eastAsia="微软雅黑" w:cs="微软雅黑"/>
                <w:sz w:val="18"/>
              </w:rPr>
              <w:t>3.01</w:t>
            </w:r>
          </w:p>
        </w:tc>
        <w:tc>
          <w:tcPr>
            <w:tcW w:w="1728" w:type="dxa"/>
          </w:tcPr>
          <w:p w14:paraId="6798CA09">
            <w:pPr>
              <w:jc w:val="center"/>
              <w:rPr>
                <w:rFonts w:hint="eastAsia" w:ascii="微软雅黑" w:hAnsi="微软雅黑" w:eastAsia="微软雅黑" w:cs="微软雅黑"/>
              </w:rPr>
            </w:pPr>
            <w:r>
              <w:rPr>
                <w:rFonts w:hint="eastAsia" w:ascii="微软雅黑" w:hAnsi="微软雅黑" w:eastAsia="微软雅黑" w:cs="微软雅黑"/>
                <w:sz w:val="18"/>
              </w:rPr>
              <w:t>↓ 0.93</w:t>
            </w:r>
          </w:p>
        </w:tc>
        <w:tc>
          <w:tcPr>
            <w:tcW w:w="1728" w:type="dxa"/>
          </w:tcPr>
          <w:p w14:paraId="0236409C">
            <w:pPr>
              <w:jc w:val="center"/>
              <w:rPr>
                <w:rFonts w:hint="eastAsia" w:ascii="微软雅黑" w:hAnsi="微软雅黑" w:eastAsia="微软雅黑" w:cs="微软雅黑"/>
              </w:rPr>
            </w:pPr>
            <w:r>
              <w:rPr>
                <w:rFonts w:hint="eastAsia" w:ascii="微软雅黑" w:hAnsi="微软雅黑" w:eastAsia="微软雅黑" w:cs="微软雅黑"/>
                <w:sz w:val="18"/>
              </w:rPr>
              <w:t>安全区→边缘</w:t>
            </w:r>
          </w:p>
        </w:tc>
      </w:tr>
      <w:tr w14:paraId="1CC01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0E9BE4">
            <w:pPr>
              <w:jc w:val="center"/>
              <w:rPr>
                <w:rFonts w:hint="eastAsia" w:ascii="微软雅黑" w:hAnsi="微软雅黑" w:eastAsia="微软雅黑" w:cs="微软雅黑"/>
              </w:rPr>
            </w:pPr>
            <w:r>
              <w:rPr>
                <w:rFonts w:hint="eastAsia" w:ascii="微软雅黑" w:hAnsi="微软雅黑" w:eastAsia="微软雅黑" w:cs="微软雅黑"/>
                <w:sz w:val="18"/>
              </w:rPr>
              <w:t>综合评分</w:t>
            </w:r>
          </w:p>
        </w:tc>
        <w:tc>
          <w:tcPr>
            <w:tcW w:w="1728" w:type="dxa"/>
          </w:tcPr>
          <w:p w14:paraId="4E033F12">
            <w:pPr>
              <w:jc w:val="center"/>
              <w:rPr>
                <w:rFonts w:hint="eastAsia" w:ascii="微软雅黑" w:hAnsi="微软雅黑" w:eastAsia="微软雅黑" w:cs="微软雅黑"/>
              </w:rPr>
            </w:pPr>
            <w:r>
              <w:rPr>
                <w:rFonts w:hint="eastAsia" w:ascii="微软雅黑" w:hAnsi="微软雅黑" w:eastAsia="微软雅黑" w:cs="微软雅黑"/>
                <w:sz w:val="18"/>
              </w:rPr>
              <w:t>78.35</w:t>
            </w:r>
          </w:p>
        </w:tc>
        <w:tc>
          <w:tcPr>
            <w:tcW w:w="1728" w:type="dxa"/>
          </w:tcPr>
          <w:p w14:paraId="5C2AE77D">
            <w:pPr>
              <w:jc w:val="center"/>
              <w:rPr>
                <w:rFonts w:hint="eastAsia" w:ascii="微软雅黑" w:hAnsi="微软雅黑" w:eastAsia="微软雅黑" w:cs="微软雅黑"/>
              </w:rPr>
            </w:pPr>
            <w:r>
              <w:rPr>
                <w:rFonts w:hint="eastAsia" w:ascii="微软雅黑" w:hAnsi="微软雅黑" w:eastAsia="微软雅黑" w:cs="微软雅黑"/>
                <w:sz w:val="18"/>
              </w:rPr>
              <w:t>66.50</w:t>
            </w:r>
          </w:p>
        </w:tc>
        <w:tc>
          <w:tcPr>
            <w:tcW w:w="1728" w:type="dxa"/>
          </w:tcPr>
          <w:p w14:paraId="46EEE7DE">
            <w:pPr>
              <w:jc w:val="center"/>
              <w:rPr>
                <w:rFonts w:hint="eastAsia" w:ascii="微软雅黑" w:hAnsi="微软雅黑" w:eastAsia="微软雅黑" w:cs="微软雅黑"/>
              </w:rPr>
            </w:pPr>
            <w:r>
              <w:rPr>
                <w:rFonts w:hint="eastAsia" w:ascii="微软雅黑" w:hAnsi="微软雅黑" w:eastAsia="微软雅黑" w:cs="微软雅黑"/>
                <w:sz w:val="18"/>
              </w:rPr>
              <w:t>↓ 11.85</w:t>
            </w:r>
          </w:p>
        </w:tc>
        <w:tc>
          <w:tcPr>
            <w:tcW w:w="1728" w:type="dxa"/>
          </w:tcPr>
          <w:p w14:paraId="223B878F">
            <w:pPr>
              <w:jc w:val="center"/>
              <w:rPr>
                <w:rFonts w:hint="eastAsia" w:ascii="微软雅黑" w:hAnsi="微软雅黑" w:eastAsia="微软雅黑" w:cs="微软雅黑"/>
              </w:rPr>
            </w:pPr>
            <w:r>
              <w:rPr>
                <w:rFonts w:hint="eastAsia" w:ascii="微软雅黑" w:hAnsi="微软雅黑" w:eastAsia="微软雅黑" w:cs="微软雅黑"/>
                <w:sz w:val="18"/>
              </w:rPr>
              <w:t>明显下降</w:t>
            </w:r>
          </w:p>
        </w:tc>
      </w:tr>
      <w:tr w14:paraId="57DA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7213EF3">
            <w:pPr>
              <w:jc w:val="center"/>
              <w:rPr>
                <w:rFonts w:hint="eastAsia" w:ascii="微软雅黑" w:hAnsi="微软雅黑" w:eastAsia="微软雅黑" w:cs="微软雅黑"/>
              </w:rPr>
            </w:pPr>
            <w:r>
              <w:rPr>
                <w:rFonts w:hint="eastAsia" w:ascii="微软雅黑" w:hAnsi="微软雅黑" w:eastAsia="微软雅黑" w:cs="微软雅黑"/>
                <w:sz w:val="18"/>
              </w:rPr>
              <w:t>风险等级</w:t>
            </w:r>
          </w:p>
        </w:tc>
        <w:tc>
          <w:tcPr>
            <w:tcW w:w="1728" w:type="dxa"/>
          </w:tcPr>
          <w:p w14:paraId="35AE2721">
            <w:pPr>
              <w:jc w:val="center"/>
              <w:rPr>
                <w:rFonts w:hint="eastAsia" w:ascii="微软雅黑" w:hAnsi="微软雅黑" w:eastAsia="微软雅黑" w:cs="微软雅黑"/>
              </w:rPr>
            </w:pPr>
            <w:r>
              <w:rPr>
                <w:rFonts w:hint="eastAsia" w:ascii="微软雅黑" w:hAnsi="微软雅黑" w:eastAsia="微软雅黑" w:cs="微软雅黑"/>
                <w:sz w:val="18"/>
              </w:rPr>
              <w:t>中等风险</w:t>
            </w:r>
          </w:p>
        </w:tc>
        <w:tc>
          <w:tcPr>
            <w:tcW w:w="1728" w:type="dxa"/>
          </w:tcPr>
          <w:p w14:paraId="18B7181A">
            <w:pPr>
              <w:jc w:val="center"/>
              <w:rPr>
                <w:rFonts w:hint="eastAsia" w:ascii="微软雅黑" w:hAnsi="微软雅黑" w:eastAsia="微软雅黑" w:cs="微软雅黑"/>
              </w:rPr>
            </w:pPr>
            <w:r>
              <w:rPr>
                <w:rFonts w:hint="eastAsia" w:ascii="微软雅黑" w:hAnsi="微软雅黑" w:eastAsia="微软雅黑" w:cs="微软雅黑"/>
                <w:sz w:val="18"/>
              </w:rPr>
              <w:t>中高风险边缘</w:t>
            </w:r>
          </w:p>
        </w:tc>
        <w:tc>
          <w:tcPr>
            <w:tcW w:w="1728" w:type="dxa"/>
          </w:tcPr>
          <w:p w14:paraId="07EFD129">
            <w:pPr>
              <w:jc w:val="center"/>
              <w:rPr>
                <w:rFonts w:hint="eastAsia" w:ascii="微软雅黑" w:hAnsi="微软雅黑" w:eastAsia="微软雅黑" w:cs="微软雅黑"/>
              </w:rPr>
            </w:pPr>
            <w:r>
              <w:rPr>
                <w:rFonts w:hint="eastAsia" w:ascii="微软雅黑" w:hAnsi="微软雅黑" w:eastAsia="微软雅黑" w:cs="微软雅黑"/>
                <w:sz w:val="18"/>
              </w:rPr>
              <w:t>—</w:t>
            </w:r>
          </w:p>
        </w:tc>
        <w:tc>
          <w:tcPr>
            <w:tcW w:w="1728" w:type="dxa"/>
            <w:shd w:val="clear" w:color="auto" w:fill="F5F5F5"/>
          </w:tcPr>
          <w:p w14:paraId="7E59EBD2">
            <w:pPr>
              <w:jc w:val="center"/>
              <w:rPr>
                <w:rFonts w:hint="eastAsia" w:ascii="微软雅黑" w:hAnsi="微软雅黑" w:eastAsia="微软雅黑" w:cs="微软雅黑"/>
              </w:rPr>
            </w:pPr>
            <w:r>
              <w:rPr>
                <w:rFonts w:hint="eastAsia" w:ascii="微软雅黑" w:hAnsi="微软雅黑" w:eastAsia="微软雅黑" w:cs="微软雅黑"/>
                <w:sz w:val="18"/>
              </w:rPr>
              <w:t>需密切关注</w:t>
            </w:r>
          </w:p>
        </w:tc>
      </w:tr>
    </w:tbl>
    <w:p w14:paraId="0D7F4853">
      <w:pPr>
        <w:rPr>
          <w:rFonts w:hint="eastAsia" w:ascii="微软雅黑" w:hAnsi="微软雅黑" w:eastAsia="微软雅黑" w:cs="微软雅黑"/>
        </w:rPr>
      </w:pPr>
    </w:p>
    <w:p w14:paraId="6781E4E0">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分析表明，资产负债率提高至75%后，Z-Score从3.94下降到3.01，逼近安全区下限（2.99），综合评分下降11.85分。这说明财务杠杆的过度使用会显著推高企业信用风险，银行在审批贷款时需要综合考虑企业的负债水平和偿债能力。</w:t>
      </w:r>
    </w:p>
    <w:p w14:paraId="62FF57EE">
      <w:pPr>
        <w:pStyle w:val="4"/>
        <w:rPr>
          <w:rFonts w:hint="eastAsia" w:ascii="微软雅黑" w:hAnsi="微软雅黑" w:eastAsia="微软雅黑" w:cs="微软雅黑"/>
        </w:rPr>
      </w:pPr>
      <w:r>
        <w:rPr>
          <w:rFonts w:hint="eastAsia" w:ascii="微软雅黑" w:hAnsi="微软雅黑" w:eastAsia="微软雅黑" w:cs="微软雅黑"/>
        </w:rPr>
        <w:t>3.4 银行同业对标分析</w:t>
      </w:r>
    </w:p>
    <w:p w14:paraId="5578740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本拓展实验使用finance-expert Skill对四类不同梯队的商业银行进行经营能力对标分析，旨在通过横向对比理解不同类型银行的差异化经营策略和竞争力来源。</w:t>
      </w:r>
    </w:p>
    <w:p w14:paraId="37D5BE60">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选取以下四家代表性银行（覆盖国有大行、股份制银行、城商行、农商行四种类型）：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ED5B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97D" w:themeFill="text2"/>
            <w:vAlign w:val="center"/>
          </w:tcPr>
          <w:p w14:paraId="304279E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银行</w:t>
            </w:r>
          </w:p>
        </w:tc>
        <w:tc>
          <w:tcPr>
            <w:tcW w:w="2160" w:type="dxa"/>
            <w:shd w:val="clear" w:color="auto" w:fill="1F497D" w:themeFill="text2"/>
            <w:vAlign w:val="center"/>
          </w:tcPr>
          <w:p w14:paraId="58555AA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所属类型</w:t>
            </w:r>
          </w:p>
        </w:tc>
        <w:tc>
          <w:tcPr>
            <w:tcW w:w="2160" w:type="dxa"/>
            <w:shd w:val="clear" w:color="auto" w:fill="1F497D" w:themeFill="text2"/>
            <w:vAlign w:val="center"/>
          </w:tcPr>
          <w:p w14:paraId="3E2448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代表意义</w:t>
            </w:r>
          </w:p>
        </w:tc>
        <w:tc>
          <w:tcPr>
            <w:tcW w:w="2160" w:type="dxa"/>
            <w:shd w:val="clear" w:color="auto" w:fill="1F497D" w:themeFill="text2"/>
            <w:vAlign w:val="center"/>
          </w:tcPr>
          <w:p w14:paraId="6798277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核心标签</w:t>
            </w:r>
          </w:p>
        </w:tc>
      </w:tr>
      <w:tr w14:paraId="20708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986632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工商银行</w:t>
            </w:r>
          </w:p>
        </w:tc>
        <w:tc>
          <w:tcPr>
            <w:tcW w:w="2160" w:type="dxa"/>
            <w:vAlign w:val="center"/>
          </w:tcPr>
          <w:p w14:paraId="4A7A87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大型国有银行</w:t>
            </w:r>
          </w:p>
        </w:tc>
        <w:tc>
          <w:tcPr>
            <w:tcW w:w="2160" w:type="dxa"/>
            <w:vAlign w:val="center"/>
          </w:tcPr>
          <w:p w14:paraId="2A816F7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中国资产规模最大的商业银行</w:t>
            </w:r>
          </w:p>
        </w:tc>
        <w:tc>
          <w:tcPr>
            <w:tcW w:w="2160" w:type="dxa"/>
            <w:vAlign w:val="center"/>
          </w:tcPr>
          <w:p w14:paraId="60DC001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大而稳</w:t>
            </w:r>
          </w:p>
        </w:tc>
      </w:tr>
      <w:tr w14:paraId="2A2E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EDEA30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招商银行</w:t>
            </w:r>
          </w:p>
        </w:tc>
        <w:tc>
          <w:tcPr>
            <w:tcW w:w="2160" w:type="dxa"/>
            <w:vAlign w:val="center"/>
          </w:tcPr>
          <w:p w14:paraId="548B3D6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股份制银行</w:t>
            </w:r>
          </w:p>
        </w:tc>
        <w:tc>
          <w:tcPr>
            <w:tcW w:w="2160" w:type="dxa"/>
            <w:vAlign w:val="center"/>
          </w:tcPr>
          <w:p w14:paraId="1AABA74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零售银行标杆，ROE行业领先</w:t>
            </w:r>
          </w:p>
        </w:tc>
        <w:tc>
          <w:tcPr>
            <w:tcW w:w="2160" w:type="dxa"/>
            <w:vAlign w:val="center"/>
          </w:tcPr>
          <w:p w14:paraId="14F42E4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零售之王</w:t>
            </w:r>
          </w:p>
        </w:tc>
      </w:tr>
      <w:tr w14:paraId="4425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F6D20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北京银行</w:t>
            </w:r>
          </w:p>
        </w:tc>
        <w:tc>
          <w:tcPr>
            <w:tcW w:w="2160" w:type="dxa"/>
            <w:vAlign w:val="center"/>
          </w:tcPr>
          <w:p w14:paraId="49375F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城商行</w:t>
            </w:r>
          </w:p>
        </w:tc>
        <w:tc>
          <w:tcPr>
            <w:tcW w:w="2160" w:type="dxa"/>
            <w:vAlign w:val="center"/>
          </w:tcPr>
          <w:p w14:paraId="79CBE96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资产规模最大的城商行之一</w:t>
            </w:r>
          </w:p>
        </w:tc>
        <w:tc>
          <w:tcPr>
            <w:tcW w:w="2160" w:type="dxa"/>
            <w:vAlign w:val="center"/>
          </w:tcPr>
          <w:p w14:paraId="5D590B9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城商行龙头</w:t>
            </w:r>
          </w:p>
        </w:tc>
      </w:tr>
      <w:tr w14:paraId="4EC7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5149D8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常熟银行</w:t>
            </w:r>
          </w:p>
        </w:tc>
        <w:tc>
          <w:tcPr>
            <w:tcW w:w="2160" w:type="dxa"/>
            <w:vAlign w:val="center"/>
          </w:tcPr>
          <w:p w14:paraId="261BFB4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农商行</w:t>
            </w:r>
          </w:p>
        </w:tc>
        <w:tc>
          <w:tcPr>
            <w:tcW w:w="2160" w:type="dxa"/>
            <w:vAlign w:val="center"/>
          </w:tcPr>
          <w:p w14:paraId="2547466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小微金融标杆，下沉市场典范</w:t>
            </w:r>
          </w:p>
        </w:tc>
        <w:tc>
          <w:tcPr>
            <w:tcW w:w="2160" w:type="dxa"/>
            <w:shd w:val="clear" w:color="auto" w:fill="F5F5F5"/>
            <w:vAlign w:val="center"/>
          </w:tcPr>
          <w:p w14:paraId="70B7942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小而美</w:t>
            </w:r>
          </w:p>
        </w:tc>
      </w:tr>
    </w:tbl>
    <w:p w14:paraId="77D9C83A">
      <w:pPr>
        <w:rPr>
          <w:rFonts w:hint="eastAsia" w:ascii="微软雅黑" w:hAnsi="微软雅黑" w:eastAsia="微软雅黑" w:cs="微软雅黑"/>
        </w:rPr>
      </w:pPr>
    </w:p>
    <w:p w14:paraId="64FC250A">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四维经营能力对比分析（基于2024年年报数据）：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12ED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F497D" w:themeFill="text2"/>
            <w:vAlign w:val="center"/>
          </w:tcPr>
          <w:p w14:paraId="39469C3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维度</w:t>
            </w:r>
          </w:p>
        </w:tc>
        <w:tc>
          <w:tcPr>
            <w:tcW w:w="1440" w:type="dxa"/>
            <w:shd w:val="clear" w:color="auto" w:fill="1F497D" w:themeFill="text2"/>
            <w:vAlign w:val="center"/>
          </w:tcPr>
          <w:p w14:paraId="5822396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指标</w:t>
            </w:r>
          </w:p>
        </w:tc>
        <w:tc>
          <w:tcPr>
            <w:tcW w:w="1440" w:type="dxa"/>
            <w:shd w:val="clear" w:color="auto" w:fill="1F497D" w:themeFill="text2"/>
            <w:vAlign w:val="center"/>
          </w:tcPr>
          <w:p w14:paraId="6E2D9FC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工商银行</w:t>
            </w:r>
          </w:p>
        </w:tc>
        <w:tc>
          <w:tcPr>
            <w:tcW w:w="1440" w:type="dxa"/>
            <w:shd w:val="clear" w:color="auto" w:fill="1F497D" w:themeFill="text2"/>
            <w:vAlign w:val="center"/>
          </w:tcPr>
          <w:p w14:paraId="506D35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招商银行</w:t>
            </w:r>
          </w:p>
        </w:tc>
        <w:tc>
          <w:tcPr>
            <w:tcW w:w="1440" w:type="dxa"/>
            <w:shd w:val="clear" w:color="auto" w:fill="1F497D" w:themeFill="text2"/>
            <w:vAlign w:val="center"/>
          </w:tcPr>
          <w:p w14:paraId="418DF1D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北京银行</w:t>
            </w:r>
          </w:p>
        </w:tc>
        <w:tc>
          <w:tcPr>
            <w:tcW w:w="1440" w:type="dxa"/>
            <w:shd w:val="clear" w:color="auto" w:fill="1F497D" w:themeFill="text2"/>
            <w:vAlign w:val="center"/>
          </w:tcPr>
          <w:p w14:paraId="4407EF4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常熟银行</w:t>
            </w:r>
          </w:p>
        </w:tc>
      </w:tr>
      <w:tr w14:paraId="7622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5ECA67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盈利能力</w:t>
            </w:r>
          </w:p>
        </w:tc>
        <w:tc>
          <w:tcPr>
            <w:tcW w:w="1440" w:type="dxa"/>
            <w:vAlign w:val="center"/>
          </w:tcPr>
          <w:p w14:paraId="43FE8F9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ROE</w:t>
            </w:r>
          </w:p>
        </w:tc>
        <w:tc>
          <w:tcPr>
            <w:tcW w:w="1440" w:type="dxa"/>
            <w:vAlign w:val="center"/>
          </w:tcPr>
          <w:p w14:paraId="5E5ED5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10.33%</w:t>
            </w:r>
          </w:p>
        </w:tc>
        <w:tc>
          <w:tcPr>
            <w:tcW w:w="1440" w:type="dxa"/>
            <w:vAlign w:val="center"/>
          </w:tcPr>
          <w:p w14:paraId="5A2FBA0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15.52%</w:t>
            </w:r>
          </w:p>
        </w:tc>
        <w:tc>
          <w:tcPr>
            <w:tcW w:w="1440" w:type="dxa"/>
            <w:vAlign w:val="center"/>
          </w:tcPr>
          <w:p w14:paraId="133A79B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9.21%</w:t>
            </w:r>
          </w:p>
        </w:tc>
        <w:tc>
          <w:tcPr>
            <w:tcW w:w="1440" w:type="dxa"/>
            <w:vAlign w:val="center"/>
          </w:tcPr>
          <w:p w14:paraId="45475DD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12.78%</w:t>
            </w:r>
          </w:p>
        </w:tc>
      </w:tr>
      <w:tr w14:paraId="5C0D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963E80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p>
        </w:tc>
        <w:tc>
          <w:tcPr>
            <w:tcW w:w="1440" w:type="dxa"/>
            <w:vAlign w:val="center"/>
          </w:tcPr>
          <w:p w14:paraId="21E822E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净息差(NIM)</w:t>
            </w:r>
          </w:p>
        </w:tc>
        <w:tc>
          <w:tcPr>
            <w:tcW w:w="1440" w:type="dxa"/>
            <w:vAlign w:val="center"/>
          </w:tcPr>
          <w:p w14:paraId="10B85B0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1.45%</w:t>
            </w:r>
          </w:p>
        </w:tc>
        <w:tc>
          <w:tcPr>
            <w:tcW w:w="1440" w:type="dxa"/>
            <w:vAlign w:val="center"/>
          </w:tcPr>
          <w:p w14:paraId="74F9CC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1.95%</w:t>
            </w:r>
          </w:p>
        </w:tc>
        <w:tc>
          <w:tcPr>
            <w:tcW w:w="1440" w:type="dxa"/>
            <w:vAlign w:val="center"/>
          </w:tcPr>
          <w:p w14:paraId="1AA7B1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1.65%</w:t>
            </w:r>
          </w:p>
        </w:tc>
        <w:tc>
          <w:tcPr>
            <w:tcW w:w="1440" w:type="dxa"/>
            <w:vAlign w:val="center"/>
          </w:tcPr>
          <w:p w14:paraId="24B6330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2.85%</w:t>
            </w:r>
          </w:p>
        </w:tc>
      </w:tr>
      <w:tr w14:paraId="3CA0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B2E109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资产质量</w:t>
            </w:r>
          </w:p>
        </w:tc>
        <w:tc>
          <w:tcPr>
            <w:tcW w:w="1440" w:type="dxa"/>
            <w:vAlign w:val="center"/>
          </w:tcPr>
          <w:p w14:paraId="2F720BD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不良贷款率</w:t>
            </w:r>
          </w:p>
        </w:tc>
        <w:tc>
          <w:tcPr>
            <w:tcW w:w="1440" w:type="dxa"/>
            <w:vAlign w:val="center"/>
          </w:tcPr>
          <w:p w14:paraId="3363B99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1.35%</w:t>
            </w:r>
          </w:p>
        </w:tc>
        <w:tc>
          <w:tcPr>
            <w:tcW w:w="1440" w:type="dxa"/>
            <w:vAlign w:val="center"/>
          </w:tcPr>
          <w:p w14:paraId="4AB4206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0.95%</w:t>
            </w:r>
          </w:p>
        </w:tc>
        <w:tc>
          <w:tcPr>
            <w:tcW w:w="1440" w:type="dxa"/>
            <w:vAlign w:val="center"/>
          </w:tcPr>
          <w:p w14:paraId="06012D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1.32%</w:t>
            </w:r>
          </w:p>
        </w:tc>
        <w:tc>
          <w:tcPr>
            <w:tcW w:w="1440" w:type="dxa"/>
            <w:vAlign w:val="center"/>
          </w:tcPr>
          <w:p w14:paraId="22C4898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0.75%</w:t>
            </w:r>
          </w:p>
        </w:tc>
      </w:tr>
      <w:tr w14:paraId="38B9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EA7E4E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p>
        </w:tc>
        <w:tc>
          <w:tcPr>
            <w:tcW w:w="1440" w:type="dxa"/>
            <w:vAlign w:val="center"/>
          </w:tcPr>
          <w:p w14:paraId="1DCBDA5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拨备覆盖率</w:t>
            </w:r>
          </w:p>
        </w:tc>
        <w:tc>
          <w:tcPr>
            <w:tcW w:w="1440" w:type="dxa"/>
            <w:vAlign w:val="center"/>
          </w:tcPr>
          <w:p w14:paraId="49C1A36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210.4%</w:t>
            </w:r>
          </w:p>
        </w:tc>
        <w:tc>
          <w:tcPr>
            <w:tcW w:w="1440" w:type="dxa"/>
            <w:vAlign w:val="center"/>
          </w:tcPr>
          <w:p w14:paraId="4D3F087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421.8%</w:t>
            </w:r>
          </w:p>
        </w:tc>
        <w:tc>
          <w:tcPr>
            <w:tcW w:w="1440" w:type="dxa"/>
            <w:vAlign w:val="center"/>
          </w:tcPr>
          <w:p w14:paraId="10E41A6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215.3%</w:t>
            </w:r>
          </w:p>
        </w:tc>
        <w:tc>
          <w:tcPr>
            <w:tcW w:w="1440" w:type="dxa"/>
            <w:vAlign w:val="center"/>
          </w:tcPr>
          <w:p w14:paraId="37BDC5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483.6%</w:t>
            </w:r>
          </w:p>
        </w:tc>
      </w:tr>
      <w:tr w14:paraId="147A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FAB154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成长性</w:t>
            </w:r>
          </w:p>
        </w:tc>
        <w:tc>
          <w:tcPr>
            <w:tcW w:w="1440" w:type="dxa"/>
            <w:vAlign w:val="center"/>
          </w:tcPr>
          <w:p w14:paraId="2F496D7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营收增速</w:t>
            </w:r>
          </w:p>
        </w:tc>
        <w:tc>
          <w:tcPr>
            <w:tcW w:w="1440" w:type="dxa"/>
            <w:vAlign w:val="center"/>
          </w:tcPr>
          <w:p w14:paraId="6DB62AA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2.52%</w:t>
            </w:r>
          </w:p>
        </w:tc>
        <w:tc>
          <w:tcPr>
            <w:tcW w:w="1440" w:type="dxa"/>
            <w:vAlign w:val="center"/>
          </w:tcPr>
          <w:p w14:paraId="21BB2EB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3.02%</w:t>
            </w:r>
          </w:p>
        </w:tc>
        <w:tc>
          <w:tcPr>
            <w:tcW w:w="1440" w:type="dxa"/>
            <w:vAlign w:val="center"/>
          </w:tcPr>
          <w:p w14:paraId="4B5332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4.48%</w:t>
            </w:r>
          </w:p>
        </w:tc>
        <w:tc>
          <w:tcPr>
            <w:tcW w:w="1440" w:type="dxa"/>
            <w:vAlign w:val="center"/>
          </w:tcPr>
          <w:p w14:paraId="2A9AA55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8.52%</w:t>
            </w:r>
          </w:p>
        </w:tc>
      </w:tr>
      <w:tr w14:paraId="40E5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CCC585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p>
        </w:tc>
        <w:tc>
          <w:tcPr>
            <w:tcW w:w="1440" w:type="dxa"/>
            <w:vAlign w:val="center"/>
          </w:tcPr>
          <w:p w14:paraId="01DCA72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净利润增速</w:t>
            </w:r>
          </w:p>
        </w:tc>
        <w:tc>
          <w:tcPr>
            <w:tcW w:w="1440" w:type="dxa"/>
            <w:vAlign w:val="center"/>
          </w:tcPr>
          <w:p w14:paraId="4C09A0C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1.82%</w:t>
            </w:r>
          </w:p>
        </w:tc>
        <w:tc>
          <w:tcPr>
            <w:tcW w:w="1440" w:type="dxa"/>
            <w:vAlign w:val="center"/>
          </w:tcPr>
          <w:p w14:paraId="0CF02BE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2.48%</w:t>
            </w:r>
          </w:p>
        </w:tc>
        <w:tc>
          <w:tcPr>
            <w:tcW w:w="1440" w:type="dxa"/>
            <w:vAlign w:val="center"/>
          </w:tcPr>
          <w:p w14:paraId="340DAAD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3.21%</w:t>
            </w:r>
          </w:p>
        </w:tc>
        <w:tc>
          <w:tcPr>
            <w:tcW w:w="1440" w:type="dxa"/>
            <w:shd w:val="clear" w:color="auto" w:fill="F5F5F5"/>
            <w:vAlign w:val="center"/>
          </w:tcPr>
          <w:p w14:paraId="63E5FD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12.03%</w:t>
            </w:r>
          </w:p>
        </w:tc>
      </w:tr>
    </w:tbl>
    <w:p w14:paraId="0C9B0A48">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ascii="微软雅黑" w:hAnsi="微软雅黑" w:eastAsia="微软雅黑" w:cs="微软雅黑"/>
        </w:rPr>
      </w:pPr>
      <w:r>
        <w:rPr>
          <w:rFonts w:hint="eastAsia" w:ascii="微软雅黑" w:hAnsi="微软雅黑" w:eastAsia="微软雅黑" w:cs="微软雅黑"/>
          <w:b w:val="0"/>
          <w:sz w:val="22"/>
        </w:rPr>
        <w:t>综合评分排名：常熟银行（8.33）&gt; 招商银行（8.00）&gt; 工商银行（7.03）&gt; 北京银行（6.38）。</w:t>
      </w:r>
    </w:p>
    <w:p w14:paraId="14E9AF78">
      <w:pPr>
        <w:keepNext w:val="0"/>
        <w:keepLines w:val="0"/>
        <w:pageBreakBefore w:val="0"/>
        <w:widowControl/>
        <w:kinsoku/>
        <w:wordWrap/>
        <w:overflowPunct/>
        <w:topLinePunct w:val="0"/>
        <w:autoSpaceDE/>
        <w:autoSpaceDN/>
        <w:bidi w:val="0"/>
        <w:adjustRightInd/>
        <w:snapToGrid/>
        <w:ind w:firstLine="440" w:firstLineChars="200"/>
        <w:jc w:val="both"/>
        <w:textAlignment w:val="auto"/>
        <w:rPr>
          <w:rFonts w:hint="eastAsia" w:ascii="微软雅黑" w:hAnsi="微软雅黑" w:eastAsia="微软雅黑" w:cs="微软雅黑"/>
        </w:rPr>
      </w:pPr>
      <w:r>
        <w:rPr>
          <w:rFonts w:hint="eastAsia" w:ascii="微软雅黑" w:hAnsi="微软雅黑" w:eastAsia="微软雅黑" w:cs="微软雅黑"/>
          <w:b w:val="0"/>
          <w:sz w:val="22"/>
        </w:rPr>
        <w:t>核心发现：常熟银行以净息差2.85%、不良率0.75%、净利润增速12.03%三项指标领跑，展现了"小而美"的下沉市场优势；招商银行ROE 15.52%居首，六维均衡；工商银行资本充足率18.54%冠绝同业但成长性偏弱；北京银行各项指标处于中间位置，"中间层困境"较为明显。</w:t>
      </w:r>
    </w:p>
    <w:p w14:paraId="25733162">
      <w:pPr>
        <w:pStyle w:val="4"/>
        <w:rPr>
          <w:rFonts w:hint="eastAsia" w:ascii="微软雅黑" w:hAnsi="微软雅黑" w:eastAsia="微软雅黑" w:cs="微软雅黑"/>
        </w:rPr>
      </w:pPr>
      <w:r>
        <w:rPr>
          <w:rFonts w:hint="eastAsia" w:ascii="微软雅黑" w:hAnsi="微软雅黑" w:eastAsia="微软雅黑" w:cs="微软雅黑"/>
        </w:rPr>
        <w:t>3.5 xlsx Skill — 贷款FTP定价模型</w:t>
      </w:r>
    </w:p>
    <w:p w14:paraId="7B62D9F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本实验使用xlsx Skill构建一个完整的贷款FTP定价模型。FTP（Funds Transfer Pricing，内部资金转移定价）是商业银行内部资金管理的核心机制，贷款利率公式为：贷款利率 = FTP资金成本 + 风险溢价 + 运营成本 + 资本占用成本 + 目标利润。</w:t>
      </w:r>
    </w:p>
    <w:p w14:paraId="64A6F50B">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模型包含三张Sheet，形成"参数设定→客户定价→敏感性分析"的完整数据流水线：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9B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97D" w:themeFill="text2"/>
            <w:vAlign w:val="center"/>
          </w:tcPr>
          <w:p w14:paraId="1BD1EAB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Sheet</w:t>
            </w:r>
          </w:p>
        </w:tc>
        <w:tc>
          <w:tcPr>
            <w:tcW w:w="2880" w:type="dxa"/>
            <w:shd w:val="clear" w:color="auto" w:fill="1F497D" w:themeFill="text2"/>
            <w:vAlign w:val="center"/>
          </w:tcPr>
          <w:p w14:paraId="25F037A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功能</w:t>
            </w:r>
          </w:p>
        </w:tc>
        <w:tc>
          <w:tcPr>
            <w:tcW w:w="2880" w:type="dxa"/>
            <w:shd w:val="clear" w:color="auto" w:fill="1F497D" w:themeFill="text2"/>
            <w:vAlign w:val="center"/>
          </w:tcPr>
          <w:p w14:paraId="7275DCF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核心内容</w:t>
            </w:r>
          </w:p>
        </w:tc>
      </w:tr>
      <w:tr w14:paraId="1BC9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2DDCDF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Sheet1: 定价参数</w:t>
            </w:r>
          </w:p>
        </w:tc>
        <w:tc>
          <w:tcPr>
            <w:tcW w:w="2880" w:type="dxa"/>
            <w:vAlign w:val="center"/>
          </w:tcPr>
          <w:p w14:paraId="211FF4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存放所有基础变量</w:t>
            </w:r>
          </w:p>
        </w:tc>
        <w:tc>
          <w:tcPr>
            <w:tcW w:w="2880" w:type="dxa"/>
            <w:vAlign w:val="center"/>
          </w:tcPr>
          <w:p w14:paraId="2698069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FTP（1年/3年）、5档风险溢价、运营成本、资本占用成本率、目标利润</w:t>
            </w:r>
          </w:p>
        </w:tc>
      </w:tr>
      <w:tr w14:paraId="6EB6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18C3C8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Sheet2: 客户定价</w:t>
            </w:r>
          </w:p>
        </w:tc>
        <w:tc>
          <w:tcPr>
            <w:tcW w:w="2880" w:type="dxa"/>
            <w:vAlign w:val="center"/>
          </w:tcPr>
          <w:p w14:paraId="35ED7D6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5位客户报价计算</w:t>
            </w:r>
          </w:p>
        </w:tc>
        <w:tc>
          <w:tcPr>
            <w:tcW w:w="2880" w:type="dxa"/>
            <w:shd w:val="clear" w:color="auto" w:fill="F5F5F5"/>
            <w:vAlign w:val="center"/>
          </w:tcPr>
          <w:p w14:paraId="743F0C6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使用VLOOKUP查风险溢价、IF期限匹配FTP，SUM求和最终利率</w:t>
            </w:r>
          </w:p>
        </w:tc>
      </w:tr>
      <w:tr w14:paraId="754F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A28EA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Sheet3: 敏感性分析</w:t>
            </w:r>
          </w:p>
        </w:tc>
        <w:tc>
          <w:tcPr>
            <w:tcW w:w="2880" w:type="dxa"/>
            <w:vAlign w:val="center"/>
          </w:tcPr>
          <w:p w14:paraId="695850C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双因素场景推演</w:t>
            </w:r>
          </w:p>
        </w:tc>
        <w:tc>
          <w:tcPr>
            <w:tcW w:w="2880" w:type="dxa"/>
            <w:vAlign w:val="center"/>
          </w:tcPr>
          <w:p w14:paraId="4DAAC7D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FTP±20bp + 信用等级升降各一级，条件格式标注风险程度</w:t>
            </w:r>
          </w:p>
        </w:tc>
      </w:tr>
    </w:tbl>
    <w:p w14:paraId="30B536B5">
      <w:pPr>
        <w:rPr>
          <w:rFonts w:hint="eastAsia" w:ascii="微软雅黑" w:hAnsi="微软雅黑" w:eastAsia="微软雅黑" w:cs="微软雅黑"/>
        </w:rPr>
      </w:pPr>
    </w:p>
    <w:p w14:paraId="0D2206C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Excel公式实现（使用公式不硬编码）：</w:t>
      </w:r>
    </w:p>
    <w:p w14:paraId="328B2037">
      <w:pPr>
        <w:shd w:val="clear" w:fill="F2F2F2"/>
        <w:spacing w:before="80" w:after="80"/>
        <w:ind w:left="454"/>
        <w:rPr>
          <w:rFonts w:hint="eastAsia" w:ascii="微软雅黑" w:hAnsi="微软雅黑" w:eastAsia="微软雅黑" w:cs="微软雅黑"/>
        </w:rPr>
      </w:pPr>
      <w:r>
        <w:rPr>
          <w:rFonts w:hint="eastAsia" w:ascii="微软雅黑" w:hAnsi="微软雅黑" w:eastAsia="微软雅黑" w:cs="微软雅黑"/>
          <w:color w:val="2D2D2D"/>
          <w:sz w:val="17"/>
        </w:rPr>
        <w:t>// Sheet1: 资本占用成本率</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=B22*B23*B24  →  1.0 × 12.5% × 12% = 1.50%</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Sheet2: FTP自动匹配（按期限）</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=IF(C4=1, 定价参数!B5, 定价参数!B6)</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Sheet2: 风险溢价VLOOKUP</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=VLOOKUP(D4, 定价参数!$A$10:$B$14, 2, FALSE)</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Sheet2: 最终利率</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=F4+G4+H4+I4+J4  (FTP+风险溢价+运营0.4%+资本1.5%+利润0.2%）</w:t>
      </w:r>
    </w:p>
    <w:p w14:paraId="073E04BD">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五类客户定价计算结果：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0"/>
        <w:gridCol w:w="1080"/>
        <w:gridCol w:w="603"/>
        <w:gridCol w:w="1223"/>
        <w:gridCol w:w="1045"/>
        <w:gridCol w:w="1044"/>
        <w:gridCol w:w="1485"/>
      </w:tblGrid>
      <w:tr w14:paraId="61AA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1F497D" w:themeFill="text2"/>
            <w:vAlign w:val="center"/>
          </w:tcPr>
          <w:p w14:paraId="6F6AA085">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客户</w:t>
            </w:r>
          </w:p>
        </w:tc>
        <w:tc>
          <w:tcPr>
            <w:tcW w:w="1080" w:type="dxa"/>
            <w:shd w:val="clear" w:color="auto" w:fill="1F497D" w:themeFill="text2"/>
            <w:vAlign w:val="center"/>
          </w:tcPr>
          <w:p w14:paraId="505A858C">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金额(万)</w:t>
            </w:r>
          </w:p>
        </w:tc>
        <w:tc>
          <w:tcPr>
            <w:tcW w:w="1080" w:type="dxa"/>
            <w:shd w:val="clear" w:color="auto" w:fill="1F497D" w:themeFill="text2"/>
            <w:vAlign w:val="center"/>
          </w:tcPr>
          <w:p w14:paraId="0FB530EF">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期限</w:t>
            </w:r>
          </w:p>
        </w:tc>
        <w:tc>
          <w:tcPr>
            <w:tcW w:w="603" w:type="dxa"/>
            <w:shd w:val="clear" w:color="auto" w:fill="1F497D" w:themeFill="text2"/>
            <w:vAlign w:val="center"/>
          </w:tcPr>
          <w:p w14:paraId="17D12774">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等级</w:t>
            </w:r>
          </w:p>
        </w:tc>
        <w:tc>
          <w:tcPr>
            <w:tcW w:w="1223" w:type="dxa"/>
            <w:shd w:val="clear" w:color="auto" w:fill="1F497D" w:themeFill="text2"/>
            <w:vAlign w:val="center"/>
          </w:tcPr>
          <w:p w14:paraId="5DE63F53">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FTP</w:t>
            </w:r>
          </w:p>
        </w:tc>
        <w:tc>
          <w:tcPr>
            <w:tcW w:w="1045" w:type="dxa"/>
            <w:shd w:val="clear" w:color="auto" w:fill="1F497D" w:themeFill="text2"/>
            <w:vAlign w:val="center"/>
          </w:tcPr>
          <w:p w14:paraId="319DCF66">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风险溢价</w:t>
            </w:r>
          </w:p>
        </w:tc>
        <w:tc>
          <w:tcPr>
            <w:tcW w:w="1044" w:type="dxa"/>
            <w:shd w:val="clear" w:color="auto" w:fill="1F497D" w:themeFill="text2"/>
            <w:vAlign w:val="center"/>
          </w:tcPr>
          <w:p w14:paraId="3F6A7427">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最终利率</w:t>
            </w:r>
          </w:p>
        </w:tc>
        <w:tc>
          <w:tcPr>
            <w:tcW w:w="1485" w:type="dxa"/>
            <w:shd w:val="clear" w:color="auto" w:fill="1F497D" w:themeFill="text2"/>
            <w:vAlign w:val="center"/>
          </w:tcPr>
          <w:p w14:paraId="391C632D">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条件格式</w:t>
            </w:r>
          </w:p>
        </w:tc>
      </w:tr>
      <w:tr w14:paraId="11D0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B43ADD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华新科技</w:t>
            </w:r>
          </w:p>
        </w:tc>
        <w:tc>
          <w:tcPr>
            <w:tcW w:w="1080" w:type="dxa"/>
            <w:vAlign w:val="center"/>
          </w:tcPr>
          <w:p w14:paraId="2043141C">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1,000</w:t>
            </w:r>
          </w:p>
        </w:tc>
        <w:tc>
          <w:tcPr>
            <w:tcW w:w="1080" w:type="dxa"/>
            <w:vAlign w:val="center"/>
          </w:tcPr>
          <w:p w14:paraId="5CEFC459">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1年</w:t>
            </w:r>
          </w:p>
        </w:tc>
        <w:tc>
          <w:tcPr>
            <w:tcW w:w="603" w:type="dxa"/>
            <w:vAlign w:val="center"/>
          </w:tcPr>
          <w:p w14:paraId="5CBC0D6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AA</w:t>
            </w:r>
          </w:p>
        </w:tc>
        <w:tc>
          <w:tcPr>
            <w:tcW w:w="1223" w:type="dxa"/>
            <w:vAlign w:val="center"/>
          </w:tcPr>
          <w:p w14:paraId="3304B8A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2.80%</w:t>
            </w:r>
          </w:p>
        </w:tc>
        <w:tc>
          <w:tcPr>
            <w:tcW w:w="1045" w:type="dxa"/>
            <w:vAlign w:val="center"/>
          </w:tcPr>
          <w:p w14:paraId="56D3888D">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0.60%</w:t>
            </w:r>
          </w:p>
        </w:tc>
        <w:tc>
          <w:tcPr>
            <w:tcW w:w="1044" w:type="dxa"/>
            <w:vAlign w:val="center"/>
          </w:tcPr>
          <w:p w14:paraId="1C05AC86">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5.50%</w:t>
            </w:r>
          </w:p>
        </w:tc>
        <w:tc>
          <w:tcPr>
            <w:tcW w:w="1485" w:type="dxa"/>
            <w:vAlign w:val="center"/>
          </w:tcPr>
          <w:p w14:paraId="02247CD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 黄(4-6%)</w:t>
            </w:r>
          </w:p>
        </w:tc>
      </w:tr>
      <w:tr w14:paraId="68D9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74960E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恒达机械</w:t>
            </w:r>
          </w:p>
        </w:tc>
        <w:tc>
          <w:tcPr>
            <w:tcW w:w="1080" w:type="dxa"/>
            <w:vAlign w:val="center"/>
          </w:tcPr>
          <w:p w14:paraId="0896C32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500</w:t>
            </w:r>
          </w:p>
        </w:tc>
        <w:tc>
          <w:tcPr>
            <w:tcW w:w="1080" w:type="dxa"/>
            <w:vAlign w:val="center"/>
          </w:tcPr>
          <w:p w14:paraId="06E57B4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1年</w:t>
            </w:r>
          </w:p>
        </w:tc>
        <w:tc>
          <w:tcPr>
            <w:tcW w:w="603" w:type="dxa"/>
            <w:vAlign w:val="center"/>
          </w:tcPr>
          <w:p w14:paraId="34A14389">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A</w:t>
            </w:r>
          </w:p>
        </w:tc>
        <w:tc>
          <w:tcPr>
            <w:tcW w:w="1223" w:type="dxa"/>
            <w:vAlign w:val="center"/>
          </w:tcPr>
          <w:p w14:paraId="3C38F0E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2.80%</w:t>
            </w:r>
          </w:p>
        </w:tc>
        <w:tc>
          <w:tcPr>
            <w:tcW w:w="1045" w:type="dxa"/>
            <w:vAlign w:val="center"/>
          </w:tcPr>
          <w:p w14:paraId="20F52AF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1.00%</w:t>
            </w:r>
          </w:p>
        </w:tc>
        <w:tc>
          <w:tcPr>
            <w:tcW w:w="1044" w:type="dxa"/>
            <w:vAlign w:val="center"/>
          </w:tcPr>
          <w:p w14:paraId="23FE6131">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5.90%</w:t>
            </w:r>
          </w:p>
        </w:tc>
        <w:tc>
          <w:tcPr>
            <w:tcW w:w="1485" w:type="dxa"/>
            <w:vAlign w:val="center"/>
          </w:tcPr>
          <w:p w14:paraId="0136B482">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 黄(4-6%)</w:t>
            </w:r>
          </w:p>
        </w:tc>
      </w:tr>
      <w:tr w14:paraId="388D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A8C79AE">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瑞丰地产</w:t>
            </w:r>
          </w:p>
        </w:tc>
        <w:tc>
          <w:tcPr>
            <w:tcW w:w="1080" w:type="dxa"/>
            <w:vAlign w:val="center"/>
          </w:tcPr>
          <w:p w14:paraId="5C0D9FE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2,000</w:t>
            </w:r>
          </w:p>
        </w:tc>
        <w:tc>
          <w:tcPr>
            <w:tcW w:w="1080" w:type="dxa"/>
            <w:vAlign w:val="center"/>
          </w:tcPr>
          <w:p w14:paraId="4C9F258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3年</w:t>
            </w:r>
          </w:p>
        </w:tc>
        <w:tc>
          <w:tcPr>
            <w:tcW w:w="603" w:type="dxa"/>
            <w:vAlign w:val="center"/>
          </w:tcPr>
          <w:p w14:paraId="74C9D0E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A</w:t>
            </w:r>
          </w:p>
        </w:tc>
        <w:tc>
          <w:tcPr>
            <w:tcW w:w="1223" w:type="dxa"/>
            <w:vAlign w:val="center"/>
          </w:tcPr>
          <w:p w14:paraId="1F0B20CC">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3.20%</w:t>
            </w:r>
          </w:p>
        </w:tc>
        <w:tc>
          <w:tcPr>
            <w:tcW w:w="1045" w:type="dxa"/>
            <w:vAlign w:val="center"/>
          </w:tcPr>
          <w:p w14:paraId="3ECE2CB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1.00%</w:t>
            </w:r>
          </w:p>
        </w:tc>
        <w:tc>
          <w:tcPr>
            <w:tcW w:w="1044" w:type="dxa"/>
            <w:vAlign w:val="center"/>
          </w:tcPr>
          <w:p w14:paraId="5BB96A2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6.30%</w:t>
            </w:r>
          </w:p>
        </w:tc>
        <w:tc>
          <w:tcPr>
            <w:tcW w:w="1485" w:type="dxa"/>
            <w:vAlign w:val="center"/>
          </w:tcPr>
          <w:p w14:paraId="73896CA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 红(&gt;6%)</w:t>
            </w:r>
          </w:p>
        </w:tc>
      </w:tr>
      <w:tr w14:paraId="0AFEB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FA8E90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绿源农业</w:t>
            </w:r>
          </w:p>
        </w:tc>
        <w:tc>
          <w:tcPr>
            <w:tcW w:w="1080" w:type="dxa"/>
            <w:vAlign w:val="center"/>
          </w:tcPr>
          <w:p w14:paraId="68D7F8F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200</w:t>
            </w:r>
          </w:p>
        </w:tc>
        <w:tc>
          <w:tcPr>
            <w:tcW w:w="1080" w:type="dxa"/>
            <w:vAlign w:val="center"/>
          </w:tcPr>
          <w:p w14:paraId="1DAF87EC">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3年</w:t>
            </w:r>
          </w:p>
        </w:tc>
        <w:tc>
          <w:tcPr>
            <w:tcW w:w="603" w:type="dxa"/>
            <w:vAlign w:val="center"/>
          </w:tcPr>
          <w:p w14:paraId="251176A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BBB</w:t>
            </w:r>
          </w:p>
        </w:tc>
        <w:tc>
          <w:tcPr>
            <w:tcW w:w="1223" w:type="dxa"/>
            <w:vAlign w:val="center"/>
          </w:tcPr>
          <w:p w14:paraId="3C7FF62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3.20%</w:t>
            </w:r>
          </w:p>
        </w:tc>
        <w:tc>
          <w:tcPr>
            <w:tcW w:w="1045" w:type="dxa"/>
            <w:vAlign w:val="center"/>
          </w:tcPr>
          <w:p w14:paraId="3D1A89E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1.80%</w:t>
            </w:r>
          </w:p>
        </w:tc>
        <w:tc>
          <w:tcPr>
            <w:tcW w:w="1044" w:type="dxa"/>
            <w:vAlign w:val="center"/>
          </w:tcPr>
          <w:p w14:paraId="4668F8F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7.10%</w:t>
            </w:r>
          </w:p>
        </w:tc>
        <w:tc>
          <w:tcPr>
            <w:tcW w:w="1485" w:type="dxa"/>
            <w:shd w:val="clear" w:color="auto" w:fill="F5F5F5"/>
            <w:vAlign w:val="center"/>
          </w:tcPr>
          <w:p w14:paraId="76AB2F5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 红(&gt;6%)</w:t>
            </w:r>
          </w:p>
        </w:tc>
      </w:tr>
      <w:tr w14:paraId="1B86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D64B2B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鑫达贸易</w:t>
            </w:r>
          </w:p>
        </w:tc>
        <w:tc>
          <w:tcPr>
            <w:tcW w:w="1080" w:type="dxa"/>
            <w:vAlign w:val="center"/>
          </w:tcPr>
          <w:p w14:paraId="59D313D2">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300</w:t>
            </w:r>
          </w:p>
        </w:tc>
        <w:tc>
          <w:tcPr>
            <w:tcW w:w="1080" w:type="dxa"/>
            <w:vAlign w:val="center"/>
          </w:tcPr>
          <w:p w14:paraId="08DC5AA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1年</w:t>
            </w:r>
          </w:p>
        </w:tc>
        <w:tc>
          <w:tcPr>
            <w:tcW w:w="603" w:type="dxa"/>
            <w:vAlign w:val="center"/>
          </w:tcPr>
          <w:p w14:paraId="2255E6FF">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BB</w:t>
            </w:r>
          </w:p>
        </w:tc>
        <w:tc>
          <w:tcPr>
            <w:tcW w:w="1223" w:type="dxa"/>
            <w:vAlign w:val="center"/>
          </w:tcPr>
          <w:p w14:paraId="39A437F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2.80%</w:t>
            </w:r>
          </w:p>
        </w:tc>
        <w:tc>
          <w:tcPr>
            <w:tcW w:w="1045" w:type="dxa"/>
            <w:vAlign w:val="center"/>
          </w:tcPr>
          <w:p w14:paraId="02695A6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3.00%</w:t>
            </w:r>
          </w:p>
        </w:tc>
        <w:tc>
          <w:tcPr>
            <w:tcW w:w="1044" w:type="dxa"/>
            <w:vAlign w:val="center"/>
          </w:tcPr>
          <w:p w14:paraId="5B8E3D12">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7.90%</w:t>
            </w:r>
          </w:p>
        </w:tc>
        <w:tc>
          <w:tcPr>
            <w:tcW w:w="1485" w:type="dxa"/>
            <w:vAlign w:val="center"/>
          </w:tcPr>
          <w:p w14:paraId="75F48645">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 红(&gt;6%)</w:t>
            </w:r>
          </w:p>
        </w:tc>
      </w:tr>
    </w:tbl>
    <w:p w14:paraId="5D3E127B">
      <w:pPr>
        <w:rPr>
          <w:rFonts w:hint="eastAsia" w:ascii="微软雅黑" w:hAnsi="微软雅黑" w:eastAsia="微软雅黑" w:cs="微软雅黑"/>
        </w:rPr>
      </w:pPr>
    </w:p>
    <w:p w14:paraId="1ABF7F7B">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敏感性分析结论：信用等级降一级的影响（最多+1.20%）远大于FTP波动±20bp的影响（±0.20%），说明在贷款定价中，借款人的信用质量才是决定利率水平的核心变量。条件格式规则：利率&lt;4%绿色、4-6%黄色、&gt;6%红色，便于业务人员快速识别风险。</w:t>
      </w:r>
    </w:p>
    <w:p w14:paraId="6680455A">
      <w:pPr>
        <w:pStyle w:val="4"/>
        <w:rPr>
          <w:rFonts w:hint="eastAsia" w:ascii="微软雅黑" w:hAnsi="微软雅黑" w:eastAsia="微软雅黑" w:cs="微软雅黑"/>
        </w:rPr>
      </w:pPr>
      <w:r>
        <w:rPr>
          <w:rFonts w:hint="eastAsia" w:ascii="微软雅黑" w:hAnsi="微软雅黑" w:eastAsia="微软雅黑" w:cs="微软雅黑"/>
        </w:rPr>
        <w:t>3.6 编写bank-risk-alert Skill</w:t>
      </w:r>
    </w:p>
    <w:p w14:paraId="10A95D30">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本实验要求独立编写一个银行贷后风险预警话术生成Skill（bank-risk-alert）。Skill文件（SKILL.md）遵循标准的技能文件格式规范，包含name、description、trigger-words、输入参数定义和输出模板。</w:t>
      </w:r>
    </w:p>
    <w:p w14:paraId="001E1BE9">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Skill的触发词设置为"风险预警""贷后预警""逾期提醒""risk alert"四个关键词，确保在AI对话中准确匹配。完整的Skill参数结构如下：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1682"/>
        <w:gridCol w:w="3009"/>
        <w:gridCol w:w="2160"/>
      </w:tblGrid>
      <w:tr w14:paraId="44E0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shd w:val="clear" w:color="auto" w:fill="1F497D" w:themeFill="text2"/>
          </w:tcPr>
          <w:p w14:paraId="36062A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参数</w:t>
            </w:r>
          </w:p>
        </w:tc>
        <w:tc>
          <w:tcPr>
            <w:tcW w:w="1682" w:type="dxa"/>
            <w:shd w:val="clear" w:color="auto" w:fill="1F497D" w:themeFill="text2"/>
          </w:tcPr>
          <w:p w14:paraId="7EBE9BF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类型</w:t>
            </w:r>
          </w:p>
        </w:tc>
        <w:tc>
          <w:tcPr>
            <w:tcW w:w="3009" w:type="dxa"/>
            <w:shd w:val="clear" w:color="auto" w:fill="1F497D" w:themeFill="text2"/>
          </w:tcPr>
          <w:p w14:paraId="370BC0D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说明</w:t>
            </w:r>
          </w:p>
        </w:tc>
        <w:tc>
          <w:tcPr>
            <w:tcW w:w="2160" w:type="dxa"/>
            <w:shd w:val="clear" w:color="auto" w:fill="1F497D" w:themeFill="text2"/>
          </w:tcPr>
          <w:p w14:paraId="3B05CC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必填</w:t>
            </w:r>
          </w:p>
        </w:tc>
      </w:tr>
      <w:tr w14:paraId="5682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6B2117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客户名称</w:t>
            </w:r>
          </w:p>
        </w:tc>
        <w:tc>
          <w:tcPr>
            <w:tcW w:w="1682" w:type="dxa"/>
          </w:tcPr>
          <w:p w14:paraId="5872D86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字符串</w:t>
            </w:r>
          </w:p>
        </w:tc>
        <w:tc>
          <w:tcPr>
            <w:tcW w:w="3009" w:type="dxa"/>
          </w:tcPr>
          <w:p w14:paraId="35C29F3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借款企业或个人全名</w:t>
            </w:r>
          </w:p>
        </w:tc>
        <w:tc>
          <w:tcPr>
            <w:tcW w:w="2160" w:type="dxa"/>
          </w:tcPr>
          <w:p w14:paraId="13C8D3E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是</w:t>
            </w:r>
          </w:p>
        </w:tc>
      </w:tr>
      <w:tr w14:paraId="09B9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71A2998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预警信号类型</w:t>
            </w:r>
          </w:p>
        </w:tc>
        <w:tc>
          <w:tcPr>
            <w:tcW w:w="1682" w:type="dxa"/>
          </w:tcPr>
          <w:p w14:paraId="0B37CC7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枚举</w:t>
            </w:r>
          </w:p>
        </w:tc>
        <w:tc>
          <w:tcPr>
            <w:tcW w:w="3009" w:type="dxa"/>
          </w:tcPr>
          <w:p w14:paraId="1B38ED0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逾期/担保物贬值/关联企业异常/行业下行/资金异常流出</w:t>
            </w:r>
          </w:p>
        </w:tc>
        <w:tc>
          <w:tcPr>
            <w:tcW w:w="2160" w:type="dxa"/>
          </w:tcPr>
          <w:p w14:paraId="34BA2EF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是</w:t>
            </w:r>
          </w:p>
        </w:tc>
      </w:tr>
      <w:tr w14:paraId="38C5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478E369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风险等级</w:t>
            </w:r>
          </w:p>
        </w:tc>
        <w:tc>
          <w:tcPr>
            <w:tcW w:w="1682" w:type="dxa"/>
          </w:tcPr>
          <w:p w14:paraId="5CBE36F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枚举</w:t>
            </w:r>
          </w:p>
        </w:tc>
        <w:tc>
          <w:tcPr>
            <w:tcW w:w="3009" w:type="dxa"/>
          </w:tcPr>
          <w:p w14:paraId="3BC85E6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黄色预警/橙色预警/红色预警</w:t>
            </w:r>
          </w:p>
        </w:tc>
        <w:tc>
          <w:tcPr>
            <w:tcW w:w="2160" w:type="dxa"/>
          </w:tcPr>
          <w:p w14:paraId="5C7DB6A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是</w:t>
            </w:r>
          </w:p>
        </w:tc>
      </w:tr>
      <w:tr w14:paraId="45CB0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3A3EACB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贷款余额</w:t>
            </w:r>
          </w:p>
        </w:tc>
        <w:tc>
          <w:tcPr>
            <w:tcW w:w="1682" w:type="dxa"/>
          </w:tcPr>
          <w:p w14:paraId="60FDA37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数值+单位</w:t>
            </w:r>
          </w:p>
        </w:tc>
        <w:tc>
          <w:tcPr>
            <w:tcW w:w="3009" w:type="dxa"/>
          </w:tcPr>
          <w:p w14:paraId="1072F85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如500万元</w:t>
            </w:r>
          </w:p>
        </w:tc>
        <w:tc>
          <w:tcPr>
            <w:tcW w:w="2160" w:type="dxa"/>
          </w:tcPr>
          <w:p w14:paraId="5238B22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是</w:t>
            </w:r>
          </w:p>
        </w:tc>
      </w:tr>
      <w:tr w14:paraId="2329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17A28AB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到期日</w:t>
            </w:r>
          </w:p>
        </w:tc>
        <w:tc>
          <w:tcPr>
            <w:tcW w:w="1682" w:type="dxa"/>
          </w:tcPr>
          <w:p w14:paraId="6A2EE49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日期</w:t>
            </w:r>
          </w:p>
        </w:tc>
        <w:tc>
          <w:tcPr>
            <w:tcW w:w="3009" w:type="dxa"/>
          </w:tcPr>
          <w:p w14:paraId="7B39C27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贷款合同到期日期</w:t>
            </w:r>
          </w:p>
        </w:tc>
        <w:tc>
          <w:tcPr>
            <w:tcW w:w="2160" w:type="dxa"/>
          </w:tcPr>
          <w:p w14:paraId="443C2E4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是</w:t>
            </w:r>
          </w:p>
        </w:tc>
      </w:tr>
      <w:tr w14:paraId="4734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9" w:type="dxa"/>
          </w:tcPr>
          <w:p w14:paraId="05D650A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风险描述</w:t>
            </w:r>
          </w:p>
        </w:tc>
        <w:tc>
          <w:tcPr>
            <w:tcW w:w="1682" w:type="dxa"/>
          </w:tcPr>
          <w:p w14:paraId="7F71F94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文本</w:t>
            </w:r>
          </w:p>
        </w:tc>
        <w:tc>
          <w:tcPr>
            <w:tcW w:w="3009" w:type="dxa"/>
          </w:tcPr>
          <w:p w14:paraId="4F1E86D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具体的风险事件描述（可选）</w:t>
            </w:r>
          </w:p>
        </w:tc>
        <w:tc>
          <w:tcPr>
            <w:tcW w:w="2160" w:type="dxa"/>
            <w:shd w:val="clear" w:color="auto" w:fill="F5F5F5"/>
          </w:tcPr>
          <w:p w14:paraId="1C24F5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否</w:t>
            </w:r>
          </w:p>
        </w:tc>
      </w:tr>
    </w:tbl>
    <w:p w14:paraId="56B44CB4">
      <w:pPr>
        <w:rPr>
          <w:rFonts w:hint="eastAsia" w:ascii="微软雅黑" w:hAnsi="微软雅黑" w:eastAsia="微软雅黑" w:cs="微软雅黑"/>
        </w:rPr>
      </w:pPr>
    </w:p>
    <w:p w14:paraId="7D22A8F0">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输出包含四个模板：预警摘要卡片（一屏可看完的关键信息）、电话话术（五步结构：开场白→风险告知→解决方案→行动承诺→结束语）、内部上报邮件、跟进工单。三色分级响应逻辑如下：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2431"/>
        <w:gridCol w:w="1728"/>
        <w:gridCol w:w="1728"/>
        <w:gridCol w:w="1728"/>
      </w:tblGrid>
      <w:tr w14:paraId="60E1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dxa"/>
            <w:shd w:val="clear" w:color="auto" w:fill="1F497D" w:themeFill="text2"/>
            <w:vAlign w:val="center"/>
          </w:tcPr>
          <w:p w14:paraId="41918A1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等级</w:t>
            </w:r>
          </w:p>
        </w:tc>
        <w:tc>
          <w:tcPr>
            <w:tcW w:w="2431" w:type="dxa"/>
            <w:shd w:val="clear" w:color="auto" w:fill="1F497D" w:themeFill="text2"/>
            <w:vAlign w:val="center"/>
          </w:tcPr>
          <w:p w14:paraId="487600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含义</w:t>
            </w:r>
          </w:p>
        </w:tc>
        <w:tc>
          <w:tcPr>
            <w:tcW w:w="1728" w:type="dxa"/>
            <w:shd w:val="clear" w:color="auto" w:fill="1F497D" w:themeFill="text2"/>
            <w:vAlign w:val="center"/>
          </w:tcPr>
          <w:p w14:paraId="72D32EA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响应时限</w:t>
            </w:r>
          </w:p>
        </w:tc>
        <w:tc>
          <w:tcPr>
            <w:tcW w:w="1728" w:type="dxa"/>
            <w:shd w:val="clear" w:color="auto" w:fill="1F497D" w:themeFill="text2"/>
            <w:vAlign w:val="center"/>
          </w:tcPr>
          <w:p w14:paraId="4313CF7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处置要求</w:t>
            </w:r>
          </w:p>
        </w:tc>
        <w:tc>
          <w:tcPr>
            <w:tcW w:w="1728" w:type="dxa"/>
            <w:shd w:val="clear" w:color="auto" w:fill="1F497D" w:themeFill="text2"/>
            <w:vAlign w:val="center"/>
          </w:tcPr>
          <w:p w14:paraId="51253CB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通知方式</w:t>
            </w:r>
          </w:p>
        </w:tc>
      </w:tr>
      <w:tr w14:paraId="6BD0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dxa"/>
            <w:vAlign w:val="center"/>
          </w:tcPr>
          <w:p w14:paraId="5801C29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黄色</w:t>
            </w:r>
          </w:p>
        </w:tc>
        <w:tc>
          <w:tcPr>
            <w:tcW w:w="2431" w:type="dxa"/>
            <w:vAlign w:val="center"/>
          </w:tcPr>
          <w:p w14:paraId="28187A3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早期预警，风险尚可控</w:t>
            </w:r>
          </w:p>
        </w:tc>
        <w:tc>
          <w:tcPr>
            <w:tcW w:w="1728" w:type="dxa"/>
            <w:vAlign w:val="center"/>
          </w:tcPr>
          <w:p w14:paraId="4D26C42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7日内跟进</w:t>
            </w:r>
          </w:p>
        </w:tc>
        <w:tc>
          <w:tcPr>
            <w:tcW w:w="1728" w:type="dxa"/>
            <w:vAlign w:val="center"/>
          </w:tcPr>
          <w:p w14:paraId="4457CD7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电话联系+台账登记</w:t>
            </w:r>
          </w:p>
        </w:tc>
        <w:tc>
          <w:tcPr>
            <w:tcW w:w="1728" w:type="dxa"/>
            <w:vAlign w:val="center"/>
          </w:tcPr>
          <w:p w14:paraId="6B681C8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短信/邮件</w:t>
            </w:r>
          </w:p>
        </w:tc>
      </w:tr>
      <w:tr w14:paraId="6A60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dxa"/>
            <w:vAlign w:val="center"/>
          </w:tcPr>
          <w:p w14:paraId="291F82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橙色</w:t>
            </w:r>
          </w:p>
        </w:tc>
        <w:tc>
          <w:tcPr>
            <w:tcW w:w="2431" w:type="dxa"/>
            <w:vAlign w:val="center"/>
          </w:tcPr>
          <w:p w14:paraId="763E9CE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风险明显暴露</w:t>
            </w:r>
          </w:p>
        </w:tc>
        <w:tc>
          <w:tcPr>
            <w:tcW w:w="1728" w:type="dxa"/>
            <w:vAlign w:val="center"/>
          </w:tcPr>
          <w:p w14:paraId="2C2357F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当日电话/3日内上报</w:t>
            </w:r>
          </w:p>
        </w:tc>
        <w:tc>
          <w:tcPr>
            <w:tcW w:w="1728" w:type="dxa"/>
            <w:vAlign w:val="center"/>
          </w:tcPr>
          <w:p w14:paraId="11038B1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书面报告分管行长</w:t>
            </w:r>
          </w:p>
        </w:tc>
        <w:tc>
          <w:tcPr>
            <w:tcW w:w="1728" w:type="dxa"/>
            <w:shd w:val="clear" w:color="auto" w:fill="F5F5F5"/>
            <w:vAlign w:val="center"/>
          </w:tcPr>
          <w:p w14:paraId="3DF38ED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电话+正式邮件</w:t>
            </w:r>
          </w:p>
        </w:tc>
      </w:tr>
      <w:tr w14:paraId="02BC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5" w:type="dxa"/>
            <w:vAlign w:val="center"/>
          </w:tcPr>
          <w:p w14:paraId="3CB70E8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红色</w:t>
            </w:r>
          </w:p>
        </w:tc>
        <w:tc>
          <w:tcPr>
            <w:tcW w:w="2431" w:type="dxa"/>
            <w:vAlign w:val="center"/>
          </w:tcPr>
          <w:p w14:paraId="7CC1D92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重大风险事件</w:t>
            </w:r>
          </w:p>
        </w:tc>
        <w:tc>
          <w:tcPr>
            <w:tcW w:w="1728" w:type="dxa"/>
            <w:vAlign w:val="center"/>
          </w:tcPr>
          <w:p w14:paraId="113671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当日上报+法务介入</w:t>
            </w:r>
          </w:p>
        </w:tc>
        <w:tc>
          <w:tcPr>
            <w:tcW w:w="1728" w:type="dxa"/>
            <w:vAlign w:val="center"/>
          </w:tcPr>
          <w:p w14:paraId="1852B59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启动应急预案</w:t>
            </w:r>
          </w:p>
        </w:tc>
        <w:tc>
          <w:tcPr>
            <w:tcW w:w="1728" w:type="dxa"/>
            <w:vAlign w:val="center"/>
          </w:tcPr>
          <w:p w14:paraId="12A9CAE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紧急会议+法务</w:t>
            </w:r>
          </w:p>
        </w:tc>
      </w:tr>
    </w:tbl>
    <w:p w14:paraId="089CD664">
      <w:pPr>
        <w:rPr>
          <w:rFonts w:hint="eastAsia" w:ascii="微软雅黑" w:hAnsi="微软雅黑" w:eastAsia="微软雅黑" w:cs="微软雅黑"/>
        </w:rPr>
      </w:pPr>
    </w:p>
    <w:p w14:paraId="4D3BEDC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完整话术示例（恒达机械500万元贷款逾期橙色预警）：</w:t>
      </w:r>
    </w:p>
    <w:p w14:paraId="7A728905">
      <w:pPr>
        <w:shd w:val="clear" w:fill="F2F2F2"/>
        <w:spacing w:before="80" w:after="80"/>
        <w:ind w:left="454"/>
        <w:rPr>
          <w:rFonts w:hint="eastAsia" w:ascii="微软雅黑" w:hAnsi="微软雅黑" w:eastAsia="微软雅黑" w:cs="微软雅黑"/>
        </w:rPr>
      </w:pPr>
      <w:r>
        <w:rPr>
          <w:rFonts w:hint="eastAsia" w:ascii="微软雅黑" w:hAnsi="微软雅黑" w:eastAsia="微软雅黑" w:cs="微软雅黑"/>
          <w:color w:val="2D2D2D"/>
          <w:sz w:val="17"/>
        </w:rPr>
        <w:t>[开场白] 您好李总，我是您在我行的客户经理李明。</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[风险告知] 您在我行的500万元贷款已于6月15日到期，系统显示尚未归还。</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目前该笔贷款已进入预警监控范围，需要和您确认一下情况。</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[解决方案] 为您提供三种处理方式供参考：</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方案一：尽快安排资金归还本息（最优先推荐）</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方案二：如确有临时周转困难，可申请展期（需6月18日前提交材料）</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 xml:space="preserve">  方案三：先归还部分本金，剩余部分协商还款计划</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[行动承诺] 您今天内会核实还款情况并告知我结果，可以吗？</w:t>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br w:type="textWrapping"/>
      </w:r>
      <w:r>
        <w:rPr>
          <w:rFonts w:hint="eastAsia" w:ascii="微软雅黑" w:hAnsi="微软雅黑" w:eastAsia="微软雅黑" w:cs="微软雅黑"/>
          <w:color w:val="2D2D2D"/>
          <w:sz w:val="17"/>
        </w:rPr>
        <w:t>[结束语] 感谢您的理解和配合，有任何问题随时联系我的手机。</w:t>
      </w:r>
    </w:p>
    <w:p w14:paraId="4E4C994F">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该Skill设计遵循了"三早原则"（早发现、早预警、早处置）的中国银保监会贷后管理指导精神，并融入了话术"软硬结合"的实际操作经验。</w:t>
      </w:r>
    </w:p>
    <w:p w14:paraId="63ACE59C">
      <w:pPr>
        <w:pStyle w:val="4"/>
        <w:rPr>
          <w:rFonts w:hint="eastAsia" w:ascii="微软雅黑" w:hAnsi="微软雅黑" w:eastAsia="微软雅黑" w:cs="微软雅黑"/>
        </w:rPr>
      </w:pPr>
      <w:r>
        <w:rPr>
          <w:rFonts w:hint="eastAsia" w:ascii="微软雅黑" w:hAnsi="微软雅黑" w:eastAsia="微软雅黑" w:cs="微软雅黑"/>
        </w:rPr>
        <w:t>3.7 Skill安全审计</w:t>
      </w:r>
    </w:p>
    <w:p w14:paraId="2C6D0B72">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本实验从银保监合规视角对finance-expert Skill进行系统性的五维安全审计。安全审计是金融机构引入AI工具前的必要条件，旨在识别和修复潜在的数据泄露、合规越界和功能滥用风险。</w:t>
      </w:r>
    </w:p>
    <w:p w14:paraId="4C03E1A6">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审计覆盖五个核心维度，评分结果如下：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3AA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97D" w:themeFill="text2"/>
            <w:vAlign w:val="center"/>
          </w:tcPr>
          <w:p w14:paraId="7D7995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审计维度</w:t>
            </w:r>
          </w:p>
        </w:tc>
        <w:tc>
          <w:tcPr>
            <w:tcW w:w="2160" w:type="dxa"/>
            <w:shd w:val="clear" w:color="auto" w:fill="1F497D" w:themeFill="text2"/>
            <w:vAlign w:val="center"/>
          </w:tcPr>
          <w:p w14:paraId="473D57F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评分</w:t>
            </w:r>
          </w:p>
        </w:tc>
        <w:tc>
          <w:tcPr>
            <w:tcW w:w="2160" w:type="dxa"/>
            <w:shd w:val="clear" w:color="auto" w:fill="1F497D" w:themeFill="text2"/>
            <w:vAlign w:val="center"/>
          </w:tcPr>
          <w:p w14:paraId="2A2019F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风险等级</w:t>
            </w:r>
          </w:p>
        </w:tc>
        <w:tc>
          <w:tcPr>
            <w:tcW w:w="2160" w:type="dxa"/>
            <w:shd w:val="clear" w:color="auto" w:fill="1F497D" w:themeFill="text2"/>
            <w:vAlign w:val="center"/>
          </w:tcPr>
          <w:p w14:paraId="746310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核心发现</w:t>
            </w:r>
          </w:p>
        </w:tc>
      </w:tr>
      <w:tr w14:paraId="6AA7F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33BEA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触发词精准性</w:t>
            </w:r>
          </w:p>
        </w:tc>
        <w:tc>
          <w:tcPr>
            <w:tcW w:w="2160" w:type="dxa"/>
            <w:vAlign w:val="center"/>
          </w:tcPr>
          <w:p w14:paraId="20C1587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5/10</w:t>
            </w:r>
          </w:p>
        </w:tc>
        <w:tc>
          <w:tcPr>
            <w:tcW w:w="2160" w:type="dxa"/>
            <w:vAlign w:val="center"/>
          </w:tcPr>
          <w:p w14:paraId="1F1BA2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待改进</w:t>
            </w:r>
          </w:p>
        </w:tc>
        <w:tc>
          <w:tcPr>
            <w:tcW w:w="2160" w:type="dxa"/>
            <w:vAlign w:val="center"/>
          </w:tcPr>
          <w:p w14:paraId="43C9EFA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无trigger-words声明，全量匹配易在不相关场景误触发</w:t>
            </w:r>
          </w:p>
        </w:tc>
      </w:tr>
      <w:tr w14:paraId="54BD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1A06B0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输出完整性</w:t>
            </w:r>
          </w:p>
        </w:tc>
        <w:tc>
          <w:tcPr>
            <w:tcW w:w="2160" w:type="dxa"/>
            <w:vAlign w:val="center"/>
          </w:tcPr>
          <w:p w14:paraId="77DAF32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7/10</w:t>
            </w:r>
          </w:p>
        </w:tc>
        <w:tc>
          <w:tcPr>
            <w:tcW w:w="2160" w:type="dxa"/>
            <w:vAlign w:val="center"/>
          </w:tcPr>
          <w:p w14:paraId="10D94B1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良好</w:t>
            </w:r>
          </w:p>
        </w:tc>
        <w:tc>
          <w:tcPr>
            <w:tcW w:w="2160" w:type="dxa"/>
            <w:vAlign w:val="center"/>
          </w:tcPr>
          <w:p w14:paraId="59E1F72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技术内容充实但缺乏结构化输出模板，参数定义不完整</w:t>
            </w:r>
          </w:p>
        </w:tc>
      </w:tr>
      <w:tr w14:paraId="100B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199150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数据安全</w:t>
            </w:r>
          </w:p>
        </w:tc>
        <w:tc>
          <w:tcPr>
            <w:tcW w:w="2160" w:type="dxa"/>
            <w:vAlign w:val="center"/>
          </w:tcPr>
          <w:p w14:paraId="6097D798">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4/10</w:t>
            </w:r>
          </w:p>
        </w:tc>
        <w:tc>
          <w:tcPr>
            <w:tcW w:w="2160" w:type="dxa"/>
            <w:vAlign w:val="center"/>
          </w:tcPr>
          <w:p w14:paraId="2F076EC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高风险</w:t>
            </w:r>
          </w:p>
        </w:tc>
        <w:tc>
          <w:tcPr>
            <w:tcW w:w="2160" w:type="dxa"/>
            <w:vAlign w:val="center"/>
          </w:tcPr>
          <w:p w14:paraId="445374E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示例代码中API Key硬编码，无脱敏指引和分类评级机制</w:t>
            </w:r>
          </w:p>
        </w:tc>
      </w:tr>
      <w:tr w14:paraId="5B1E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9887AF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合规风险</w:t>
            </w:r>
          </w:p>
        </w:tc>
        <w:tc>
          <w:tcPr>
            <w:tcW w:w="2160" w:type="dxa"/>
            <w:vAlign w:val="center"/>
          </w:tcPr>
          <w:p w14:paraId="3529EBD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3/10</w:t>
            </w:r>
          </w:p>
        </w:tc>
        <w:tc>
          <w:tcPr>
            <w:tcW w:w="2160" w:type="dxa"/>
            <w:vAlign w:val="center"/>
          </w:tcPr>
          <w:p w14:paraId="6D042C0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极高风险</w:t>
            </w:r>
          </w:p>
        </w:tc>
        <w:tc>
          <w:tcPr>
            <w:tcW w:w="2160" w:type="dxa"/>
            <w:shd w:val="clear" w:color="auto" w:fill="F5F5F5"/>
            <w:vAlign w:val="center"/>
          </w:tcPr>
          <w:p w14:paraId="1AF68F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输出结果可能被误用作正式信贷决策，无法律免责声明</w:t>
            </w:r>
          </w:p>
        </w:tc>
      </w:tr>
      <w:tr w14:paraId="100A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DCC696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可改进空间</w:t>
            </w:r>
          </w:p>
        </w:tc>
        <w:tc>
          <w:tcPr>
            <w:tcW w:w="2160" w:type="dxa"/>
            <w:vAlign w:val="center"/>
          </w:tcPr>
          <w:p w14:paraId="27A9507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6/10</w:t>
            </w:r>
          </w:p>
        </w:tc>
        <w:tc>
          <w:tcPr>
            <w:tcW w:w="2160" w:type="dxa"/>
            <w:vAlign w:val="center"/>
          </w:tcPr>
          <w:p w14:paraId="61D3813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 可优化</w:t>
            </w:r>
          </w:p>
        </w:tc>
        <w:tc>
          <w:tcPr>
            <w:tcW w:w="2160" w:type="dxa"/>
            <w:vAlign w:val="center"/>
          </w:tcPr>
          <w:p w14:paraId="1776167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改进方向明确但尚未实施，缺少版本管理和审批记录</w:t>
            </w:r>
          </w:p>
        </w:tc>
      </w:tr>
    </w:tbl>
    <w:p w14:paraId="3A372B1B">
      <w:pPr>
        <w:rPr>
          <w:rFonts w:hint="eastAsia" w:ascii="微软雅黑" w:hAnsi="微软雅黑" w:eastAsia="微软雅黑" w:cs="微软雅黑"/>
        </w:rPr>
      </w:pPr>
    </w:p>
    <w:p w14:paraId="14923A38">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综合评分：5.0/10 — 需整改后方可投入银行级生产环境。三个P0级别的最高优先整改项：</w:t>
      </w:r>
    </w:p>
    <w:p w14:paraId="002E28BC">
      <w:pPr>
        <w:pStyle w:val="143"/>
        <w:ind w:left="567"/>
        <w:rPr>
          <w:rFonts w:hint="eastAsia" w:ascii="微软雅黑" w:hAnsi="微软雅黑" w:eastAsia="微软雅黑" w:cs="微软雅黑"/>
        </w:rPr>
      </w:pPr>
      <w:r>
        <w:rPr>
          <w:rFonts w:hint="eastAsia" w:ascii="微软雅黑" w:hAnsi="微软雅黑" w:eastAsia="微软雅黑" w:cs="微软雅黑"/>
          <w:b w:val="0"/>
          <w:sz w:val="22"/>
        </w:rPr>
        <w:t>增加法律免责声明：所有输出结果显著标识"本结果仅供分析参考，不构成任何形式的投资建议或信贷决策依据"，规避银保监合规红线</w:t>
      </w:r>
    </w:p>
    <w:p w14:paraId="26EA4E14">
      <w:pPr>
        <w:pStyle w:val="143"/>
        <w:ind w:left="567"/>
        <w:rPr>
          <w:rFonts w:hint="eastAsia" w:ascii="微软雅黑" w:hAnsi="微软雅黑" w:eastAsia="微软雅黑" w:cs="微软雅黑"/>
        </w:rPr>
      </w:pPr>
      <w:r>
        <w:rPr>
          <w:rFonts w:hint="eastAsia" w:ascii="微软雅黑" w:hAnsi="微软雅黑" w:eastAsia="微软雅黑" w:cs="微软雅黑"/>
          <w:b w:val="0"/>
          <w:sz w:val="22"/>
        </w:rPr>
        <w:t>API Key改用环境变量加载：替换示例代码中的明文API Key为${ENV_VAR}占位符，从源头杜绝源代码泄露密钥</w:t>
      </w:r>
    </w:p>
    <w:p w14:paraId="132F94F7">
      <w:pPr>
        <w:pStyle w:val="143"/>
        <w:ind w:left="567"/>
        <w:rPr>
          <w:rFonts w:hint="eastAsia" w:ascii="微软雅黑" w:hAnsi="微软雅黑" w:eastAsia="微软雅黑" w:cs="微软雅黑"/>
        </w:rPr>
      </w:pPr>
      <w:r>
        <w:rPr>
          <w:rFonts w:hint="eastAsia" w:ascii="微软雅黑" w:hAnsi="微软雅黑" w:eastAsia="微软雅黑" w:cs="微软雅黑"/>
          <w:b w:val="0"/>
          <w:sz w:val="22"/>
        </w:rPr>
        <w:t>增加数据脱敏警示框：在输入参数和输出结果中提示"请确保不使用真实客户数据"，增加PII（个人可识别信息）保护机制</w:t>
      </w:r>
    </w:p>
    <w:p w14:paraId="2CB9BD2B">
      <w:pPr>
        <w:pStyle w:val="3"/>
        <w:rPr>
          <w:rFonts w:hint="eastAsia" w:ascii="微软雅黑" w:hAnsi="微软雅黑" w:eastAsia="微软雅黑" w:cs="微软雅黑"/>
        </w:rPr>
      </w:pPr>
      <w:r>
        <w:rPr>
          <w:rFonts w:hint="eastAsia" w:ascii="微软雅黑" w:hAnsi="微软雅黑" w:eastAsia="微软雅黑" w:cs="微软雅黑"/>
          <w:lang w:val="en-US" w:eastAsia="zh-CN"/>
        </w:rPr>
        <w:t>四、</w:t>
      </w:r>
      <w:r>
        <w:rPr>
          <w:rFonts w:hint="eastAsia" w:ascii="微软雅黑" w:hAnsi="微软雅黑" w:eastAsia="微软雅黑" w:cs="微软雅黑"/>
        </w:rPr>
        <w:t>实验结果</w:t>
      </w:r>
    </w:p>
    <w:p w14:paraId="2C6B2DDD">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本次实验严格按照"环境准备→技能安装→调用技能→拓展分析→自主编写→安全审计"的递进流程，分五个阶段完成了第4章的全部实验内容。以下是各阶段实验成果汇总：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2535"/>
        <w:gridCol w:w="3560"/>
        <w:gridCol w:w="1897"/>
      </w:tblGrid>
      <w:tr w14:paraId="7EFE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hemeFill="text2"/>
            <w:vAlign w:val="center"/>
          </w:tcPr>
          <w:p w14:paraId="4A1E1852">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w:t>
            </w:r>
          </w:p>
        </w:tc>
        <w:tc>
          <w:tcPr>
            <w:tcW w:w="2535" w:type="dxa"/>
            <w:shd w:val="clear" w:color="auto" w:fill="1F497D" w:themeFill="text2"/>
            <w:vAlign w:val="center"/>
          </w:tcPr>
          <w:p w14:paraId="27205EC2">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实验任务</w:t>
            </w:r>
          </w:p>
        </w:tc>
        <w:tc>
          <w:tcPr>
            <w:tcW w:w="3560" w:type="dxa"/>
            <w:shd w:val="clear" w:color="auto" w:fill="1F497D" w:themeFill="text2"/>
            <w:vAlign w:val="center"/>
          </w:tcPr>
          <w:p w14:paraId="619D5B56">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关键交付物</w:t>
            </w:r>
          </w:p>
        </w:tc>
        <w:tc>
          <w:tcPr>
            <w:tcW w:w="1897" w:type="dxa"/>
            <w:shd w:val="clear" w:color="auto" w:fill="1F4E79"/>
            <w:vAlign w:val="center"/>
          </w:tcPr>
          <w:p w14:paraId="592734E0">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核心成果</w:t>
            </w:r>
          </w:p>
        </w:tc>
      </w:tr>
      <w:tr w14:paraId="7A16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B17A5F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w:t>
            </w:r>
          </w:p>
        </w:tc>
        <w:tc>
          <w:tcPr>
            <w:tcW w:w="2535" w:type="dxa"/>
            <w:vAlign w:val="center"/>
          </w:tcPr>
          <w:p w14:paraId="18D74965">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docx Skill回访报告</w:t>
            </w:r>
          </w:p>
        </w:tc>
        <w:tc>
          <w:tcPr>
            <w:tcW w:w="3560" w:type="dxa"/>
            <w:vAlign w:val="center"/>
          </w:tcPr>
          <w:p w14:paraId="2986553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reports/客户回访报告_C00001.docx</w:t>
            </w:r>
          </w:p>
        </w:tc>
        <w:tc>
          <w:tcPr>
            <w:tcW w:w="1897" w:type="dxa"/>
            <w:vAlign w:val="center"/>
          </w:tcPr>
          <w:p w14:paraId="4590B3D1">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6章标准结构 + 封面/目录/页眉页脚</w:t>
            </w:r>
          </w:p>
        </w:tc>
      </w:tr>
      <w:tr w14:paraId="5BAD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B3DB9A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w:t>
            </w:r>
          </w:p>
        </w:tc>
        <w:tc>
          <w:tcPr>
            <w:tcW w:w="2535" w:type="dxa"/>
            <w:vAlign w:val="center"/>
          </w:tcPr>
          <w:p w14:paraId="640BDD9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finance-expert风险评估</w:t>
            </w:r>
          </w:p>
        </w:tc>
        <w:tc>
          <w:tcPr>
            <w:tcW w:w="3560" w:type="dxa"/>
            <w:vAlign w:val="center"/>
          </w:tcPr>
          <w:p w14:paraId="49FECB7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reports/credit_risk_hengda.md</w:t>
            </w:r>
          </w:p>
        </w:tc>
        <w:tc>
          <w:tcPr>
            <w:tcW w:w="1897" w:type="dxa"/>
            <w:vAlign w:val="center"/>
          </w:tcPr>
          <w:p w14:paraId="3338470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Z-Score=3.94, 78.35分, 中等风险</w:t>
            </w:r>
          </w:p>
        </w:tc>
      </w:tr>
      <w:tr w14:paraId="75EF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20CB9E33">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2A</w:t>
            </w:r>
          </w:p>
        </w:tc>
        <w:tc>
          <w:tcPr>
            <w:tcW w:w="2535" w:type="dxa"/>
            <w:vAlign w:val="center"/>
          </w:tcPr>
          <w:p w14:paraId="09386622">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银行同业对标分析</w:t>
            </w:r>
          </w:p>
        </w:tc>
        <w:tc>
          <w:tcPr>
            <w:tcW w:w="3560" w:type="dxa"/>
            <w:vAlign w:val="center"/>
          </w:tcPr>
          <w:p w14:paraId="2AE78411">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reports/bank_peer_comparison.md</w:t>
            </w:r>
          </w:p>
        </w:tc>
        <w:tc>
          <w:tcPr>
            <w:tcW w:w="1897" w:type="dxa"/>
            <w:vAlign w:val="center"/>
          </w:tcPr>
          <w:p w14:paraId="5F0DB7F5">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4家四维对比, 常熟银行8.33分第一</w:t>
            </w:r>
          </w:p>
        </w:tc>
      </w:tr>
      <w:tr w14:paraId="24C5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F4E8666">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w:t>
            </w:r>
          </w:p>
        </w:tc>
        <w:tc>
          <w:tcPr>
            <w:tcW w:w="2535" w:type="dxa"/>
            <w:vAlign w:val="center"/>
          </w:tcPr>
          <w:p w14:paraId="63A488C9">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xlsx FTP定价模型</w:t>
            </w:r>
          </w:p>
        </w:tc>
        <w:tc>
          <w:tcPr>
            <w:tcW w:w="3560" w:type="dxa"/>
            <w:vAlign w:val="center"/>
          </w:tcPr>
          <w:p w14:paraId="07CEA96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reports/loan_pricing_model.xlsx</w:t>
            </w:r>
          </w:p>
        </w:tc>
        <w:tc>
          <w:tcPr>
            <w:tcW w:w="1897" w:type="dxa"/>
            <w:vAlign w:val="center"/>
          </w:tcPr>
          <w:p w14:paraId="1B5ADFA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 Sheet + 全Excel公式 + 条件格式</w:t>
            </w:r>
          </w:p>
        </w:tc>
      </w:tr>
      <w:tr w14:paraId="04C1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44C6B1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4</w:t>
            </w:r>
          </w:p>
        </w:tc>
        <w:tc>
          <w:tcPr>
            <w:tcW w:w="2535" w:type="dxa"/>
            <w:vAlign w:val="center"/>
          </w:tcPr>
          <w:p w14:paraId="37108A7A">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自写bank-risk-alert</w:t>
            </w:r>
          </w:p>
        </w:tc>
        <w:tc>
          <w:tcPr>
            <w:tcW w:w="3560" w:type="dxa"/>
            <w:vAlign w:val="center"/>
          </w:tcPr>
          <w:p w14:paraId="42AE1C3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.trae/skills/bank-risk-alert/SKILL.md</w:t>
            </w:r>
          </w:p>
        </w:tc>
        <w:tc>
          <w:tcPr>
            <w:tcW w:w="1897" w:type="dxa"/>
            <w:vAlign w:val="center"/>
          </w:tcPr>
          <w:p w14:paraId="5C3E37ED">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4模板 + 3色分级 + IDE可识别调用</w:t>
            </w:r>
          </w:p>
        </w:tc>
      </w:tr>
      <w:tr w14:paraId="40B8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C19619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5</w:t>
            </w:r>
          </w:p>
        </w:tc>
        <w:tc>
          <w:tcPr>
            <w:tcW w:w="2535" w:type="dxa"/>
            <w:vAlign w:val="center"/>
          </w:tcPr>
          <w:p w14:paraId="380BD296">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Skill安全审计</w:t>
            </w:r>
          </w:p>
        </w:tc>
        <w:tc>
          <w:tcPr>
            <w:tcW w:w="3560" w:type="dxa"/>
            <w:vAlign w:val="center"/>
          </w:tcPr>
          <w:p w14:paraId="06C1F2D0">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reports/skill_audit_report.md</w:t>
            </w:r>
          </w:p>
        </w:tc>
        <w:tc>
          <w:tcPr>
            <w:tcW w:w="1897" w:type="dxa"/>
            <w:shd w:val="clear" w:color="auto" w:fill="F5F5F5"/>
            <w:vAlign w:val="center"/>
          </w:tcPr>
          <w:p w14:paraId="66B7D22D">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五维评分5.0, P0整改项3个</w:t>
            </w:r>
          </w:p>
        </w:tc>
      </w:tr>
    </w:tbl>
    <w:p w14:paraId="5B59FC5F">
      <w:pPr>
        <w:rPr>
          <w:rFonts w:hint="eastAsia" w:ascii="微软雅黑" w:hAnsi="微软雅黑" w:eastAsia="微软雅黑" w:cs="微软雅黑"/>
        </w:rPr>
      </w:pPr>
    </w:p>
    <w:p w14:paraId="6E432EE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全部5个实验任务及1个拓展任务均按教程要求完成，交付物完整、可验证。所有文件均已通过Git推送至CNB个人仓库（https://cnb.cool/liudandan-2026/Moooa），可在网页端直接查看和下载。</w:t>
      </w:r>
    </w:p>
    <w:p w14:paraId="65C9DE22">
      <w:pPr>
        <w:pStyle w:val="3"/>
        <w:rPr>
          <w:rFonts w:hint="eastAsia" w:ascii="微软雅黑" w:hAnsi="微软雅黑" w:eastAsia="微软雅黑" w:cs="微软雅黑"/>
        </w:rPr>
      </w:pPr>
      <w:r>
        <w:rPr>
          <w:rFonts w:hint="eastAsia" w:ascii="微软雅黑" w:hAnsi="微软雅黑" w:eastAsia="微软雅黑" w:cs="微软雅黑"/>
          <w:lang w:val="en-US" w:eastAsia="zh-CN"/>
        </w:rPr>
        <w:t>五、</w:t>
      </w:r>
      <w:r>
        <w:rPr>
          <w:rFonts w:hint="eastAsia" w:ascii="微软雅黑" w:hAnsi="微软雅黑" w:eastAsia="微软雅黑" w:cs="微软雅黑"/>
        </w:rPr>
        <w:t>问题与解决</w:t>
      </w:r>
    </w:p>
    <w:p w14:paraId="700E55AF">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在实验过程中，遇到了以下几个关键技术问题，通过查阅文档和调试逐一解决：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2786"/>
        <w:gridCol w:w="2437"/>
        <w:gridCol w:w="2489"/>
      </w:tblGrid>
      <w:tr w14:paraId="48E2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shd w:val="clear" w:color="auto" w:fill="1F497D" w:themeFill="text2"/>
            <w:vAlign w:val="center"/>
          </w:tcPr>
          <w:p w14:paraId="62074F9C">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w:t>
            </w:r>
          </w:p>
        </w:tc>
        <w:tc>
          <w:tcPr>
            <w:tcW w:w="2811" w:type="dxa"/>
            <w:shd w:val="clear" w:color="auto" w:fill="1F497D" w:themeFill="text2"/>
            <w:vAlign w:val="center"/>
          </w:tcPr>
          <w:p w14:paraId="376F9548">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问题现象</w:t>
            </w:r>
          </w:p>
        </w:tc>
        <w:tc>
          <w:tcPr>
            <w:tcW w:w="2492" w:type="dxa"/>
            <w:shd w:val="clear" w:color="auto" w:fill="1F497D" w:themeFill="text2"/>
            <w:vAlign w:val="center"/>
          </w:tcPr>
          <w:p w14:paraId="04D896D0">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根本原因</w:t>
            </w:r>
          </w:p>
        </w:tc>
        <w:tc>
          <w:tcPr>
            <w:tcW w:w="2261" w:type="dxa"/>
            <w:shd w:val="clear" w:color="auto" w:fill="1F497D" w:themeFill="text2"/>
            <w:vAlign w:val="center"/>
          </w:tcPr>
          <w:p w14:paraId="257B41C6">
            <w:pPr>
              <w:jc w:val="center"/>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解决方案</w:t>
            </w:r>
          </w:p>
        </w:tc>
      </w:tr>
      <w:tr w14:paraId="1FB7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vAlign w:val="center"/>
          </w:tcPr>
          <w:p w14:paraId="6FFD43E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1</w:t>
            </w:r>
          </w:p>
        </w:tc>
        <w:tc>
          <w:tcPr>
            <w:tcW w:w="2811" w:type="dxa"/>
            <w:vAlign w:val="center"/>
          </w:tcPr>
          <w:p w14:paraId="0354EF6D">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python-docx报UnicodeEncodeError</w:t>
            </w:r>
          </w:p>
        </w:tc>
        <w:tc>
          <w:tcPr>
            <w:tcW w:w="2492" w:type="dxa"/>
            <w:vAlign w:val="center"/>
          </w:tcPr>
          <w:p w14:paraId="0871087E">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Windows终端默认GBK编码不支持✅等特殊符号</w:t>
            </w:r>
          </w:p>
        </w:tc>
        <w:tc>
          <w:tcPr>
            <w:tcW w:w="2261" w:type="dxa"/>
            <w:vAlign w:val="center"/>
          </w:tcPr>
          <w:p w14:paraId="5D84D76C">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使用python -X utf8运行，替换[OK]等ASCII符号</w:t>
            </w:r>
          </w:p>
        </w:tc>
      </w:tr>
      <w:tr w14:paraId="0267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vAlign w:val="center"/>
          </w:tcPr>
          <w:p w14:paraId="722AB786">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2</w:t>
            </w:r>
          </w:p>
        </w:tc>
        <w:tc>
          <w:tcPr>
            <w:tcW w:w="2811" w:type="dxa"/>
            <w:vAlign w:val="center"/>
          </w:tcPr>
          <w:p w14:paraId="134C6EB5">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openpyxl import失败</w:t>
            </w:r>
          </w:p>
        </w:tc>
        <w:tc>
          <w:tcPr>
            <w:tcW w:w="2492" w:type="dxa"/>
            <w:vAlign w:val="center"/>
          </w:tcPr>
          <w:p w14:paraId="2B56B931">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企业环境限制全局pip安装导致库不可用</w:t>
            </w:r>
          </w:p>
        </w:tc>
        <w:tc>
          <w:tcPr>
            <w:tcW w:w="2261" w:type="dxa"/>
            <w:vAlign w:val="center"/>
          </w:tcPr>
          <w:p w14:paraId="6DD40287">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使用pip --target本地目录安装，动态加入sys.path</w:t>
            </w:r>
          </w:p>
        </w:tc>
      </w:tr>
      <w:tr w14:paraId="55B4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vAlign w:val="center"/>
          </w:tcPr>
          <w:p w14:paraId="1DDB159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3</w:t>
            </w:r>
          </w:p>
        </w:tc>
        <w:tc>
          <w:tcPr>
            <w:tcW w:w="2811" w:type="dxa"/>
            <w:vAlign w:val="center"/>
          </w:tcPr>
          <w:p w14:paraId="1AEC0644">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Excel写入报MergedCell属性冲突</w:t>
            </w:r>
          </w:p>
        </w:tc>
        <w:tc>
          <w:tcPr>
            <w:tcW w:w="2492" w:type="dxa"/>
            <w:vAlign w:val="center"/>
          </w:tcPr>
          <w:p w14:paraId="67B712AF">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对已合并单元格区域直接赋值</w:t>
            </w:r>
          </w:p>
        </w:tc>
        <w:tc>
          <w:tcPr>
            <w:tcW w:w="2261" w:type="dxa"/>
            <w:vAlign w:val="center"/>
          </w:tcPr>
          <w:p w14:paraId="51C5330E">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先删除Sheet再重建，避免操作合并区域</w:t>
            </w:r>
          </w:p>
        </w:tc>
      </w:tr>
      <w:tr w14:paraId="7CC3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vAlign w:val="center"/>
          </w:tcPr>
          <w:p w14:paraId="50CDD34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4</w:t>
            </w:r>
          </w:p>
        </w:tc>
        <w:tc>
          <w:tcPr>
            <w:tcW w:w="2811" w:type="dxa"/>
            <w:vAlign w:val="center"/>
          </w:tcPr>
          <w:p w14:paraId="7C4D6CD9">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信用等级升降级公式复杂</w:t>
            </w:r>
          </w:p>
        </w:tc>
        <w:tc>
          <w:tcPr>
            <w:tcW w:w="2492" w:type="dxa"/>
            <w:vAlign w:val="center"/>
          </w:tcPr>
          <w:p w14:paraId="58FD0BE1">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Excel无内置信用等级映射函数</w:t>
            </w:r>
          </w:p>
        </w:tc>
        <w:tc>
          <w:tcPr>
            <w:tcW w:w="2261" w:type="dxa"/>
            <w:shd w:val="clear" w:color="auto" w:fill="F5F5F5"/>
            <w:vAlign w:val="center"/>
          </w:tcPr>
          <w:p w14:paraId="4069F3EB">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使用嵌套IF实现AAA→AA→A→BBB→BB逐级映射</w:t>
            </w:r>
          </w:p>
        </w:tc>
      </w:tr>
      <w:tr w14:paraId="6E14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7" w:type="dxa"/>
            <w:vAlign w:val="center"/>
          </w:tcPr>
          <w:p w14:paraId="3B298C7E">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5</w:t>
            </w:r>
          </w:p>
        </w:tc>
        <w:tc>
          <w:tcPr>
            <w:tcW w:w="2811" w:type="dxa"/>
            <w:vAlign w:val="center"/>
          </w:tcPr>
          <w:p w14:paraId="2DF1DCF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npm install -g权限不足</w:t>
            </w:r>
          </w:p>
        </w:tc>
        <w:tc>
          <w:tcPr>
            <w:tcW w:w="2492" w:type="dxa"/>
            <w:vAlign w:val="center"/>
          </w:tcPr>
          <w:p w14:paraId="18DF87AF">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企业IT策略限制全局包安装</w:t>
            </w:r>
          </w:p>
        </w:tc>
        <w:tc>
          <w:tcPr>
            <w:tcW w:w="2261" w:type="dxa"/>
            <w:vAlign w:val="center"/>
          </w:tcPr>
          <w:p w14:paraId="688F9069">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改用pip install替代以满足依赖需求</w:t>
            </w:r>
          </w:p>
        </w:tc>
      </w:tr>
    </w:tbl>
    <w:p w14:paraId="37FA0F27">
      <w:pPr>
        <w:rPr>
          <w:rFonts w:hint="eastAsia" w:ascii="微软雅黑" w:hAnsi="微软雅黑" w:eastAsia="微软雅黑" w:cs="微软雅黑"/>
        </w:rPr>
      </w:pPr>
    </w:p>
    <w:p w14:paraId="0BBC06E5">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这些问题的解决经验表明，企业级开发环境中普遍存在权限限制和编码兼容性问题。通过灵活调整技术方案（如优先使用Python替代Node.js、使用本地目录替代全局安装），可以有效规避环境限制，确保开发效率。</w:t>
      </w:r>
    </w:p>
    <w:p w14:paraId="09F2D676">
      <w:pPr>
        <w:pStyle w:val="3"/>
        <w:rPr>
          <w:rFonts w:hint="eastAsia" w:ascii="微软雅黑" w:hAnsi="微软雅黑" w:eastAsia="微软雅黑" w:cs="微软雅黑"/>
        </w:rPr>
      </w:pPr>
      <w:r>
        <w:rPr>
          <w:rFonts w:hint="eastAsia" w:ascii="微软雅黑" w:hAnsi="微软雅黑" w:eastAsia="微软雅黑" w:cs="微软雅黑"/>
          <w:lang w:val="en-US" w:eastAsia="zh-CN"/>
        </w:rPr>
        <w:t>六、</w:t>
      </w:r>
      <w:r>
        <w:rPr>
          <w:rFonts w:hint="eastAsia" w:ascii="微软雅黑" w:hAnsi="微软雅黑" w:eastAsia="微软雅黑" w:cs="微软雅黑"/>
        </w:rPr>
        <w:t>实验心得</w:t>
      </w:r>
    </w:p>
    <w:p w14:paraId="6978985B">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通过本次智慧银行实验教程第4章的六项递进式实验，我对"AI+金融"的融合应用有了从理论到实操的系统性认知。以下从十个维度总结实验心得与体会：</w:t>
      </w:r>
    </w:p>
    <w:p w14:paraId="5E710FAD">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一】Skill体系——"让AI说专业的话"。本次实验最核心的认知突破是理解了Skill的设计哲学。传统的AI对话只能基于大模型的通用知识回答问题，而Skill通过一个结构化的Markdown文件（SKILL.md），为AI注入了金融领域的专业知识、行业术语、计算公式和操作流程。这就好比给一个聪明的实习生配上了一份详细的操作手册——AI因此能够像一位具备三年工作经验的客户经理一样，输出专业的电话回访话术、风险评估报告和贷款定价方案。这种"知识显性化→文件化→可复用"的模式，为金融机构沉淀和传承业务经验提供了全新的技术路径。</w:t>
      </w:r>
    </w:p>
    <w:p w14:paraId="57F8E4B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【二】从"使用者"到"创造者"的能力跃迁。实验设计从docx Skill的安装调用开始，到finance-expert的综合分析，再到自主编写bank-risk-alert Skill，最后进行安全审计，形成了一个完整的"消费→应用→创造→反思"的学习闭环。前两个实验让我体验了Skill的强大能力，后两个实验则让我深入理解了Skill的内部机制和潜在风险。这种能力进阶路径非常符合认知心理学中的"从观察到模仿再到创造"的学习规律，让我在学习过程中持续获得成就感。</w:t>
      </w:r>
    </w:p>
    <w:p w14:paraId="3737D9AF">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三】FTP定价模型的现实意义。贷款定价是商业银行最核心的盈利机制，而FTP内部资金转移定价正是其中的关键工具。通过构建三Sheet定价模型，我深刻理解了贷款利率的五个组成部分及其内在逻辑：资金成本（FTP）反映银行的融资成本结构，风险溢价体现对客户信用风险的定价，运营成本和资本占用成本反映了银行内部的资源配置效率，目标利润则关系到银行的盈利可持续性。当看到不同信用等级的客户自动按照VLOOKUP规则匹配不同的风险溢价并汇总为最终利率时，我感受到了"参数化定价"的简洁之美——这正是银行资产负债管理的核心所在。</w:t>
      </w:r>
    </w:p>
    <w:p w14:paraId="6F4AA216">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四】敏感性分析揭示的"定价密码"。在FTP定价模型的敏感性分析中，信用等级降一级最多导致利率上升1.20%，而FTP波动±20bp仅带来±0.20%的变化——两者相差6倍。这一发现有着非常重要的实践意义：在信贷定价中，准确评估借款人的信用状况远比预测资金成本走势更为重要。这解释了为什么银行在信贷审批中投入大量资源进行尽职调查和信用评级——因为信用风险溢价才是定价公式中的"第一变量"，也是银行风险管理的"第一道防线"。</w:t>
      </w:r>
    </w:p>
    <w:p w14:paraId="30317F04">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【五】自写Skill带来的"工程师思维"。编写bank-risk-alert SKILL.md文件的过程，让我从"用户思维"切换到了"设计者思维"。我需要思考：AI应该在什么场景下触发这个Skill（trigger-words）？需要用户提供哪些信息（输入参数）？输出应该是什么结构才能让业务人员一屏看懂（输出模板）？不同风险等级应该对应什么处置措施（分级逻辑）？这种从"使用"到"定义"的视角转换，让我对AI产品的设计理念有了更加深刻的理解——好的AI工具不是它有多"聪明"，而是它的行为边界有多清晰、输出质量有多稳定。</w:t>
      </w:r>
    </w:p>
    <w:p w14:paraId="4ADE991A">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【六】安全审计——"魔鬼在细节中"。在安全审计实验之前，我对finance-expert Skill的技术能力是高度认可的。但在合规视角下重新审视后发现：API Key硬编码在示例代码中（数据泄露风险）、输出结果没有法律免责声明（合规越界风险）、没有trigger-words限制（误触发风险）——这些"细节问题"在技术视角下可能微不足道，但在银行级应用中却可能引发严重的监管问责甚至法律诉讼。这次审计实验让我深刻认识到，金融科技的第一原则不是"技术先进"，而是"合规安全"。</w:t>
      </w:r>
    </w:p>
    <w:p w14:paraId="7D084DBB">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七】数据敏感性分析——"杠杆是把双刃剑"。在恒达机械的敏感性分析中，资产负债率从57.14%提高到75%，Z-Score随即从3.94下降到3.01，综合评分降低近12分。这个实验模拟了企业过度加杠杆的真实风险场景。现实中，许多企业正是因为在经济上行期过度依赖债务融资，导致在经济下行期资金链断裂。这一分析让我更加深刻地理解了巴塞尔协议中关于杠杆率监管指标的设计初衷——控制杠杆就是控制系统性风险。</w:t>
      </w:r>
    </w:p>
    <w:p w14:paraId="5C78F74C">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八】同业对标分析的启示。四家银行的横向对比揭示了不同类型银行的差异化竞争策略：工商银行凭借18.54%的资本充足率和2,100%+的拨备覆盖率，走的是"大而稳"路线；招商银行以15.52%的ROE凸显了"零售之王"的轻资产运营优势；常熟银行则以2.85%的净息差和0.75%的不良率展现了"下沉小微"市场的高收益-低风险兼顾能力。这些差异化的经营策略为我理解银行业的竞争格局提供了直观的数据支撑。</w:t>
      </w:r>
    </w:p>
    <w:p w14:paraId="4A2A60E5">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【九】CNB环境的工程实践价值。从CNB账户注册到Token管理，从Skills CLI安装到仓库同步，整个实验流程覆盖了AI开发项目的完整工程生命周期。特别是Git版本控制和CNB仓库管理，让我养成了"实验即记录、代码即文档"的良好工作习惯。所有交付物均上传至CNB仓库，不仅便于后续复盘和展示，也为团队协作和成果沉淀提供了基础设施。</w:t>
      </w:r>
    </w:p>
    <w:p w14:paraId="79332457">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十】总结与展望。本次智慧银行实验让我经历了一次"从AI消费者到AI创造者"的蜕变。通过六个实验的递进式学习，我掌握了金融类Skill的安装调用方法，体验了从单次技能调用到组合式金融分析的完整流程，独立编写了具有实务价值的预警Skill，并从合规视角完成了系统性的安全审计。这些经验不仅加深了我对金融科技行业的理解，更为我未来从事银行数字化转型工作打下了坚实的技术和认知基础。在今后的学习中，我将继续探索AI在风控建模、智能投顾、反洗钱监测等更广泛金融场景中的应用，力求成为兼具金融素养和AI工程能力的复合型人才。</w:t>
      </w:r>
    </w:p>
    <w:p w14:paraId="675E3663">
      <w:pPr>
        <w:pStyle w:val="3"/>
        <w:rPr>
          <w:rFonts w:hint="eastAsia" w:ascii="微软雅黑" w:hAnsi="微软雅黑" w:eastAsia="微软雅黑" w:cs="微软雅黑"/>
        </w:rPr>
      </w:pPr>
      <w:r>
        <w:rPr>
          <w:rFonts w:hint="eastAsia" w:ascii="微软雅黑" w:hAnsi="微软雅黑" w:eastAsia="微软雅黑" w:cs="微软雅黑"/>
        </w:rPr>
        <w:t>七、附录：文件清单与仓库链接</w:t>
      </w:r>
    </w:p>
    <w:p w14:paraId="362565A3">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主仓库地址：https://cnb.cool/liudandan-2026/Moooa</w:t>
      </w:r>
    </w:p>
    <w:p w14:paraId="42EF64A6">
      <w:pPr>
        <w:ind w:firstLine="420"/>
        <w:jc w:val="both"/>
        <w:rPr>
          <w:rFonts w:hint="eastAsia" w:ascii="微软雅黑" w:hAnsi="微软雅黑" w:eastAsia="微软雅黑" w:cs="微软雅黑"/>
        </w:rPr>
      </w:pPr>
      <w:r>
        <w:rPr>
          <w:rFonts w:hint="eastAsia" w:ascii="微软雅黑" w:hAnsi="微软雅黑" w:eastAsia="微软雅黑" w:cs="微软雅黑"/>
          <w:b w:val="0"/>
          <w:sz w:val="22"/>
        </w:rPr>
        <w:t>以下为本次实验的所有交付物文件清单及其在CNB仓库中的访问链接：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3560"/>
        <w:gridCol w:w="1863"/>
        <w:gridCol w:w="1736"/>
      </w:tblGrid>
      <w:tr w14:paraId="42992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97D" w:themeFill="text2"/>
            <w:vAlign w:val="center"/>
          </w:tcPr>
          <w:p w14:paraId="188055E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w:t>
            </w:r>
          </w:p>
        </w:tc>
        <w:tc>
          <w:tcPr>
            <w:tcW w:w="2160" w:type="dxa"/>
            <w:shd w:val="clear" w:color="auto" w:fill="1F497D" w:themeFill="text2"/>
            <w:vAlign w:val="center"/>
          </w:tcPr>
          <w:p w14:paraId="1D70CD7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文件名/目录</w:t>
            </w:r>
          </w:p>
        </w:tc>
        <w:tc>
          <w:tcPr>
            <w:tcW w:w="2160" w:type="dxa"/>
            <w:shd w:val="clear" w:color="auto" w:fill="1F497D" w:themeFill="text2"/>
            <w:vAlign w:val="center"/>
          </w:tcPr>
          <w:p w14:paraId="3A6C2F6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说明</w:t>
            </w:r>
          </w:p>
        </w:tc>
        <w:tc>
          <w:tcPr>
            <w:tcW w:w="2160" w:type="dxa"/>
            <w:shd w:val="clear" w:color="auto" w:fill="1F497D" w:themeFill="text2"/>
            <w:vAlign w:val="center"/>
          </w:tcPr>
          <w:p w14:paraId="798ECBE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b/>
                <w:color w:val="FFFFFF"/>
                <w:sz w:val="20"/>
                <w:szCs w:val="20"/>
              </w:rPr>
              <w:t>实验来源</w:t>
            </w:r>
          </w:p>
        </w:tc>
      </w:tr>
      <w:tr w14:paraId="6B0D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DB406C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1</w:t>
            </w:r>
          </w:p>
        </w:tc>
        <w:tc>
          <w:tcPr>
            <w:tcW w:w="2160" w:type="dxa"/>
            <w:vAlign w:val="center"/>
          </w:tcPr>
          <w:p w14:paraId="504B31D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reports/客户回访报告_C00001.docx</w:t>
            </w:r>
          </w:p>
        </w:tc>
        <w:tc>
          <w:tcPr>
            <w:tcW w:w="2160" w:type="dxa"/>
            <w:vAlign w:val="center"/>
          </w:tcPr>
          <w:p w14:paraId="6DD4407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docx Skill生成的VIP客户电话回访报告</w:t>
            </w:r>
          </w:p>
        </w:tc>
        <w:tc>
          <w:tcPr>
            <w:tcW w:w="2160" w:type="dxa"/>
            <w:vAlign w:val="center"/>
          </w:tcPr>
          <w:p w14:paraId="7449697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实验3.2</w:t>
            </w:r>
          </w:p>
        </w:tc>
      </w:tr>
      <w:tr w14:paraId="442D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A56CE9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2</w:t>
            </w:r>
          </w:p>
        </w:tc>
        <w:tc>
          <w:tcPr>
            <w:tcW w:w="2160" w:type="dxa"/>
            <w:vAlign w:val="center"/>
          </w:tcPr>
          <w:p w14:paraId="14368A5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reports/credit_risk_hengda.md</w:t>
            </w:r>
          </w:p>
        </w:tc>
        <w:tc>
          <w:tcPr>
            <w:tcW w:w="2160" w:type="dxa"/>
            <w:vAlign w:val="center"/>
          </w:tcPr>
          <w:p w14:paraId="4F3360F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恒达机械信用风险评估（含敏感性分析）</w:t>
            </w:r>
          </w:p>
        </w:tc>
        <w:tc>
          <w:tcPr>
            <w:tcW w:w="2160" w:type="dxa"/>
            <w:vAlign w:val="center"/>
          </w:tcPr>
          <w:p w14:paraId="57E795D2">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实验3.3</w:t>
            </w:r>
          </w:p>
        </w:tc>
      </w:tr>
      <w:tr w14:paraId="665F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448D56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3</w:t>
            </w:r>
          </w:p>
        </w:tc>
        <w:tc>
          <w:tcPr>
            <w:tcW w:w="2160" w:type="dxa"/>
            <w:vAlign w:val="center"/>
          </w:tcPr>
          <w:p w14:paraId="1E69D7C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reports/bank_peer_comparison.md</w:t>
            </w:r>
          </w:p>
        </w:tc>
        <w:tc>
          <w:tcPr>
            <w:tcW w:w="2160" w:type="dxa"/>
            <w:vAlign w:val="center"/>
          </w:tcPr>
          <w:p w14:paraId="1491FAB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四家银行同业对标分析对比报告</w:t>
            </w:r>
          </w:p>
        </w:tc>
        <w:tc>
          <w:tcPr>
            <w:tcW w:w="2160" w:type="dxa"/>
            <w:vAlign w:val="center"/>
          </w:tcPr>
          <w:p w14:paraId="4A6F010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拓展A</w:t>
            </w:r>
          </w:p>
        </w:tc>
      </w:tr>
      <w:tr w14:paraId="3715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E124E1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4</w:t>
            </w:r>
          </w:p>
        </w:tc>
        <w:tc>
          <w:tcPr>
            <w:tcW w:w="2160" w:type="dxa"/>
            <w:vAlign w:val="center"/>
          </w:tcPr>
          <w:p w14:paraId="4C189F6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reports/loan_pricing_model.xlsx</w:t>
            </w:r>
          </w:p>
        </w:tc>
        <w:tc>
          <w:tcPr>
            <w:tcW w:w="2160" w:type="dxa"/>
            <w:vAlign w:val="center"/>
          </w:tcPr>
          <w:p w14:paraId="4ED81DE7">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贷款FTP定价模型（3 Sheet + Excel公式）</w:t>
            </w:r>
          </w:p>
        </w:tc>
        <w:tc>
          <w:tcPr>
            <w:tcW w:w="2160" w:type="dxa"/>
            <w:vAlign w:val="center"/>
          </w:tcPr>
          <w:p w14:paraId="4F8A6FC6">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实验3.5</w:t>
            </w:r>
          </w:p>
        </w:tc>
      </w:tr>
      <w:tr w14:paraId="21D2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3CF928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5</w:t>
            </w:r>
          </w:p>
        </w:tc>
        <w:tc>
          <w:tcPr>
            <w:tcW w:w="2160" w:type="dxa"/>
            <w:vAlign w:val="center"/>
          </w:tcPr>
          <w:p w14:paraId="07BA46CB">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.trae/skills/bank-risk-alert/SKILL.md</w:t>
            </w:r>
          </w:p>
        </w:tc>
        <w:tc>
          <w:tcPr>
            <w:tcW w:w="2160" w:type="dxa"/>
            <w:vAlign w:val="center"/>
          </w:tcPr>
          <w:p w14:paraId="699AFB04">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自编写贷后风险预警Skill文件</w:t>
            </w:r>
          </w:p>
        </w:tc>
        <w:tc>
          <w:tcPr>
            <w:tcW w:w="2160" w:type="dxa"/>
            <w:vAlign w:val="center"/>
          </w:tcPr>
          <w:p w14:paraId="0D94994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实验3.6</w:t>
            </w:r>
          </w:p>
        </w:tc>
      </w:tr>
      <w:tr w14:paraId="180A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8A7295D">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6</w:t>
            </w:r>
          </w:p>
        </w:tc>
        <w:tc>
          <w:tcPr>
            <w:tcW w:w="2160" w:type="dxa"/>
            <w:vAlign w:val="center"/>
          </w:tcPr>
          <w:p w14:paraId="19FDF29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reports/skill_audit_report.md</w:t>
            </w:r>
          </w:p>
        </w:tc>
        <w:tc>
          <w:tcPr>
            <w:tcW w:w="2160" w:type="dxa"/>
            <w:vAlign w:val="center"/>
          </w:tcPr>
          <w:p w14:paraId="56014CFC">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finance-expert五维安全审计报告</w:t>
            </w:r>
          </w:p>
        </w:tc>
        <w:tc>
          <w:tcPr>
            <w:tcW w:w="2160" w:type="dxa"/>
            <w:shd w:val="clear" w:color="auto" w:fill="F5F5F5"/>
            <w:vAlign w:val="center"/>
          </w:tcPr>
          <w:p w14:paraId="20FCB875">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实验3.7</w:t>
            </w:r>
          </w:p>
        </w:tc>
      </w:tr>
      <w:tr w14:paraId="7A25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1C24ACA">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7</w:t>
            </w:r>
          </w:p>
        </w:tc>
        <w:tc>
          <w:tcPr>
            <w:tcW w:w="2160" w:type="dxa"/>
            <w:vAlign w:val="center"/>
          </w:tcPr>
          <w:p w14:paraId="50D70039">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reports/第三次实验报告_v4.docx</w:t>
            </w:r>
          </w:p>
        </w:tc>
        <w:tc>
          <w:tcPr>
            <w:tcW w:w="2160" w:type="dxa"/>
            <w:vAlign w:val="center"/>
          </w:tcPr>
          <w:p w14:paraId="1DD8FEA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本实验报告文档</w:t>
            </w:r>
          </w:p>
        </w:tc>
        <w:tc>
          <w:tcPr>
            <w:tcW w:w="2160" w:type="dxa"/>
            <w:vAlign w:val="center"/>
          </w:tcPr>
          <w:p w14:paraId="24976AF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0"/>
                <w:szCs w:val="20"/>
              </w:rPr>
            </w:pPr>
            <w:r>
              <w:rPr>
                <w:rFonts w:hint="eastAsia" w:ascii="微软雅黑" w:hAnsi="微软雅黑" w:eastAsia="微软雅黑" w:cs="微软雅黑"/>
                <w:sz w:val="20"/>
                <w:szCs w:val="20"/>
              </w:rPr>
              <w:t>汇总</w:t>
            </w:r>
          </w:p>
        </w:tc>
      </w:tr>
    </w:tbl>
    <w:p w14:paraId="04BEF194">
      <w:pPr>
        <w:rPr>
          <w:rFonts w:hint="eastAsia" w:ascii="微软雅黑" w:hAnsi="微软雅黑" w:eastAsia="微软雅黑" w:cs="微软雅黑"/>
        </w:rPr>
      </w:pPr>
    </w:p>
    <w:p w14:paraId="0EF90950">
      <w:pPr>
        <w:rPr>
          <w:rFonts w:hint="eastAsia" w:ascii="微软雅黑" w:hAnsi="微软雅黑" w:eastAsia="微软雅黑" w:cs="微软雅黑"/>
        </w:rPr>
      </w:pPr>
    </w:p>
    <w:p w14:paraId="3451715C">
      <w:pPr>
        <w:rPr>
          <w:rFonts w:hint="eastAsia" w:ascii="微软雅黑" w:hAnsi="微软雅黑" w:eastAsia="微软雅黑" w:cs="微软雅黑"/>
          <w:b/>
          <w:sz w:val="20"/>
        </w:rPr>
      </w:pPr>
    </w:p>
    <w:p w14:paraId="6C8579ED">
      <w:pPr>
        <w:rPr>
          <w:rFonts w:hint="eastAsia" w:ascii="微软雅黑" w:hAnsi="微软雅黑" w:eastAsia="微软雅黑" w:cs="微软雅黑"/>
        </w:rPr>
      </w:pPr>
      <w:r>
        <w:rPr>
          <w:rFonts w:hint="eastAsia" w:ascii="微软雅黑" w:hAnsi="微软雅黑" w:eastAsia="微软雅黑" w:cs="微软雅黑"/>
          <w:b/>
          <w:sz w:val="20"/>
        </w:rPr>
        <w:t>📄 客户回访报告</w:t>
      </w:r>
    </w:p>
    <w:p w14:paraId="05767868">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https://cnb.cool/liudandan-2026/Moooa/-/blob/master/reports/%E5%AE%A2%E6%88%B7%E5%9B%9E%E8%AE%BF%E6%8A%A5%E5%91%8A_C00001.docx</w:t>
      </w:r>
    </w:p>
    <w:p w14:paraId="1F97C93E">
      <w:pPr>
        <w:rPr>
          <w:rFonts w:hint="eastAsia" w:ascii="微软雅黑" w:hAnsi="微软雅黑" w:eastAsia="微软雅黑" w:cs="微软雅黑"/>
        </w:rPr>
      </w:pPr>
      <w:r>
        <w:rPr>
          <w:rFonts w:hint="eastAsia" w:ascii="微软雅黑" w:hAnsi="微软雅黑" w:eastAsia="微软雅黑" w:cs="微软雅黑"/>
          <w:b/>
          <w:sz w:val="20"/>
        </w:rPr>
        <w:t>📄 信用风险评估</w:t>
      </w:r>
    </w:p>
    <w:p w14:paraId="316E27EC">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https://cnb.cool/liudandan-2026/Moooa/-/blob/master/reports/credit_risk_hengda.md</w:t>
      </w:r>
    </w:p>
    <w:p w14:paraId="4954DEC0">
      <w:pPr>
        <w:rPr>
          <w:rFonts w:hint="eastAsia" w:ascii="微软雅黑" w:hAnsi="微软雅黑" w:eastAsia="微软雅黑" w:cs="微软雅黑"/>
        </w:rPr>
      </w:pPr>
      <w:r>
        <w:rPr>
          <w:rFonts w:hint="eastAsia" w:ascii="微软雅黑" w:hAnsi="微软雅黑" w:eastAsia="微软雅黑" w:cs="微软雅黑"/>
          <w:b/>
          <w:sz w:val="20"/>
        </w:rPr>
        <w:t>📄 银行同业对标</w:t>
      </w:r>
    </w:p>
    <w:p w14:paraId="4F920BD8">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https://cnb.cool/liudandan-2026/Moooa/-/blob/master/reports/bank_peer_comparison.md</w:t>
      </w:r>
    </w:p>
    <w:p w14:paraId="2F79D21E">
      <w:pPr>
        <w:rPr>
          <w:rFonts w:hint="eastAsia" w:ascii="微软雅黑" w:hAnsi="微软雅黑" w:eastAsia="微软雅黑" w:cs="微软雅黑"/>
        </w:rPr>
      </w:pPr>
      <w:r>
        <w:rPr>
          <w:rFonts w:hint="eastAsia" w:ascii="微软雅黑" w:hAnsi="微软雅黑" w:eastAsia="微软雅黑" w:cs="微软雅黑"/>
          <w:b/>
          <w:sz w:val="20"/>
        </w:rPr>
        <w:t>📄 FTP定价模型</w:t>
      </w:r>
    </w:p>
    <w:p w14:paraId="0EC62D42">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https://cnb.cool/liudandan-2026/Moooa/-/blob/master/reports/loan_pricing_model.xlsx</w:t>
      </w:r>
    </w:p>
    <w:p w14:paraId="0F9B4659">
      <w:pPr>
        <w:rPr>
          <w:rFonts w:hint="eastAsia" w:ascii="微软雅黑" w:hAnsi="微软雅黑" w:eastAsia="微软雅黑" w:cs="微软雅黑"/>
        </w:rPr>
      </w:pPr>
      <w:r>
        <w:rPr>
          <w:rFonts w:hint="eastAsia" w:ascii="微软雅黑" w:hAnsi="微软雅黑" w:eastAsia="微软雅黑" w:cs="微软雅黑"/>
          <w:b/>
          <w:sz w:val="20"/>
        </w:rPr>
        <w:t>📄 bank-risk-alert SKILL.md</w:t>
      </w:r>
    </w:p>
    <w:p w14:paraId="1430B6EC">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https://cnb.cool/liudandan-2026/Moooa/-/blob/master/.trae/skills/bank-risk-alert/SKILL.md</w:t>
      </w:r>
    </w:p>
    <w:p w14:paraId="708461B1">
      <w:pPr>
        <w:rPr>
          <w:rFonts w:hint="eastAsia" w:ascii="微软雅黑" w:hAnsi="微软雅黑" w:eastAsia="微软雅黑" w:cs="微软雅黑"/>
        </w:rPr>
      </w:pPr>
      <w:r>
        <w:rPr>
          <w:rFonts w:hint="eastAsia" w:ascii="微软雅黑" w:hAnsi="微软雅黑" w:eastAsia="微软雅黑" w:cs="微软雅黑"/>
          <w:b/>
          <w:sz w:val="20"/>
        </w:rPr>
        <w:t>📄 安全审计报告</w:t>
      </w:r>
    </w:p>
    <w:p w14:paraId="23E8CF5E">
      <w:pPr>
        <w:ind w:left="283"/>
        <w:rPr>
          <w:rFonts w:hint="eastAsia" w:ascii="微软雅黑" w:hAnsi="微软雅黑" w:eastAsia="微软雅黑" w:cs="微软雅黑"/>
        </w:rPr>
      </w:pPr>
      <w:r>
        <w:rPr>
          <w:rFonts w:hint="eastAsia" w:ascii="微软雅黑" w:hAnsi="微软雅黑" w:eastAsia="微软雅黑" w:cs="微软雅黑"/>
          <w:color w:val="0070C0"/>
          <w:sz w:val="17"/>
        </w:rPr>
        <w:t>https://cnb.cool/liudandan-2026/Moooa/-/blob/master/reports/skill_audit_report.md</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D5920">
    <w:pPr>
      <w:pStyle w:val="24"/>
      <w:pBdr>
        <w:top w:val="single" w:color="2E75B6" w:sz="6" w:space="1"/>
      </w:pBdr>
      <w:jc w:val="center"/>
    </w:pPr>
    <w:r>
      <w:rPr>
        <w:rFonts w:ascii="微软雅黑" w:hAnsi="微软雅黑" w:eastAsia="微软雅黑"/>
        <w:b w:val="0"/>
        <w:color w:val="888888"/>
        <w:sz w:val="18"/>
      </w:rPr>
      <w:t xml:space="preserve">第 </w:t>
    </w:r>
    <w:r>
      <w:fldChar w:fldCharType="begin"/>
    </w:r>
    <w:r>
      <w:instrText xml:space="preserve"> PAGE </w:instrText>
    </w:r>
    <w:r>
      <w:fldChar w:fldCharType="end"/>
    </w:r>
    <w:r>
      <w:rPr>
        <w:rFonts w:ascii="微软雅黑" w:hAnsi="微软雅黑" w:eastAsia="微软雅黑"/>
        <w:b w:val="0"/>
        <w:color w:val="888888"/>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08A2B">
    <w:pPr>
      <w:pStyle w:val="25"/>
      <w:jc w:val="right"/>
    </w:pPr>
    <w:r>
      <w:rPr>
        <w:rFonts w:ascii="微软雅黑" w:hAnsi="微软雅黑" w:eastAsia="微软雅黑"/>
        <w:b w:val="0"/>
        <w:color w:val="888888"/>
        <w:sz w:val="18"/>
      </w:rPr>
      <w:t>智慧银行综合实验 - 第三次实验报告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562182D"/>
    <w:multiLevelType w:val="singleLevel"/>
    <w:tmpl w:val="0562182D"/>
    <w:lvl w:ilvl="0" w:tentative="0">
      <w:start w:val="1"/>
      <w:numFmt w:val="bullet"/>
      <w:lvlText w:val=""/>
      <w:lvlJc w:val="left"/>
      <w:pPr>
        <w:ind w:left="42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7F2DCC"/>
    <w:rsid w:val="1F8E612F"/>
    <w:rsid w:val="5155490C"/>
    <w:rsid w:val="53E473D2"/>
    <w:rsid w:val="5D2C42B6"/>
    <w:rsid w:val="5D683540"/>
    <w:rsid w:val="72332829"/>
    <w:rsid w:val="732D2E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5B6"/>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E75B6"/>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3568</Words>
  <Characters>5616</Characters>
  <Lines>0</Lines>
  <Paragraphs>0</Paragraphs>
  <TotalTime>0</TotalTime>
  <ScaleCrop>false</ScaleCrop>
  <LinksUpToDate>false</LinksUpToDate>
  <CharactersWithSpaces>5984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2026-06-27T05:22:05Z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eyJoZGlkIjoiNzk2YmEwNzgzNDc0YjU2NDI1NTBmZTc0NzU1MDQzMjAiLCJ1c2VySWQiOiI2MTU0Mzc5NjkifQ==</vt:lpwstr>
  </property>
  <property fmtid="{D5CDD505-2E9C-101B-9397-08002B2CF9AE}" pid="3" name="KSOProductBuildVer">
    <vt:lpwstr>2052-12.1.0.26895</vt:lpwstr>
  </property>
  <property fmtid="{D5CDD505-2E9C-101B-9397-08002B2CF9AE}" pid="4" name="ICV">
    <vt:lpwstr>47E129DDDF664E6A948FE499E5E86B19_12</vt:lpwstr>
  </property>
</Properties>
</file>