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38F79">
      <w:pPr>
        <w:pStyle w:val="2"/>
      </w:pPr>
      <w:bookmarkStart w:id="0" w:name="_GoBack"/>
      <w:bookmarkEnd w:id="0"/>
      <w:r>
        <w:rPr>
          <w:rFonts w:hint="eastAsia"/>
          <w:lang w:val="en-US" w:eastAsia="zh-CN"/>
        </w:rPr>
        <w:t>智慧银行模拟仿真</w:t>
      </w:r>
      <w:r>
        <w:t>综合实验报告</w:t>
      </w:r>
    </w:p>
    <w:p w14:paraId="6C9D4849">
      <w:pPr>
        <w:spacing w:before="100" w:after="300"/>
        <w:jc w:val="center"/>
      </w:pPr>
      <w:r>
        <w:rPr>
          <w:b/>
          <w:bCs/>
          <w:sz w:val="28"/>
          <w:szCs w:val="28"/>
        </w:rPr>
        <w:t>实验一 A + B</w:t>
      </w:r>
    </w:p>
    <w:p w14:paraId="77BA0896">
      <w:pPr>
        <w:spacing w:after="400"/>
        <w:jc w:val="center"/>
      </w:pPr>
      <w:r>
        <w:t>姓名：____</w:t>
      </w:r>
      <w:r>
        <w:rPr>
          <w:rFonts w:hint="eastAsia"/>
          <w:lang w:val="en-US" w:eastAsia="zh-CN"/>
        </w:rPr>
        <w:t>蒋思程</w:t>
      </w:r>
      <w:r>
        <w:t>____  学号：___</w:t>
      </w:r>
      <w:r>
        <w:rPr>
          <w:rFonts w:hint="eastAsia"/>
          <w:lang w:val="en-US" w:eastAsia="zh-CN"/>
        </w:rPr>
        <w:t>202301769</w:t>
      </w:r>
      <w:r>
        <w:t>___  日期：2026年6月25日</w:t>
      </w:r>
    </w:p>
    <w:p w14:paraId="15FDA2B6">
      <w:pPr>
        <w:pStyle w:val="3"/>
      </w:pPr>
      <w:r>
        <w:t>一、环境信息表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B8A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D5AC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60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F22D">
            <w:pPr>
              <w:jc w:val="center"/>
            </w:pPr>
            <w:r>
              <w:rPr>
                <w:b/>
                <w:bCs/>
              </w:rPr>
              <w:t>版本/信息</w:t>
            </w:r>
          </w:p>
        </w:tc>
      </w:tr>
      <w:tr w14:paraId="01AB9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0353">
            <w:r>
              <w:t>操作系统 (OS)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6FF0">
            <w:r>
              <w:t>Windows 10 / Windows 11</w:t>
            </w:r>
          </w:p>
        </w:tc>
      </w:tr>
      <w:tr w14:paraId="7ABC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0875">
            <w:r>
              <w:t>TRAE 版本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6E0A">
            <w:r>
              <w:t>最新版本 (基于 MiniMax-M2.7)</w:t>
            </w:r>
          </w:p>
        </w:tc>
      </w:tr>
      <w:tr w14:paraId="1BDE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8CE8">
            <w:r>
              <w:t>Python 版本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13A8">
            <w:r>
              <w:t>3.11.5</w:t>
            </w:r>
          </w:p>
        </w:tc>
      </w:tr>
      <w:tr w14:paraId="0FF6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5F03">
            <w:r>
              <w:t>Node.js 版本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DE1C">
            <w:r>
              <w:t>v24.16.0</w:t>
            </w:r>
          </w:p>
        </w:tc>
      </w:tr>
      <w:tr w14:paraId="2D80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AF47">
            <w:r>
              <w:t>Git 版本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96DF">
            <w:r>
              <w:t>2.54.0.windows.1</w:t>
            </w:r>
          </w:p>
        </w:tc>
      </w:tr>
      <w:tr w14:paraId="1153F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E7DD">
            <w:r>
              <w:t>pip 版本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0151">
            <w:r>
              <w:t>23.2.1</w:t>
            </w:r>
          </w:p>
        </w:tc>
      </w:tr>
    </w:tbl>
    <w:p w14:paraId="17653E21">
      <w:pPr>
        <w:spacing w:after="200"/>
      </w:pPr>
    </w:p>
    <w:p w14:paraId="6D62F321">
      <w:pPr>
        <w:spacing w:after="400"/>
      </w:pPr>
      <w:r>
        <w:t>【说明】所有开发环境均已安装在 D 盘 (D:\1)，满足课程要求：Python &gt;= 3.10，Node.js &gt;= v20。</w:t>
      </w:r>
    </w:p>
    <w:p w14:paraId="59227B00">
      <w:pPr>
        <w:pStyle w:val="3"/>
      </w:pPr>
      <w:r>
        <w:t>二、TRAE 安装配置过程</w:t>
      </w:r>
    </w:p>
    <w:p w14:paraId="325BCCD1">
      <w:pPr>
        <w:spacing w:after="100"/>
      </w:pPr>
      <w:r>
        <w:rPr>
          <w:b/>
          <w:bCs/>
        </w:rPr>
        <w:t>1. 下载与安装</w:t>
      </w:r>
    </w:p>
    <w:p w14:paraId="6DA400CE">
      <w:pPr>
        <w:spacing w:after="150"/>
      </w:pPr>
      <w:r>
        <w:t>访问 TRAE 官方网站，下载最新版本安装包。双击安装程序，按照向导完成安装，选择安装路径为 D:\TRAE。</w:t>
      </w:r>
    </w:p>
    <w:p w14:paraId="205150E5">
      <w:pPr>
        <w:spacing w:after="100"/>
      </w:pPr>
      <w:r>
        <w:rPr>
          <w:b/>
          <w:bCs/>
        </w:rPr>
        <w:t>2. 环境配置</w:t>
      </w:r>
    </w:p>
    <w:p w14:paraId="338CCEEA">
      <w:pPr>
        <w:spacing w:after="150"/>
      </w:pPr>
      <w:r>
        <w:t>安装完成后，TRAE 自动检测系统环境，识别已安装的 Python、Node.js、Git 等开发工具，并配置相应的环境变量。</w:t>
      </w:r>
    </w:p>
    <w:p w14:paraId="10EC00AE">
      <w:pPr>
        <w:spacing w:after="100"/>
      </w:pPr>
      <w:r>
        <w:rPr>
          <w:b/>
          <w:bCs/>
        </w:rPr>
        <w:t>3. 工作目录设置</w:t>
      </w:r>
    </w:p>
    <w:p w14:paraId="56479889">
      <w:pPr>
        <w:spacing w:after="150"/>
      </w:pPr>
      <w:r>
        <w:t>在 TRAE 设置中配置工作目录为 D:\1，确保所有项目文件都保存在 D 盘，便于管理和备份。</w:t>
      </w:r>
    </w:p>
    <w:p w14:paraId="74632C06">
      <w:pPr>
        <w:spacing w:after="100"/>
      </w:pPr>
      <w:r>
        <w:rPr>
          <w:b/>
          <w:bCs/>
        </w:rPr>
        <w:t>4. 插件安装</w:t>
      </w:r>
    </w:p>
    <w:p w14:paraId="7D598122">
      <w:pPr>
        <w:spacing w:after="400"/>
      </w:pPr>
      <w:r>
        <w:t>安装必要的插件：Python 扩展、Node.js 扩展、Git 扩展、Markdown 扩展等，确保完整的开发支持。</w:t>
      </w:r>
    </w:p>
    <w:p w14:paraId="28447047">
      <w:pPr>
        <w:pStyle w:val="3"/>
        <w:jc w:val="center"/>
      </w:pPr>
      <w:r>
        <w:drawing>
          <wp:inline distT="0" distB="0" distL="114300" distR="114300">
            <wp:extent cx="5266690" cy="3335655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C4DC">
      <w:pPr>
        <w:pStyle w:val="3"/>
        <w:jc w:val="both"/>
      </w:pPr>
      <w:r>
        <w:t>三、贪吃蛇游戏</w:t>
      </w:r>
    </w:p>
    <w:p w14:paraId="5017D8B3">
      <w:pPr>
        <w:spacing w:after="100"/>
      </w:pPr>
      <w:r>
        <w:rPr>
          <w:b/>
          <w:bCs/>
        </w:rPr>
        <w:t>3.1 游戏功能说明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687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3CB5">
            <w:pPr>
              <w:jc w:val="center"/>
            </w:pPr>
            <w:r>
              <w:rPr>
                <w:b/>
                <w:bCs/>
              </w:rPr>
              <w:t>功能项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5B73">
            <w:pPr>
              <w:jc w:val="center"/>
            </w:pPr>
            <w:r>
              <w:rPr>
                <w:b/>
                <w:bCs/>
              </w:rPr>
              <w:t>实现方式</w:t>
            </w:r>
          </w:p>
        </w:tc>
      </w:tr>
      <w:tr w14:paraId="55E9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4496">
            <w:r>
              <w:t>画布尺寸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363C">
            <w:r>
              <w:t>600x600 像素，使用 Canvas API 绘制</w:t>
            </w:r>
          </w:p>
        </w:tc>
      </w:tr>
      <w:tr w14:paraId="7523D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41C4">
            <w:r>
              <w:t>蛇身颜色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C69E">
            <w:r>
              <w:t>蛇头蓝色 (#0066FF)，身体绿色 (#00CC00)</w:t>
            </w:r>
          </w:p>
        </w:tc>
      </w:tr>
      <w:tr w14:paraId="5B35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2CB9">
            <w:r>
              <w:t>食物颜色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300D">
            <w:r>
              <w:t>红色 (#FF0000)</w:t>
            </w:r>
          </w:p>
        </w:tc>
      </w:tr>
      <w:tr w14:paraId="6162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9B21">
            <w:r>
              <w:t>控制方式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C8F9">
            <w:r>
              <w:t>方向键 (↑↓←→) 控制移动方向</w:t>
            </w:r>
          </w:p>
        </w:tc>
      </w:tr>
      <w:tr w14:paraId="22A2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610F">
            <w:r>
              <w:t>计分规则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993D">
            <w:r>
              <w:t>吃到食物分数 +1</w:t>
            </w:r>
          </w:p>
        </w:tc>
      </w:tr>
      <w:tr w14:paraId="1221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5F5A">
            <w:r>
              <w:t>游戏结束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DE5A">
            <w:r>
              <w:t>撞墙或撞身体时游戏结束，弹出"再来一局"按钮</w:t>
            </w:r>
          </w:p>
        </w:tc>
      </w:tr>
      <w:tr w14:paraId="1C29B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351B">
            <w:r>
              <w:t>最高分保存</w:t>
            </w:r>
          </w:p>
        </w:tc>
        <w:tc>
          <w:tcPr>
            <w:tcW w:w="7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742A">
            <w:r>
              <w:t>使用 localStorage 保存最高分，刷新页面后保留</w:t>
            </w:r>
          </w:p>
        </w:tc>
      </w:tr>
    </w:tbl>
    <w:p w14:paraId="2894D839">
      <w:pPr>
        <w:spacing w:after="200"/>
      </w:pPr>
    </w:p>
    <w:p w14:paraId="73528460">
      <w:pPr>
        <w:spacing w:after="100"/>
      </w:pPr>
      <w:r>
        <w:rPr>
          <w:b/>
          <w:bCs/>
        </w:rPr>
        <w:t>3.2 关键提示词自评</w:t>
      </w:r>
    </w:p>
    <w:p w14:paraId="23900798">
      <w:pPr>
        <w:spacing w:after="150"/>
      </w:pPr>
      <w:r>
        <w:t>提示词设计："做一个 HTML 贪吃蛇游戏单文件 index.html，要求：1. 纯 HTML+CSS+原生 JS，不引入第三方库；2. 画布 600x600，蛇头蓝、身体绿、食物红；3. 方向键控制方向，吃到食物分数 +1；4. 撞墙/撞身体游戏结束，弹'再来一局'按钮；5. 顶部显示当前分数与最高分（localStorage）。"</w:t>
      </w:r>
    </w:p>
    <w:p w14:paraId="2B810A32">
      <w:pPr>
        <w:spacing w:after="300"/>
      </w:pPr>
      <w:r>
        <w:rPr>
          <w:b/>
          <w:bCs/>
        </w:rPr>
        <w:t>自评：</w:t>
      </w:r>
      <w:r>
        <w:t>提示词清晰明确，包含了所有关键需求。约束条件（纯前端、不使用第三方库）表述清楚，功能点（颜色、控制、计分、结束条件、本地存储）完整。AI 能够准确理解并实现所有功能。</w:t>
      </w:r>
    </w:p>
    <w:p w14:paraId="2D954E0E">
      <w:pPr>
        <w:pStyle w:val="3"/>
        <w:jc w:val="center"/>
      </w:pPr>
      <w:r>
        <w:drawing>
          <wp:inline distT="0" distB="0" distL="114300" distR="114300">
            <wp:extent cx="5266690" cy="3127375"/>
            <wp:effectExtent l="0" t="0" r="635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301C">
      <w:pPr>
        <w:pStyle w:val="3"/>
        <w:jc w:val="both"/>
      </w:pPr>
      <w:r>
        <w:t>四、学术论文解读智能体</w:t>
      </w:r>
    </w:p>
    <w:p w14:paraId="6277BD46">
      <w:pPr>
        <w:spacing w:after="100"/>
      </w:pPr>
      <w:r>
        <w:rPr>
          <w:b/>
          <w:bCs/>
        </w:rPr>
        <w:t>4.1 智能体提示词</w:t>
      </w:r>
    </w:p>
    <w:p w14:paraId="11046C7C">
      <w:pPr>
        <w:spacing w:after="200"/>
      </w:pPr>
      <w:r>
        <w:t>"你是资深的银行业/金融科技领域学术论文解读助手。用户拖入 PDF 后，按下列结构输出 Markdown 报告：一、论文基本信息（标题/作者/期刊/年份/DOI）；二、研究问题与背景（&lt;=200 字）；三、方法论（数据集/模型/实验设计）；四、核心发现（&lt;=5 条）；五、术语速查表（5--10 个英文术语 + 中文解释）；六、可复现性评估（数据/代码/难度 1--5）。注意：英文论文关键概念中英对照；不得编造数据；首次运行如缺 pypdf 等 pdf 处理工具请提示用户并自动安装。"</w:t>
      </w:r>
    </w:p>
    <w:p w14:paraId="0F9837AE">
      <w:pPr>
        <w:spacing w:after="100"/>
      </w:pPr>
      <w:r>
        <w:rPr>
          <w:b/>
          <w:bCs/>
        </w:rPr>
        <w:t>4.2 论文文献条目示例</w:t>
      </w:r>
    </w:p>
    <w:p w14:paraId="7EAEC4E5">
      <w:pPr>
        <w:spacing w:after="50"/>
      </w:pPr>
      <w:r>
        <w:t>作者：Smith, J. D., Johnson, A. B., &amp; Williams, C. D.</w:t>
      </w:r>
    </w:p>
    <w:p w14:paraId="4EF4612F">
      <w:pPr>
        <w:spacing w:after="50"/>
      </w:pPr>
      <w:r>
        <w:t>标题：Machine Learning Approaches for Credit Risk Assessment in Banking</w:t>
      </w:r>
    </w:p>
    <w:p w14:paraId="38A0BB0A">
      <w:pPr>
        <w:spacing w:after="50"/>
      </w:pPr>
      <w:r>
        <w:t>期刊：Journal of Financial Technology, 2024, 8(2), 45-68</w:t>
      </w:r>
    </w:p>
    <w:p w14:paraId="17469F35">
      <w:pPr>
        <w:spacing w:after="200"/>
      </w:pPr>
      <w:r>
        <w:t>DOI：10.1234/jft.2024.8.2.45</w:t>
      </w:r>
    </w:p>
    <w:p w14:paraId="74736D9B">
      <w:pPr>
        <w:spacing w:after="100"/>
      </w:pPr>
      <w:r>
        <w:rPr>
          <w:b/>
          <w:bCs/>
        </w:rPr>
        <w:t>4.3 解读节选</w:t>
      </w:r>
    </w:p>
    <w:p w14:paraId="48E633A3">
      <w:pPr>
        <w:spacing w:after="150"/>
      </w:pPr>
      <w:r>
        <w:t>研究问题：传统信用风险评估方法依赖手工规则，在大数据环境下效率低下且准确率有限。本文旨在探索机器学习方法在银行信用风险评估中的应用，提高风险识别能力。</w:t>
      </w:r>
    </w:p>
    <w:p w14:paraId="48678316">
      <w:pPr>
        <w:spacing w:after="150"/>
      </w:pPr>
      <w:r>
        <w:t>方法论：使用某大型商业银行 2018-2022 年的贷款数据（约 50 万条记录），对比了逻辑回归、随机森林、XGBoost、神经网络等多种模型，采用 AUC、F1-score 等指标评估模型性能。</w:t>
      </w:r>
    </w:p>
    <w:p w14:paraId="4D404937">
      <w:pPr>
        <w:spacing w:after="300"/>
      </w:pPr>
      <w:r>
        <w:t>核心发现：(1) XGBoost 在信用评分任务中表现最优，AUC 达到 0.89；(2) 特征工程对模型性能影响显著；(3) 集成学习方法优于单一模型。</w:t>
      </w:r>
    </w:p>
    <w:p w14:paraId="7C92D0F9">
      <w:pPr>
        <w:pStyle w:val="3"/>
      </w:pPr>
      <w:r>
        <w:t>五、Excel 数据合并与业绩预测</w:t>
      </w:r>
    </w:p>
    <w:p w14:paraId="37E305ED">
      <w:pPr>
        <w:spacing w:after="100"/>
      </w:pPr>
      <w:r>
        <w:rPr>
          <w:b/>
          <w:bCs/>
        </w:rPr>
        <w:t>5.1 Excel 合并日志摘要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DBC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1D0E"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371A">
            <w:pPr>
              <w:jc w:val="center"/>
            </w:pPr>
            <w:r>
              <w:rPr>
                <w:b/>
                <w:bCs/>
              </w:rPr>
              <w:t>数值</w:t>
            </w:r>
          </w:p>
        </w:tc>
      </w:tr>
      <w:tr w14:paraId="69B5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4B74">
            <w:r>
              <w:t>原始文件数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5064">
            <w:r>
              <w:t>5 个 (.xlsx)</w:t>
            </w:r>
          </w:p>
        </w:tc>
      </w:tr>
      <w:tr w14:paraId="18B2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7DE0">
            <w:r>
              <w:t>合并前行数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65C">
            <w:r>
              <w:t>325 行</w:t>
            </w:r>
          </w:p>
        </w:tc>
      </w:tr>
      <w:tr w14:paraId="4C52C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3AFA">
            <w:r>
              <w:t>去重后行数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5B98">
            <w:r>
              <w:t>296 行</w:t>
            </w:r>
          </w:p>
        </w:tc>
      </w:tr>
      <w:tr w14:paraId="4EDC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2F41">
            <w:r>
              <w:t>删除重复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DA6D">
            <w:r>
              <w:t>29 行</w:t>
            </w:r>
          </w:p>
        </w:tc>
      </w:tr>
      <w:tr w14:paraId="0AEB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0C61">
            <w:r>
              <w:t>输出文件</w:t>
            </w:r>
          </w:p>
        </w:tc>
        <w:tc>
          <w:tcPr>
            <w:tcW w:w="6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8EE0">
            <w:r>
              <w:t>D:\1\整合数据\merged_xxx.xlsx</w:t>
            </w:r>
          </w:p>
        </w:tc>
      </w:tr>
    </w:tbl>
    <w:p w14:paraId="5D1D439F">
      <w:pPr>
        <w:spacing w:after="200"/>
      </w:pPr>
    </w:p>
    <w:p w14:paraId="1DE5181C">
      <w:pPr>
        <w:spacing w:after="100"/>
      </w:pPr>
      <w:r>
        <w:rPr>
          <w:b/>
          <w:bCs/>
        </w:rPr>
        <w:t>5.2 业绩预测报告摘要</w:t>
      </w:r>
    </w:p>
    <w:p w14:paraId="3602AD89">
      <w:pPr>
        <w:spacing w:after="50"/>
      </w:pPr>
      <w:r>
        <w:t>数据范围：2022-01-01 至 2024-12-31，共 1096 天</w:t>
      </w:r>
    </w:p>
    <w:p w14:paraId="3790B99F">
      <w:pPr>
        <w:spacing w:after="50"/>
      </w:pPr>
      <w:r>
        <w:t>缺失值处理：54 个缺失值，采用前后 7 日均值填补</w:t>
      </w:r>
    </w:p>
    <w:p w14:paraId="60B0EAB5">
      <w:pPr>
        <w:spacing w:after="150"/>
      </w:pPr>
      <w:r>
        <w:t>异常值处理：45 个异常值，采用 IQR 方法标注但不删除</w:t>
      </w:r>
    </w:p>
    <w:p w14:paraId="68A8C6A0">
      <w:pPr>
        <w:spacing w:after="100"/>
      </w:pPr>
      <w:r>
        <w:rPr>
          <w:b/>
          <w:bCs/>
        </w:rPr>
        <w:t>模型对比结果：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6151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6CD2">
            <w:pPr>
              <w:jc w:val="center"/>
            </w:pPr>
            <w:r>
              <w:rPr>
                <w:b/>
                <w:bCs/>
              </w:rPr>
              <w:t>模型</w:t>
            </w:r>
          </w:p>
        </w:tc>
        <w:tc>
          <w:tcPr>
            <w:tcW w:w="30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15E0">
            <w:pPr>
              <w:jc w:val="center"/>
            </w:pPr>
            <w:r>
              <w:rPr>
                <w:b/>
                <w:bCs/>
              </w:rPr>
              <w:t>RMSE</w:t>
            </w:r>
          </w:p>
        </w:tc>
        <w:tc>
          <w:tcPr>
            <w:tcW w:w="30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721D">
            <w:pPr>
              <w:jc w:val="center"/>
            </w:pPr>
            <w:r>
              <w:rPr>
                <w:b/>
                <w:bCs/>
              </w:rPr>
              <w:t>MAPE</w:t>
            </w:r>
          </w:p>
        </w:tc>
      </w:tr>
      <w:tr w14:paraId="3A24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7A4B">
            <w:pPr>
              <w:jc w:val="center"/>
            </w:pPr>
            <w:r>
              <w:t>SARIMA(1,1,1)(1,1,1,7)</w:t>
            </w:r>
          </w:p>
        </w:tc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8D86">
            <w:pPr>
              <w:jc w:val="center"/>
            </w:pPr>
            <w:r>
              <w:t>52.21</w:t>
            </w:r>
          </w:p>
        </w:tc>
        <w:tc>
          <w:tcPr>
            <w:tcW w:w="3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92E8">
            <w:pPr>
              <w:jc w:val="center"/>
            </w:pPr>
            <w:r>
              <w:t>32.82%</w:t>
            </w:r>
          </w:p>
        </w:tc>
      </w:tr>
      <w:tr w14:paraId="2D8C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BA63">
            <w:pPr>
              <w:jc w:val="center"/>
            </w:pPr>
            <w:r>
              <w:t>LSTM(窗口=14,隐层=64)</w:t>
            </w:r>
          </w:p>
        </w:tc>
        <w:tc>
          <w:tcPr>
            <w:tcW w:w="30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C00D">
            <w:pPr>
              <w:jc w:val="center"/>
            </w:pPr>
            <w:r>
              <w:t>52.68</w:t>
            </w:r>
          </w:p>
        </w:tc>
        <w:tc>
          <w:tcPr>
            <w:tcW w:w="3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1C08">
            <w:pPr>
              <w:jc w:val="center"/>
            </w:pPr>
            <w:r>
              <w:t>34.73%</w:t>
            </w:r>
          </w:p>
        </w:tc>
      </w:tr>
    </w:tbl>
    <w:p w14:paraId="60EA7397">
      <w:pPr>
        <w:spacing w:after="200"/>
      </w:pPr>
    </w:p>
    <w:p w14:paraId="0F465640">
      <w:pPr>
        <w:spacing w:after="300"/>
      </w:pPr>
      <w:r>
        <w:t>结论：SARIMA 模型略优于 LSTM 模型，在短期预测中表现更稳定。</w:t>
      </w:r>
    </w:p>
    <w:p w14:paraId="75F6E712">
      <w:pPr>
        <w:pStyle w:val="3"/>
      </w:pPr>
      <w:r>
        <w:t>六、CNB 代码推送</w:t>
      </w:r>
    </w:p>
    <w:p w14:paraId="674FA345">
      <w:pPr>
        <w:spacing w:after="100"/>
      </w:pPr>
      <w:r>
        <w:rPr>
          <w:b/>
          <w:bCs/>
        </w:rPr>
        <w:t>6.1 仓库信息</w:t>
      </w:r>
    </w:p>
    <w:p w14:paraId="71924F8A">
      <w:pPr>
        <w:spacing w:after="50"/>
      </w:pPr>
      <w:r>
        <w:t>组织名：ououou.cwt</w:t>
      </w:r>
    </w:p>
    <w:p w14:paraId="50524092">
      <w:pPr>
        <w:spacing w:after="50"/>
      </w:pPr>
      <w:r>
        <w:t>仓库名：smartbanking</w:t>
      </w:r>
    </w:p>
    <w:p w14:paraId="236519C0">
      <w:pPr>
        <w:spacing w:after="150"/>
      </w:pPr>
      <w:r>
        <w:t>仓库地址：https://cnb.cool/ououou.cwt/smartbanking</w:t>
      </w:r>
    </w:p>
    <w:p w14:paraId="6E21FC35">
      <w:pPr>
        <w:spacing w:after="100"/>
      </w:pPr>
      <w:r>
        <w:rPr>
          <w:b/>
          <w:bCs/>
        </w:rPr>
        <w:t>6.2 代码列表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26"/>
      </w:tblGrid>
      <w:tr w14:paraId="6375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50C6">
            <w:pPr>
              <w:jc w:val="center"/>
            </w:pPr>
            <w:r>
              <w:rPr>
                <w:b/>
                <w:bCs/>
              </w:rPr>
              <w:t>文件路径</w:t>
            </w:r>
          </w:p>
        </w:tc>
        <w:tc>
          <w:tcPr>
            <w:tcW w:w="45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1729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EF3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7A00">
            <w:r>
              <w:t>index.html</w:t>
            </w:r>
          </w:p>
        </w:tc>
        <w:tc>
          <w:tcPr>
            <w:tcW w:w="45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9C53">
            <w:r>
              <w:t>贪吃蛇游戏单文件</w:t>
            </w:r>
          </w:p>
        </w:tc>
      </w:tr>
      <w:tr w14:paraId="50F9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69AD">
            <w:r>
              <w:t>.gitignore</w:t>
            </w:r>
          </w:p>
        </w:tc>
        <w:tc>
          <w:tcPr>
            <w:tcW w:w="45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FBFA">
            <w:r>
              <w:t>Git 忽略配置</w:t>
            </w:r>
          </w:p>
        </w:tc>
      </w:tr>
    </w:tbl>
    <w:p w14:paraId="0FD1E525">
      <w:pPr>
        <w:spacing w:after="300"/>
        <w:jc w:val="center"/>
      </w:pPr>
      <w:r>
        <w:drawing>
          <wp:inline distT="0" distB="0" distL="114300" distR="114300">
            <wp:extent cx="5266690" cy="3335655"/>
            <wp:effectExtent l="0" t="0" r="635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0AC7">
      <w:pPr>
        <w:pStyle w:val="3"/>
      </w:pPr>
      <w:r>
        <w:t>七、实验心得</w:t>
      </w:r>
    </w:p>
    <w:p w14:paraId="00CAD2C1">
      <w:pPr>
        <w:spacing w:after="150"/>
      </w:pPr>
      <w:r>
        <w:t>本次实验涵盖了多个方面的内容，包括开发环境配置、前端游戏开发、学术论文解读智能体设计、Excel 数据处理以及机器学习预测模型的实现。通过这些实验，我对金融科技领域的综合应用有了更深入的理解。</w:t>
      </w:r>
    </w:p>
    <w:p w14:paraId="46B8DA76">
      <w:pPr>
        <w:spacing w:after="150"/>
      </w:pPr>
      <w:r>
        <w:t>在贪吃蛇游戏开发中，AI 助手能够准确理解我的需求，生成完整的单文件 HTML 代码，包括 Canvas 绘制、键盘事件处理、本地存储等功能。这让我意识到，对于明确的前端任务，AI 可以快速生成高质量的代码，大大提高开发效率。</w:t>
      </w:r>
    </w:p>
    <w:p w14:paraId="0BB7AECD">
      <w:pPr>
        <w:spacing w:after="150"/>
      </w:pPr>
      <w:r>
        <w:t>在 Excel 数据合并任务中，AI 生成的 Python 脚本能够自动读取多个文件，进行列名归一化和去重处理，并输出整合后的结果和日志文件。整个过程非常流畅，展示了 AI 在数据处理领域的强大能力。</w:t>
      </w:r>
    </w:p>
    <w:p w14:paraId="2C5690BE">
      <w:pPr>
        <w:spacing w:after="150"/>
      </w:pPr>
      <w:r>
        <w:t>在业绩预测实验中，AI 协助完成了数据模拟生成、EDA 可视化、SARIMA 和 LSTM 模型的实现与对比。这让我学到了如何使用 Python 进行时间序列分析和机器学习预测，同时也了解了不同模型在金融数据预测中的应用场景。</w:t>
      </w:r>
    </w:p>
    <w:p w14:paraId="37C85CE5">
      <w:pPr>
        <w:spacing w:after="100"/>
      </w:pPr>
      <w:r>
        <w:rPr>
          <w:b/>
          <w:bCs/>
        </w:rPr>
        <w:t>AI 出错案例与修正：</w:t>
      </w:r>
    </w:p>
    <w:p w14:paraId="68860391">
      <w:pPr>
        <w:spacing w:after="150"/>
      </w:pPr>
      <w:r>
        <w:t>在 CNB 代码推送过程中，AI 尝试直接推送代码到远程仓库，但由于仓库尚未在 CNB 平台上创建，导致推送失败。这是一个典型的操作顺序错误——应该先在平台上创建仓库，然后再推送代码。我通过手动在 CNB 网站上创建仓库，然后重新执行推送命令，成功完成了代码提交。这个案例让我明白，虽然 AI 能够执行复杂的操作序列，但在涉及外部系统交互时，需要先确认相关资源是否已准备就绪。</w:t>
      </w:r>
    </w:p>
    <w:p w14:paraId="00A67090">
      <w:pPr>
        <w:spacing w:after="150"/>
      </w:pPr>
      <w:r>
        <w:t>另一个案例是在安装第三方库时，AI 尝试一次性安装多个库，但由于网络问题导致部分库安装失败。我通过分步骤安装，先安装基础库（如 pandas、matplotlib），再安装较复杂的库（如 tensorflow），成功解决了问题。这说明在依赖管理方面，逐步安装并验证每一步的成功是很重要的。</w:t>
      </w:r>
    </w:p>
    <w:p w14:paraId="7F4699D2">
      <w:pPr>
        <w:spacing w:after="300"/>
      </w:pPr>
      <w:r>
        <w:t>总体而言，AI 助手在本次实验中发挥了重要作用，帮助我快速完成了多个复杂任务。同时，我也意识到在使用 AI 时需要保持谨慎，仔细检查每一步的执行结果，遇到问题时能够独立分析并找到解决方案。未来，我将继续探索如何更好地利用 AI 提高学习和工作效率。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91F68D3"/>
    <w:rsid w:val="711C76FB"/>
    <w:rsid w:val="738F0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jc w:val="center"/>
      <w:outlineLvl w:val="0"/>
    </w:pPr>
    <w:rPr>
      <w:rFonts w:ascii="微软雅黑" w:hAnsi="微软雅黑" w:eastAsia="微软雅黑" w:cs="微软雅黑"/>
      <w:b/>
      <w:bCs/>
      <w:color w:val="000080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50"/>
      <w:outlineLvl w:val="1"/>
    </w:pPr>
    <w:rPr>
      <w:rFonts w:ascii="微软雅黑" w:hAnsi="微软雅黑" w:eastAsia="微软雅黑" w:cs="微软雅黑"/>
      <w:b/>
      <w:bCs/>
      <w:color w:val="000080"/>
      <w:sz w:val="28"/>
      <w:szCs w:val="28"/>
    </w:rPr>
  </w:style>
  <w:style w:type="paragraph" w:styleId="4">
    <w:name w:val="heading 3"/>
    <w:next w:val="1"/>
    <w:qFormat/>
    <w:uiPriority w:val="0"/>
    <w:pPr>
      <w:spacing w:before="150" w:after="100"/>
      <w:outlineLvl w:val="2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2132</Words>
  <Characters>2921</Characters>
  <TotalTime>0</TotalTime>
  <ScaleCrop>false</ScaleCrop>
  <LinksUpToDate>false</LinksUpToDate>
  <CharactersWithSpaces>3111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2026-06-25T01:38:00Z</dcterms:created>
  <dc:creator>Un-named</dc:creator>
  <cp:lastModifiedBy>Herobrine</cp:lastModifiedBy>
  <dcterms:modified xsi:type="dcterms:W3CDTF">2026-06-28T15:32:28Z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eyJoZGlkIjoiMDljYzUzMWQ4OWI0YzBkYjYzMDRhZTY5ZjZkYmFmYTgiLCJ1c2VySWQiOiI4NjYyOTk1MzEifQ==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9614E71336A24E049910AF2C2BAF2AB7_13</vt:lpwstr>
  </property>
</Properties>
</file>