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685925">
      <w:pPr>
        <w:spacing w:before="2000"/>
      </w:pPr>
      <w:bookmarkStart w:id="0" w:name="_GoBack"/>
      <w:bookmarkEnd w:id="0"/>
    </w:p>
    <w:p w14:paraId="51904507">
      <w:pPr>
        <w:jc w:val="center"/>
      </w:pPr>
      <w:r>
        <w:rPr>
          <w:rFonts w:ascii="黑体" w:hAnsi="黑体" w:eastAsia="黑体" w:cs="黑体"/>
          <w:b/>
          <w:bCs/>
          <w:color w:val="1F4E79"/>
          <w:sz w:val="56"/>
          <w:szCs w:val="56"/>
        </w:rPr>
        <w:t>智慧银行课程实验报告</w:t>
      </w:r>
    </w:p>
    <w:p w14:paraId="0753AB43">
      <w:pPr>
        <w:spacing w:before="400"/>
        <w:jc w:val="center"/>
      </w:pPr>
      <w:r>
        <w:rPr>
          <w:rFonts w:ascii="黑体" w:hAnsi="黑体" w:eastAsia="黑体" w:cs="黑体"/>
          <w:color w:val="1F4E79"/>
          <w:sz w:val="48"/>
          <w:szCs w:val="48"/>
        </w:rPr>
        <w:t>（三）</w:t>
      </w:r>
    </w:p>
    <w:p w14:paraId="4EF3DF0D">
      <w:pPr>
        <w:spacing w:before="800"/>
        <w:jc w:val="center"/>
      </w:pPr>
      <w:r>
        <w:rPr>
          <w:rFonts w:ascii="宋体" w:hAnsi="宋体" w:eastAsia="宋体" w:cs="宋体"/>
          <w:sz w:val="32"/>
          <w:szCs w:val="32"/>
        </w:rPr>
        <w:t>银行贷后风险管理系统综合实践</w:t>
      </w:r>
    </w:p>
    <w:p w14:paraId="21CE47F9">
      <w:pPr>
        <w:spacing w:before="2000"/>
      </w:pPr>
    </w:p>
    <w:p w14:paraId="425F8443">
      <w:pPr>
        <w:spacing w:before="200"/>
        <w:jc w:val="center"/>
      </w:pPr>
      <w:r>
        <w:rPr>
          <w:rFonts w:ascii="宋体" w:hAnsi="宋体" w:eastAsia="宋体" w:cs="宋体"/>
          <w:sz w:val="24"/>
          <w:szCs w:val="24"/>
        </w:rPr>
        <w:t>日期：2026-06-25</w:t>
      </w:r>
    </w:p>
    <w:p w14:paraId="5394A6E0">
      <w:r>
        <w:br w:type="page"/>
      </w:r>
    </w:p>
    <w:sdt>
      <w:sdtPr>
        <w:alias w:val="目录"/>
        <w:id w:val="147468018"/>
        <w:showingPlcHdr/>
      </w:sdtPr>
      <w:sdtContent>
        <w:p w14:paraId="34C2C541">
          <w:r>
            <w:rPr>
              <w:rFonts w:hint="eastAsia"/>
              <w:lang w:eastAsia="zh-CN"/>
            </w:rPr>
            <w:t xml:space="preserve">     </w:t>
          </w:r>
        </w:p>
      </w:sdtContent>
    </w:sdt>
    <w:p w14:paraId="0FED877B">
      <w:pPr>
        <w:pStyle w:val="2"/>
      </w:pPr>
      <w:r>
        <w:t>一、实验概述</w:t>
      </w:r>
    </w:p>
    <w:p w14:paraId="1E888D7E">
      <w:r>
        <w:t>本实验围绕银行贷后风险管理场景，综合运用多种MCP服务和Skill工具，完成客户回访报告生成、信用风险分析、贷款定价模型构建、自定义Skill开发以及安全审计等任务。</w:t>
      </w:r>
    </w:p>
    <w:p w14:paraId="5ACC4D70">
      <w:r>
        <w:t>通过本次实验，深入理解了AI辅助银行风险管理的完整流程，掌握了MCP服务的调用方法和自定义Skill的开发规范。</w:t>
      </w:r>
    </w:p>
    <w:p w14:paraId="29FC1878">
      <w:pPr>
        <w:pStyle w:val="2"/>
      </w:pPr>
      <w:r>
        <w:t>二、交付物清单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9"/>
        <w:gridCol w:w="2678"/>
        <w:gridCol w:w="3960"/>
        <w:gridCol w:w="1549"/>
      </w:tblGrid>
      <w:tr w14:paraId="2038E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6383C">
            <w:r>
              <w:rPr>
                <w:rFonts w:ascii="宋体" w:hAnsi="宋体" w:eastAsia="宋体" w:cs="宋体"/>
                <w:b/>
                <w:bCs/>
                <w:color w:val="FFFFFF"/>
              </w:rPr>
              <w:t>序号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10B9">
            <w:r>
              <w:rPr>
                <w:rFonts w:ascii="宋体" w:hAnsi="宋体" w:eastAsia="宋体" w:cs="宋体"/>
                <w:b/>
                <w:bCs/>
                <w:color w:val="FFFFFF"/>
              </w:rPr>
              <w:t>交付物名称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9F72A">
            <w:r>
              <w:rPr>
                <w:rFonts w:ascii="宋体" w:hAnsi="宋体" w:eastAsia="宋体" w:cs="宋体"/>
                <w:b/>
                <w:bCs/>
                <w:color w:val="FFFFFF"/>
              </w:rPr>
              <w:t>文件路径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7C5FF">
            <w:r>
              <w:rPr>
                <w:rFonts w:ascii="宋体" w:hAnsi="宋体" w:eastAsia="宋体" w:cs="宋体"/>
                <w:b/>
                <w:bCs/>
                <w:color w:val="FFFFFF"/>
              </w:rPr>
              <w:t>状态</w:t>
            </w:r>
          </w:p>
        </w:tc>
      </w:tr>
      <w:tr w14:paraId="2C17C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29A55">
            <w:pPr>
              <w:jc w:val="center"/>
            </w:pPr>
            <w:r>
              <w:rPr>
                <w:rFonts w:ascii="宋体" w:hAnsi="宋体" w:eastAsia="宋体" w:cs="宋体"/>
              </w:rPr>
              <w:t>1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B2470">
            <w:pPr>
              <w:jc w:val="left"/>
            </w:pPr>
            <w:r>
              <w:rPr>
                <w:rFonts w:ascii="宋体" w:hAnsi="宋体" w:eastAsia="宋体" w:cs="宋体"/>
              </w:rPr>
              <w:t>客户回访报告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AA917">
            <w:pPr>
              <w:jc w:val="left"/>
            </w:pPr>
            <w:r>
              <w:rPr>
                <w:rFonts w:ascii="宋体" w:hAnsi="宋体" w:eastAsia="宋体" w:cs="宋体"/>
              </w:rPr>
              <w:t>reports/客户回访报告_C00001.docx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BB09">
            <w:pPr>
              <w:jc w:val="center"/>
            </w:pPr>
            <w:r>
              <w:rPr>
                <w:rFonts w:ascii="宋体" w:hAnsi="宋体" w:eastAsia="宋体" w:cs="宋体"/>
              </w:rPr>
              <w:t>已完成</w:t>
            </w:r>
          </w:p>
        </w:tc>
      </w:tr>
      <w:tr w14:paraId="3CEEF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C717">
            <w:pPr>
              <w:jc w:val="center"/>
            </w:pPr>
            <w:r>
              <w:rPr>
                <w:rFonts w:ascii="宋体" w:hAnsi="宋体" w:eastAsia="宋体" w:cs="宋体"/>
              </w:rPr>
              <w:t>2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FA9F">
            <w:pPr>
              <w:jc w:val="left"/>
            </w:pPr>
            <w:r>
              <w:rPr>
                <w:rFonts w:ascii="宋体" w:hAnsi="宋体" w:eastAsia="宋体" w:cs="宋体"/>
              </w:rPr>
              <w:t>信用风险分析报告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2011">
            <w:pPr>
              <w:jc w:val="left"/>
            </w:pPr>
            <w:r>
              <w:rPr>
                <w:rFonts w:ascii="宋体" w:hAnsi="宋体" w:eastAsia="宋体" w:cs="宋体"/>
              </w:rPr>
              <w:t>reports/credit_risk_hengda.md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5F77">
            <w:pPr>
              <w:jc w:val="center"/>
            </w:pPr>
            <w:r>
              <w:rPr>
                <w:rFonts w:ascii="宋体" w:hAnsi="宋体" w:eastAsia="宋体" w:cs="宋体"/>
              </w:rPr>
              <w:t>已完成</w:t>
            </w:r>
          </w:p>
        </w:tc>
      </w:tr>
      <w:tr w14:paraId="7BC40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0571">
            <w:pPr>
              <w:jc w:val="center"/>
            </w:pPr>
            <w:r>
              <w:rPr>
                <w:rFonts w:ascii="宋体" w:hAnsi="宋体" w:eastAsia="宋体" w:cs="宋体"/>
              </w:rPr>
              <w:t>3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084A">
            <w:pPr>
              <w:jc w:val="left"/>
            </w:pPr>
            <w:r>
              <w:rPr>
                <w:rFonts w:ascii="宋体" w:hAnsi="宋体" w:eastAsia="宋体" w:cs="宋体"/>
              </w:rPr>
              <w:t>贷款定价模型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E379">
            <w:pPr>
              <w:jc w:val="left"/>
            </w:pPr>
            <w:r>
              <w:rPr>
                <w:rFonts w:ascii="宋体" w:hAnsi="宋体" w:eastAsia="宋体" w:cs="宋体"/>
              </w:rPr>
              <w:t>reports/loan_pricing_model.xlsx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1BAC0">
            <w:pPr>
              <w:jc w:val="center"/>
            </w:pPr>
            <w:r>
              <w:rPr>
                <w:rFonts w:ascii="宋体" w:hAnsi="宋体" w:eastAsia="宋体" w:cs="宋体"/>
              </w:rPr>
              <w:t>已完成</w:t>
            </w:r>
          </w:p>
        </w:tc>
      </w:tr>
      <w:tr w14:paraId="5EF20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EE0B">
            <w:pPr>
              <w:jc w:val="center"/>
            </w:pPr>
            <w:r>
              <w:rPr>
                <w:rFonts w:ascii="宋体" w:hAnsi="宋体" w:eastAsia="宋体" w:cs="宋体"/>
              </w:rPr>
              <w:t>4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4E4E1">
            <w:pPr>
              <w:jc w:val="left"/>
            </w:pPr>
            <w:r>
              <w:rPr>
                <w:rFonts w:ascii="宋体" w:hAnsi="宋体" w:eastAsia="宋体" w:cs="宋体"/>
              </w:rPr>
              <w:t>自写 bank-risk-alert Skill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148F">
            <w:pPr>
              <w:jc w:val="left"/>
            </w:pPr>
            <w:r>
              <w:rPr>
                <w:rFonts w:ascii="宋体" w:hAnsi="宋体" w:eastAsia="宋体" w:cs="宋体"/>
              </w:rPr>
              <w:t>skills/bank-risk-alert/SKILL.md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61E1">
            <w:pPr>
              <w:jc w:val="center"/>
            </w:pPr>
            <w:r>
              <w:rPr>
                <w:rFonts w:ascii="宋体" w:hAnsi="宋体" w:eastAsia="宋体" w:cs="宋体"/>
              </w:rPr>
              <w:t>已完成</w:t>
            </w:r>
          </w:p>
        </w:tc>
      </w:tr>
      <w:tr w14:paraId="088A6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F901B">
            <w:pPr>
              <w:jc w:val="center"/>
            </w:pPr>
            <w:r>
              <w:rPr>
                <w:rFonts w:ascii="宋体" w:hAnsi="宋体" w:eastAsia="宋体" w:cs="宋体"/>
              </w:rPr>
              <w:t>5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8A1B">
            <w:pPr>
              <w:jc w:val="left"/>
            </w:pPr>
            <w:r>
              <w:rPr>
                <w:rFonts w:ascii="宋体" w:hAnsi="宋体" w:eastAsia="宋体" w:cs="宋体"/>
              </w:rPr>
              <w:t>bank-risk-alert 测试截图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4978F">
            <w:pPr>
              <w:jc w:val="left"/>
            </w:pPr>
            <w:r>
              <w:rPr>
                <w:rFonts w:ascii="宋体" w:hAnsi="宋体" w:eastAsia="宋体" w:cs="宋体"/>
              </w:rPr>
              <w:t>截图已验证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370F">
            <w:pPr>
              <w:jc w:val="center"/>
            </w:pPr>
            <w:r>
              <w:rPr>
                <w:rFonts w:ascii="宋体" w:hAnsi="宋体" w:eastAsia="宋体" w:cs="宋体"/>
              </w:rPr>
              <w:t>已完成</w:t>
            </w:r>
          </w:p>
        </w:tc>
      </w:tr>
      <w:tr w14:paraId="1EAD5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3FBE5">
            <w:pPr>
              <w:jc w:val="center"/>
            </w:pPr>
            <w:r>
              <w:rPr>
                <w:rFonts w:ascii="宋体" w:hAnsi="宋体" w:eastAsia="宋体" w:cs="宋体"/>
              </w:rPr>
              <w:t>6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05589">
            <w:pPr>
              <w:jc w:val="left"/>
            </w:pPr>
            <w:r>
              <w:rPr>
                <w:rFonts w:ascii="宋体" w:hAnsi="宋体" w:eastAsia="宋体" w:cs="宋体"/>
              </w:rPr>
              <w:t>金融 Skill 审计报告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A465">
            <w:pPr>
              <w:jc w:val="left"/>
            </w:pPr>
            <w:r>
              <w:rPr>
                <w:rFonts w:ascii="宋体" w:hAnsi="宋体" w:eastAsia="宋体" w:cs="宋体"/>
              </w:rPr>
              <w:t>reports/skill_audit_report.md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07B6C">
            <w:pPr>
              <w:jc w:val="center"/>
            </w:pPr>
            <w:r>
              <w:rPr>
                <w:rFonts w:ascii="宋体" w:hAnsi="宋体" w:eastAsia="宋体" w:cs="宋体"/>
              </w:rPr>
              <w:t>已完成</w:t>
            </w:r>
          </w:p>
        </w:tc>
      </w:tr>
      <w:tr w14:paraId="5B13B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51D3">
            <w:pPr>
              <w:jc w:val="center"/>
            </w:pPr>
            <w:r>
              <w:rPr>
                <w:rFonts w:ascii="宋体" w:hAnsi="宋体" w:eastAsia="宋体" w:cs="宋体"/>
              </w:rPr>
              <w:t>7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9174">
            <w:pPr>
              <w:jc w:val="left"/>
            </w:pPr>
            <w:r>
              <w:rPr>
                <w:rFonts w:ascii="宋体" w:hAnsi="宋体" w:eastAsia="宋体" w:cs="宋体"/>
              </w:rPr>
              <w:t>实验心得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042F">
            <w:pPr>
              <w:jc w:val="left"/>
            </w:pPr>
            <w:r>
              <w:rPr>
                <w:rFonts w:ascii="宋体" w:hAnsi="宋体" w:eastAsia="宋体" w:cs="宋体"/>
              </w:rPr>
              <w:t>本报告第七部分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4AA9">
            <w:pPr>
              <w:jc w:val="center"/>
            </w:pPr>
            <w:r>
              <w:rPr>
                <w:rFonts w:ascii="宋体" w:hAnsi="宋体" w:eastAsia="宋体" w:cs="宋体"/>
              </w:rPr>
              <w:t>已完成</w:t>
            </w:r>
          </w:p>
        </w:tc>
      </w:tr>
    </w:tbl>
    <w:p w14:paraId="10DBC4F1">
      <w:pPr>
        <w:pStyle w:val="2"/>
      </w:pPr>
      <w:r>
        <w:t>三、实验内容与结果</w:t>
      </w:r>
    </w:p>
    <w:p w14:paraId="4C49133D">
      <w:pPr>
        <w:pStyle w:val="3"/>
      </w:pPr>
      <w:r>
        <w:t>3.1 客户回访报告生成</w:t>
      </w:r>
    </w:p>
    <w:p w14:paraId="7B58E102">
      <w:pPr>
        <w:pStyle w:val="4"/>
      </w:pPr>
      <w:r>
        <w:t>任务描述</w:t>
      </w:r>
    </w:p>
    <w:p w14:paraId="12790B20">
      <w:r>
        <w:t>使用docx Skill为客户C00001（张**）生成《客户电话回访报告》，包含客户基本信息、回访背景、沟通要点、客户反馈、产品意向、跟进计划等6个标准章节。</w:t>
      </w:r>
    </w:p>
    <w:p w14:paraId="759874AA">
      <w:pPr>
        <w:pStyle w:val="4"/>
      </w:pPr>
      <w:r>
        <w:t>执行过程</w:t>
      </w:r>
    </w:p>
    <w:p w14:paraId="2CBECA5B">
      <w:pPr>
        <w:pStyle w:val="16"/>
        <w:numPr>
          <w:ilvl w:val="0"/>
          <w:numId w:val="1"/>
        </w:numPr>
      </w:pPr>
      <w:r>
        <w:t>安装docx技能环境，配置npm docx库</w:t>
      </w:r>
    </w:p>
    <w:p w14:paraId="245E20BB">
      <w:pPr>
        <w:pStyle w:val="16"/>
        <w:numPr>
          <w:ilvl w:val="0"/>
          <w:numId w:val="1"/>
        </w:numPr>
      </w:pPr>
      <w:r>
        <w:t>编写generate_call_report.js脚本，构建Word文档结构</w:t>
      </w:r>
    </w:p>
    <w:p w14:paraId="54FB42F7">
      <w:pPr>
        <w:pStyle w:val="16"/>
        <w:numPr>
          <w:ilvl w:val="0"/>
          <w:numId w:val="1"/>
        </w:numPr>
      </w:pPr>
      <w:r>
        <w:t>生成正式封面、目录、页眉页脚</w:t>
      </w:r>
    </w:p>
    <w:p w14:paraId="0B4BAD9A">
      <w:pPr>
        <w:pStyle w:val="4"/>
      </w:pPr>
      <w:r>
        <w:t>交付物</w:t>
      </w:r>
    </w:p>
    <w:p w14:paraId="4ADBE5BA">
      <w:r>
        <w:fldChar w:fldCharType="begin"/>
      </w:r>
      <w:r>
        <w:instrText xml:space="preserve"> HYPERLINK "客户回访报告.docx" </w:instrText>
      </w:r>
      <w:r>
        <w:fldChar w:fldCharType="separate"/>
      </w:r>
      <w:r>
        <w:rPr>
          <w:rStyle w:val="14"/>
        </w:rPr>
        <w:t>客户回访报告.docx</w:t>
      </w:r>
      <w:r>
        <w:fldChar w:fldCharType="end"/>
      </w:r>
      <w:r>
        <w:br w:type="page"/>
      </w:r>
    </w:p>
    <w:p w14:paraId="012766D5">
      <w:pPr>
        <w:pStyle w:val="3"/>
      </w:pPr>
      <w:r>
        <w:t>3.2 信用风险分析报告</w:t>
      </w:r>
    </w:p>
    <w:p w14:paraId="565D1613">
      <w:pPr>
        <w:pStyle w:val="4"/>
      </w:pPr>
      <w:r>
        <w:t>任务描述</w:t>
      </w:r>
    </w:p>
    <w:p w14:paraId="0F9993FB">
      <w:r>
        <w:t>使用finance-expert Skill对恒达机械制造有限公司进行信用风险评估，计算资产负债率、流动比率、速动比率、Altman Z-Score等关键指标，并生成结构化评估报告。</w:t>
      </w:r>
    </w:p>
    <w:p w14:paraId="4FAE4C2B">
      <w:pPr>
        <w:pStyle w:val="4"/>
      </w:pPr>
      <w:r>
        <w:t>执行过程</w:t>
      </w:r>
    </w:p>
    <w:p w14:paraId="6BDE9BC0">
      <w:pPr>
        <w:pStyle w:val="16"/>
        <w:numPr>
          <w:ilvl w:val="0"/>
          <w:numId w:val="1"/>
        </w:numPr>
      </w:pPr>
      <w:r>
        <w:t>构建企业信用评估框架，基于近三年财务数据</w:t>
      </w:r>
    </w:p>
    <w:p w14:paraId="10C58B56">
      <w:pPr>
        <w:pStyle w:val="16"/>
        <w:numPr>
          <w:ilvl w:val="0"/>
          <w:numId w:val="1"/>
        </w:numPr>
      </w:pPr>
      <w:r>
        <w:t>计算关键风控指标：资产负债率57.14%、流动比率1.75、速动比率1.12、Z-Score 3.14</w:t>
      </w:r>
    </w:p>
    <w:p w14:paraId="45F0EEC3">
      <w:pPr>
        <w:pStyle w:val="16"/>
        <w:numPr>
          <w:ilvl w:val="0"/>
          <w:numId w:val="1"/>
        </w:numPr>
      </w:pPr>
      <w:r>
        <w:t>进行五维度加权评分，综合得分78分，评定为中风险</w:t>
      </w:r>
    </w:p>
    <w:p w14:paraId="2BB530BC">
      <w:pPr>
        <w:pStyle w:val="4"/>
      </w:pPr>
      <w:r>
        <w:t>风险评估结果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26"/>
      </w:tblGrid>
      <w:tr w14:paraId="13BAF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C72C7">
            <w:r>
              <w:rPr>
                <w:rFonts w:ascii="宋体" w:hAnsi="宋体" w:eastAsia="宋体" w:cs="宋体"/>
                <w:b/>
                <w:bCs/>
                <w:color w:val="FFFFFF"/>
              </w:rPr>
              <w:t>指标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6CCFF">
            <w:r>
              <w:rPr>
                <w:rFonts w:ascii="宋体" w:hAnsi="宋体" w:eastAsia="宋体" w:cs="宋体"/>
                <w:b/>
                <w:bCs/>
                <w:color w:val="FFFFFF"/>
              </w:rPr>
              <w:t>结果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70A74">
            <w:r>
              <w:rPr>
                <w:rFonts w:ascii="宋体" w:hAnsi="宋体" w:eastAsia="宋体" w:cs="宋体"/>
                <w:b/>
                <w:bCs/>
                <w:color w:val="FFFFFF"/>
              </w:rPr>
              <w:t>评价</w:t>
            </w:r>
          </w:p>
        </w:tc>
      </w:tr>
      <w:tr w14:paraId="7BDA2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D7E46">
            <w:pPr>
              <w:jc w:val="left"/>
            </w:pPr>
            <w:r>
              <w:rPr>
                <w:rFonts w:ascii="宋体" w:hAnsi="宋体" w:eastAsia="宋体" w:cs="宋体"/>
              </w:rPr>
              <w:t>资产负债率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CC6CC">
            <w:pPr>
              <w:jc w:val="center"/>
            </w:pPr>
            <w:r>
              <w:rPr>
                <w:rFonts w:ascii="宋体" w:hAnsi="宋体" w:eastAsia="宋体" w:cs="宋体"/>
              </w:rPr>
              <w:t>57.14%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D84C4">
            <w:pPr>
              <w:jc w:val="left"/>
            </w:pPr>
            <w:r>
              <w:rPr>
                <w:rFonts w:ascii="宋体" w:hAnsi="宋体" w:eastAsia="宋体" w:cs="宋体"/>
              </w:rPr>
              <w:t>适中</w:t>
            </w:r>
          </w:p>
        </w:tc>
      </w:tr>
      <w:tr w14:paraId="4481B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B5B70">
            <w:pPr>
              <w:jc w:val="left"/>
            </w:pPr>
            <w:r>
              <w:rPr>
                <w:rFonts w:ascii="宋体" w:hAnsi="宋体" w:eastAsia="宋体" w:cs="宋体"/>
              </w:rPr>
              <w:t>流动比率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0C41">
            <w:pPr>
              <w:jc w:val="center"/>
            </w:pPr>
            <w:r>
              <w:rPr>
                <w:rFonts w:ascii="宋体" w:hAnsi="宋体" w:eastAsia="宋体" w:cs="宋体"/>
              </w:rPr>
              <w:t>1.75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EE4E">
            <w:pPr>
              <w:jc w:val="left"/>
            </w:pPr>
            <w:r>
              <w:rPr>
                <w:rFonts w:ascii="宋体" w:hAnsi="宋体" w:eastAsia="宋体" w:cs="宋体"/>
              </w:rPr>
              <w:t>良好</w:t>
            </w:r>
          </w:p>
        </w:tc>
      </w:tr>
      <w:tr w14:paraId="241E0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CD37F">
            <w:pPr>
              <w:jc w:val="left"/>
            </w:pPr>
            <w:r>
              <w:rPr>
                <w:rFonts w:ascii="宋体" w:hAnsi="宋体" w:eastAsia="宋体" w:cs="宋体"/>
              </w:rPr>
              <w:t>Altman Z-Score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31CC3">
            <w:pPr>
              <w:jc w:val="center"/>
            </w:pPr>
            <w:r>
              <w:rPr>
                <w:rFonts w:ascii="宋体" w:hAnsi="宋体" w:eastAsia="宋体" w:cs="宋体"/>
              </w:rPr>
              <w:t>3.14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45EEA">
            <w:pPr>
              <w:jc w:val="left"/>
            </w:pPr>
            <w:r>
              <w:rPr>
                <w:rFonts w:ascii="宋体" w:hAnsi="宋体" w:eastAsia="宋体" w:cs="宋体"/>
              </w:rPr>
              <w:t>财务健康</w:t>
            </w:r>
          </w:p>
        </w:tc>
      </w:tr>
      <w:tr w14:paraId="671CB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D95A">
            <w:pPr>
              <w:jc w:val="left"/>
            </w:pPr>
            <w:r>
              <w:rPr>
                <w:rFonts w:ascii="宋体" w:hAnsi="宋体" w:eastAsia="宋体" w:cs="宋体"/>
              </w:rPr>
              <w:t>综合得分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272EA">
            <w:pPr>
              <w:jc w:val="center"/>
            </w:pPr>
            <w:r>
              <w:rPr>
                <w:rFonts w:ascii="宋体" w:hAnsi="宋体" w:eastAsia="宋体" w:cs="宋体"/>
              </w:rPr>
              <w:t>78分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34F9">
            <w:pPr>
              <w:jc w:val="left"/>
            </w:pPr>
            <w:r>
              <w:rPr>
                <w:rFonts w:ascii="宋体" w:hAnsi="宋体" w:eastAsia="宋体" w:cs="宋体"/>
              </w:rPr>
              <w:t>中风险</w:t>
            </w:r>
          </w:p>
        </w:tc>
      </w:tr>
    </w:tbl>
    <w:p w14:paraId="46200DEA">
      <w:pPr>
        <w:pStyle w:val="4"/>
      </w:pPr>
      <w:r>
        <w:t>交付物</w:t>
      </w:r>
    </w:p>
    <w:p w14:paraId="73EF04E6">
      <w:r>
        <w:fldChar w:fldCharType="begin"/>
      </w:r>
      <w:r>
        <w:instrText xml:space="preserve"> HYPERLINK "信用风险评估报告_恒达机械.docx" </w:instrText>
      </w:r>
      <w:r>
        <w:fldChar w:fldCharType="separate"/>
      </w:r>
      <w:r>
        <w:rPr>
          <w:rStyle w:val="14"/>
        </w:rPr>
        <w:t>信用风险评估报告_恒达机械.docx</w:t>
      </w:r>
      <w:r>
        <w:fldChar w:fldCharType="end"/>
      </w:r>
      <w:r>
        <w:br w:type="page"/>
      </w:r>
    </w:p>
    <w:p w14:paraId="29BB3E2B">
      <w:pPr>
        <w:pStyle w:val="3"/>
      </w:pPr>
      <w:r>
        <w:t>3.3 贷款定价模型构建</w:t>
      </w:r>
    </w:p>
    <w:p w14:paraId="2C4F6B5E">
      <w:pPr>
        <w:pStyle w:val="4"/>
      </w:pPr>
      <w:r>
        <w:t>任务描述</w:t>
      </w:r>
    </w:p>
    <w:p w14:paraId="4FF620A3">
      <w:r>
        <w:t>使用xlsx Skill创建银行贷款定价模型Excel文件，包含定价参数、客户定价测算、敏感性分析三个Sheet，所有计算使用Excel公式实现。</w:t>
      </w:r>
    </w:p>
    <w:p w14:paraId="2E058874">
      <w:pPr>
        <w:pStyle w:val="4"/>
      </w:pPr>
      <w:r>
        <w:t>定价公式</w:t>
      </w:r>
    </w:p>
    <w:p w14:paraId="1F4030D1">
      <w:r>
        <w:t>贷款利率 = 资金成本 + 风险溢价 + 运营成本 + 资本占用成本 + 目标利润</w:t>
      </w:r>
    </w:p>
    <w:p w14:paraId="5297EFC8">
      <w:pPr>
        <w:pStyle w:val="4"/>
      </w:pPr>
      <w:r>
        <w:t>参数设置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500"/>
        <w:gridCol w:w="4026"/>
      </w:tblGrid>
      <w:tr w14:paraId="6EA64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56742">
            <w:r>
              <w:rPr>
                <w:rFonts w:ascii="宋体" w:hAnsi="宋体" w:eastAsia="宋体" w:cs="宋体"/>
                <w:b/>
                <w:bCs/>
                <w:color w:val="FFFFFF"/>
              </w:rPr>
              <w:t>参数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60F4">
            <w:r>
              <w:rPr>
                <w:rFonts w:ascii="宋体" w:hAnsi="宋体" w:eastAsia="宋体" w:cs="宋体"/>
                <w:b/>
                <w:bCs/>
                <w:color w:val="FFFFFF"/>
              </w:rPr>
              <w:t>数值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8E4E">
            <w:r>
              <w:rPr>
                <w:rFonts w:ascii="宋体" w:hAnsi="宋体" w:eastAsia="宋体" w:cs="宋体"/>
                <w:b/>
                <w:bCs/>
                <w:color w:val="FFFFFF"/>
              </w:rPr>
              <w:t>说明</w:t>
            </w:r>
          </w:p>
        </w:tc>
      </w:tr>
      <w:tr w14:paraId="44427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5FBF">
            <w:pPr>
              <w:jc w:val="left"/>
            </w:pPr>
            <w:r>
              <w:rPr>
                <w:rFonts w:ascii="宋体" w:hAnsi="宋体" w:eastAsia="宋体" w:cs="宋体"/>
              </w:rPr>
              <w:t>资金成本(FTP)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5692">
            <w:pPr>
              <w:jc w:val="center"/>
            </w:pPr>
            <w:r>
              <w:rPr>
                <w:rFonts w:ascii="宋体" w:hAnsi="宋体" w:eastAsia="宋体" w:cs="宋体"/>
              </w:rPr>
              <w:t>1年2.8% / 3年3.2%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2B42">
            <w:pPr>
              <w:jc w:val="left"/>
            </w:pPr>
            <w:r>
              <w:rPr>
                <w:rFonts w:ascii="宋体" w:hAnsi="宋体" w:eastAsia="宋体" w:cs="宋体"/>
              </w:rPr>
              <w:t>内部资金转移定价</w:t>
            </w:r>
          </w:p>
        </w:tc>
      </w:tr>
      <w:tr w14:paraId="44BEA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E507">
            <w:pPr>
              <w:jc w:val="left"/>
            </w:pPr>
            <w:r>
              <w:rPr>
                <w:rFonts w:ascii="宋体" w:hAnsi="宋体" w:eastAsia="宋体" w:cs="宋体"/>
              </w:rPr>
              <w:t>风险溢价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C4E5">
            <w:pPr>
              <w:jc w:val="center"/>
            </w:pPr>
            <w:r>
              <w:rPr>
                <w:rFonts w:ascii="宋体" w:hAnsi="宋体" w:eastAsia="宋体" w:cs="宋体"/>
              </w:rPr>
              <w:t>AAA 0.3% ~ BB 3.0%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A2FB">
            <w:pPr>
              <w:jc w:val="left"/>
            </w:pPr>
            <w:r>
              <w:rPr>
                <w:rFonts w:ascii="宋体" w:hAnsi="宋体" w:eastAsia="宋体" w:cs="宋体"/>
              </w:rPr>
              <w:t>按信用等级差异化</w:t>
            </w:r>
          </w:p>
        </w:tc>
      </w:tr>
      <w:tr w14:paraId="07531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4397">
            <w:pPr>
              <w:jc w:val="left"/>
            </w:pPr>
            <w:r>
              <w:rPr>
                <w:rFonts w:ascii="宋体" w:hAnsi="宋体" w:eastAsia="宋体" w:cs="宋体"/>
              </w:rPr>
              <w:t>运营成本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1AA1E">
            <w:pPr>
              <w:jc w:val="center"/>
            </w:pPr>
            <w:r>
              <w:rPr>
                <w:rFonts w:ascii="宋体" w:hAnsi="宋体" w:eastAsia="宋体" w:cs="宋体"/>
              </w:rPr>
              <w:t>0.4%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B2BB">
            <w:pPr>
              <w:jc w:val="left"/>
            </w:pPr>
            <w:r>
              <w:rPr>
                <w:rFonts w:ascii="宋体" w:hAnsi="宋体" w:eastAsia="宋体" w:cs="宋体"/>
              </w:rPr>
              <w:t>人工+系统+网点分摊</w:t>
            </w:r>
          </w:p>
        </w:tc>
      </w:tr>
      <w:tr w14:paraId="1849A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4DE5">
            <w:pPr>
              <w:jc w:val="left"/>
            </w:pPr>
            <w:r>
              <w:rPr>
                <w:rFonts w:ascii="宋体" w:hAnsi="宋体" w:eastAsia="宋体" w:cs="宋体"/>
              </w:rPr>
              <w:t>资本占用成本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469DD">
            <w:pPr>
              <w:jc w:val="center"/>
            </w:pPr>
            <w:r>
              <w:rPr>
                <w:rFonts w:ascii="宋体" w:hAnsi="宋体" w:eastAsia="宋体" w:cs="宋体"/>
              </w:rPr>
              <w:t>贷款×100%×12.5%×12%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4CA5">
            <w:pPr>
              <w:jc w:val="left"/>
            </w:pPr>
            <w:r>
              <w:rPr>
                <w:rFonts w:ascii="宋体" w:hAnsi="宋体" w:eastAsia="宋体" w:cs="宋体"/>
              </w:rPr>
              <w:t>风险权重×资本充足率×回报率</w:t>
            </w:r>
          </w:p>
        </w:tc>
      </w:tr>
      <w:tr w14:paraId="5701B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444C">
            <w:pPr>
              <w:jc w:val="left"/>
            </w:pPr>
            <w:r>
              <w:rPr>
                <w:rFonts w:ascii="宋体" w:hAnsi="宋体" w:eastAsia="宋体" w:cs="宋体"/>
              </w:rPr>
              <w:t>目标利润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6851E">
            <w:pPr>
              <w:jc w:val="center"/>
            </w:pPr>
            <w:r>
              <w:rPr>
                <w:rFonts w:ascii="宋体" w:hAnsi="宋体" w:eastAsia="宋体" w:cs="宋体"/>
              </w:rPr>
              <w:t>0.2%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AFCBF">
            <w:pPr>
              <w:jc w:val="left"/>
            </w:pPr>
            <w:r>
              <w:rPr>
                <w:rFonts w:ascii="宋体" w:hAnsi="宋体" w:eastAsia="宋体" w:cs="宋体"/>
              </w:rPr>
              <w:t>预期收益</w:t>
            </w:r>
          </w:p>
        </w:tc>
      </w:tr>
    </w:tbl>
    <w:p w14:paraId="7A6BE3F3">
      <w:pPr>
        <w:pStyle w:val="4"/>
      </w:pPr>
      <w:r>
        <w:t>交付物</w:t>
      </w:r>
    </w:p>
    <w:p w14:paraId="7125AD32">
      <w:r>
        <w:fldChar w:fldCharType="begin"/>
      </w:r>
      <w:r>
        <w:instrText xml:space="preserve"> HYPERLINK "银行贷款定价模型.xlsx" </w:instrText>
      </w:r>
      <w:r>
        <w:fldChar w:fldCharType="separate"/>
      </w:r>
      <w:r>
        <w:rPr>
          <w:rStyle w:val="14"/>
        </w:rPr>
        <w:t>银行贷款定价模型.xlsx</w:t>
      </w:r>
      <w:r>
        <w:fldChar w:fldCharType="end"/>
      </w:r>
      <w:r>
        <w:br w:type="page"/>
      </w:r>
    </w:p>
    <w:p w14:paraId="4F2408E3">
      <w:pPr>
        <w:pStyle w:val="3"/>
      </w:pPr>
      <w:r>
        <w:t>3.4 自写 bank-risk-alert Skill</w:t>
      </w:r>
    </w:p>
    <w:p w14:paraId="19069CB4">
      <w:pPr>
        <w:pStyle w:val="4"/>
      </w:pPr>
      <w:r>
        <w:t>任务描述</w:t>
      </w:r>
    </w:p>
    <w:p w14:paraId="78453689">
      <w:r>
        <w:t>创建自定义Skill：银行贷后风险预警话术生成器，根据客户风险信号自动生成分级预警通知和客户经理跟进话术。</w:t>
      </w:r>
    </w:p>
    <w:p w14:paraId="6AC5EA81">
      <w:pPr>
        <w:pStyle w:val="4"/>
      </w:pPr>
      <w:r>
        <w:t>Skill核心内容</w:t>
      </w:r>
    </w:p>
    <w:p w14:paraId="7E2CAF0E">
      <w:pPr>
        <w:pStyle w:val="16"/>
        <w:numPr>
          <w:ilvl w:val="0"/>
          <w:numId w:val="2"/>
        </w:numPr>
      </w:pPr>
      <w:r>
        <w:t>触发词：风险预警、贷后预警、逾期提醒、risk alert</w:t>
      </w:r>
    </w:p>
    <w:p w14:paraId="6292F520">
      <w:pPr>
        <w:pStyle w:val="16"/>
        <w:numPr>
          <w:ilvl w:val="0"/>
          <w:numId w:val="2"/>
        </w:numPr>
      </w:pPr>
      <w:r>
        <w:t>输入参数：客户名称、预警信号类型、风险等级、贷款余额、到期日</w:t>
      </w:r>
    </w:p>
    <w:p w14:paraId="07539305">
      <w:pPr>
        <w:pStyle w:val="16"/>
        <w:numPr>
          <w:ilvl w:val="0"/>
          <w:numId w:val="2"/>
        </w:numPr>
      </w:pPr>
      <w:r>
        <w:t>输出模板：预警摘要卡片、客户经理电话话术、内部上报邮件模板、跟进工单</w:t>
      </w:r>
    </w:p>
    <w:p w14:paraId="5F9B8EC8">
      <w:pPr>
        <w:pStyle w:val="16"/>
        <w:numPr>
          <w:ilvl w:val="0"/>
          <w:numId w:val="2"/>
        </w:numPr>
      </w:pPr>
      <w:r>
        <w:t>分级逻辑：黄色（7日内跟进）、橙色（3日内上报）、红色（当日上报+法务介入）</w:t>
      </w:r>
    </w:p>
    <w:p w14:paraId="1F21B7DC">
      <w:pPr>
        <w:pStyle w:val="4"/>
      </w:pPr>
      <w:r>
        <w:t>交付物</w:t>
      </w:r>
    </w:p>
    <w:p w14:paraId="3A8E5A35">
      <w:r>
        <w:fldChar w:fldCharType="begin"/>
      </w:r>
      <w:r>
        <w:instrText xml:space="preserve"> HYPERLINK "自写 bank-risk-alert Skill.docx" </w:instrText>
      </w:r>
      <w:r>
        <w:fldChar w:fldCharType="separate"/>
      </w:r>
      <w:r>
        <w:rPr>
          <w:rStyle w:val="14"/>
        </w:rPr>
        <w:t>自写 bank-risk-alert Skill.docx</w:t>
      </w:r>
      <w:r>
        <w:fldChar w:fldCharType="end"/>
      </w:r>
    </w:p>
    <w:p w14:paraId="160D65B9">
      <w:r>
        <w:rPr>
          <w:rFonts w:ascii="宋体" w:hAnsi="宋体" w:eastAsia="宋体" w:cs="宋体"/>
          <w:sz w:val="24"/>
          <w:szCs w:val="24"/>
        </w:rPr>
        <w:t xml:space="preserve"> </w:t>
      </w:r>
      <w:r>
        <w:br w:type="page"/>
      </w:r>
    </w:p>
    <w:p w14:paraId="2E83B452">
      <w:pPr>
        <w:pStyle w:val="3"/>
      </w:pPr>
      <w:r>
        <w:t>3.5 bank-risk-alert 测试验证</w:t>
      </w:r>
    </w:p>
    <w:p w14:paraId="67F5B7B0">
      <w:pPr>
        <w:pStyle w:val="4"/>
      </w:pPr>
      <w:r>
        <w:t>测试场景</w:t>
      </w:r>
    </w:p>
    <w:p w14:paraId="5215CC51">
      <w:r>
        <w:t>输入：恒达机械，连续2期利息逾期，贷款余额500万，到期日2026-09-30，橙色预警</w:t>
      </w:r>
    </w:p>
    <w:p w14:paraId="69C8013E">
      <w:pPr>
        <w:pStyle w:val="4"/>
      </w:pPr>
      <w:r>
        <w:t>测试结果</w:t>
      </w:r>
    </w:p>
    <w:p w14:paraId="297E84B2">
      <w:pPr>
        <w:pStyle w:val="16"/>
        <w:numPr>
          <w:ilvl w:val="0"/>
          <w:numId w:val="2"/>
        </w:numPr>
      </w:pPr>
      <w:r>
        <w:t>预警摘要卡片：正确生成，包含所有关键信息</w:t>
      </w:r>
    </w:p>
    <w:p w14:paraId="020B7C23">
      <w:pPr>
        <w:pStyle w:val="16"/>
        <w:numPr>
          <w:ilvl w:val="0"/>
          <w:numId w:val="2"/>
        </w:numPr>
      </w:pPr>
      <w:r>
        <w:t>客户经理电话话术：正确生成开场白、风险告知、解决方案、行动承诺、结束语</w:t>
      </w:r>
    </w:p>
    <w:p w14:paraId="17F48FC4">
      <w:pPr>
        <w:pStyle w:val="16"/>
        <w:numPr>
          <w:ilvl w:val="0"/>
          <w:numId w:val="2"/>
        </w:numPr>
      </w:pPr>
      <w:r>
        <w:t>内部上报邮件模板：正确生成风险描述、评估、处置建议、时间表</w:t>
      </w:r>
    </w:p>
    <w:p w14:paraId="3EC89725">
      <w:pPr>
        <w:pStyle w:val="16"/>
        <w:numPr>
          <w:ilvl w:val="0"/>
          <w:numId w:val="2"/>
        </w:numPr>
      </w:pPr>
      <w:r>
        <w:t>跟进工单：正确生成4项任务，包含负责人和截止日期</w:t>
      </w:r>
    </w:p>
    <w:p w14:paraId="61D20EA9">
      <w:pPr>
        <w:pStyle w:val="4"/>
      </w:pPr>
      <w:r>
        <w:t>交付物</w:t>
      </w:r>
    </w:p>
    <w:p w14:paraId="36E2621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98185" cy="3672840"/>
            <wp:effectExtent l="0" t="0" r="8255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3672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44A08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51170" cy="3515360"/>
            <wp:effectExtent l="0" t="0" r="11430" b="508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3515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7F887C">
      <w:pPr>
        <w:pStyle w:val="3"/>
      </w:pPr>
      <w:r>
        <w:t>3.6 金融 Skill 安全审计</w:t>
      </w:r>
    </w:p>
    <w:p w14:paraId="322A42AA">
      <w:pPr>
        <w:pStyle w:val="4"/>
      </w:pPr>
      <w:r>
        <w:t>任务描述</w:t>
      </w:r>
    </w:p>
    <w:p w14:paraId="6AFE2F45">
      <w:r>
        <w:t>对finance-expert Skill进行银行级安全审计，从触发词精准性、输出完整性、数据安全、合规风险、可改进空间五个维度评估。</w:t>
      </w:r>
    </w:p>
    <w:p w14:paraId="1EAE3E29">
      <w:pPr>
        <w:pStyle w:val="4"/>
      </w:pPr>
      <w:r>
        <w:t>审计结果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500"/>
        <w:gridCol w:w="2500"/>
        <w:gridCol w:w="2526"/>
      </w:tblGrid>
      <w:tr w14:paraId="753A2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FCBBB">
            <w:r>
              <w:rPr>
                <w:rFonts w:ascii="宋体" w:hAnsi="宋体" w:eastAsia="宋体" w:cs="宋体"/>
                <w:b/>
                <w:bCs/>
                <w:color w:val="FFFFFF"/>
              </w:rPr>
              <w:t>维度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8A89">
            <w:r>
              <w:rPr>
                <w:rFonts w:ascii="宋体" w:hAnsi="宋体" w:eastAsia="宋体" w:cs="宋体"/>
                <w:b/>
                <w:bCs/>
                <w:color w:val="FFFFFF"/>
              </w:rPr>
              <w:t>评分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7C9FB">
            <w:r>
              <w:rPr>
                <w:rFonts w:ascii="宋体" w:hAnsi="宋体" w:eastAsia="宋体" w:cs="宋体"/>
                <w:b/>
                <w:bCs/>
                <w:color w:val="FFFFFF"/>
              </w:rPr>
              <w:t>风险等级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731B2">
            <w:r>
              <w:rPr>
                <w:rFonts w:ascii="宋体" w:hAnsi="宋体" w:eastAsia="宋体" w:cs="宋体"/>
                <w:b/>
                <w:bCs/>
                <w:color w:val="FFFFFF"/>
              </w:rPr>
              <w:t>主要问题</w:t>
            </w:r>
          </w:p>
        </w:tc>
      </w:tr>
      <w:tr w14:paraId="0D48B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241A1">
            <w:pPr>
              <w:jc w:val="left"/>
            </w:pPr>
            <w:r>
              <w:rPr>
                <w:rFonts w:ascii="宋体" w:hAnsi="宋体" w:eastAsia="宋体" w:cs="宋体"/>
              </w:rPr>
              <w:t>触发词精准性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FC35">
            <w:pPr>
              <w:jc w:val="center"/>
            </w:pPr>
            <w:r>
              <w:rPr>
                <w:rFonts w:ascii="宋体" w:hAnsi="宋体" w:eastAsia="宋体" w:cs="宋体"/>
              </w:rPr>
              <w:t>5/10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7072">
            <w:pPr>
              <w:jc w:val="left"/>
            </w:pPr>
            <w:r>
              <w:rPr>
                <w:rFonts w:ascii="宋体" w:hAnsi="宋体" w:eastAsia="宋体" w:cs="宋体"/>
              </w:rPr>
              <w:t>中风险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08CAA">
            <w:pPr>
              <w:jc w:val="left"/>
            </w:pPr>
            <w:r>
              <w:rPr>
                <w:rFonts w:ascii="宋体" w:hAnsi="宋体" w:eastAsia="宋体" w:cs="宋体"/>
              </w:rPr>
              <w:t>触发条件模糊</w:t>
            </w:r>
          </w:p>
        </w:tc>
      </w:tr>
      <w:tr w14:paraId="12958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CA37">
            <w:pPr>
              <w:jc w:val="left"/>
            </w:pPr>
            <w:r>
              <w:rPr>
                <w:rFonts w:ascii="宋体" w:hAnsi="宋体" w:eastAsia="宋体" w:cs="宋体"/>
              </w:rPr>
              <w:t>输出完整性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7FEB">
            <w:pPr>
              <w:jc w:val="center"/>
            </w:pPr>
            <w:r>
              <w:rPr>
                <w:rFonts w:ascii="宋体" w:hAnsi="宋体" w:eastAsia="宋体" w:cs="宋体"/>
              </w:rPr>
              <w:t>7/10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B5572">
            <w:pPr>
              <w:jc w:val="left"/>
            </w:pPr>
            <w:r>
              <w:rPr>
                <w:rFonts w:ascii="宋体" w:hAnsi="宋体" w:eastAsia="宋体" w:cs="宋体"/>
              </w:rPr>
              <w:t>低风险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91D42">
            <w:pPr>
              <w:jc w:val="left"/>
            </w:pPr>
            <w:r>
              <w:rPr>
                <w:rFonts w:ascii="宋体" w:hAnsi="宋体" w:eastAsia="宋体" w:cs="宋体"/>
              </w:rPr>
              <w:t>内容较全面</w:t>
            </w:r>
          </w:p>
        </w:tc>
      </w:tr>
      <w:tr w14:paraId="2B94F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370D">
            <w:pPr>
              <w:jc w:val="left"/>
            </w:pPr>
            <w:r>
              <w:rPr>
                <w:rFonts w:ascii="宋体" w:hAnsi="宋体" w:eastAsia="宋体" w:cs="宋体"/>
              </w:rPr>
              <w:t>数据安全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FAEE">
            <w:pPr>
              <w:jc w:val="center"/>
            </w:pPr>
            <w:r>
              <w:rPr>
                <w:rFonts w:ascii="宋体" w:hAnsi="宋体" w:eastAsia="宋体" w:cs="宋体"/>
              </w:rPr>
              <w:t>6/10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434B">
            <w:pPr>
              <w:jc w:val="left"/>
            </w:pPr>
            <w:r>
              <w:rPr>
                <w:rFonts w:ascii="宋体" w:hAnsi="宋体" w:eastAsia="宋体" w:cs="宋体"/>
              </w:rPr>
              <w:t>中风险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84FD">
            <w:pPr>
              <w:jc w:val="left"/>
            </w:pPr>
            <w:r>
              <w:rPr>
                <w:rFonts w:ascii="宋体" w:hAnsi="宋体" w:eastAsia="宋体" w:cs="宋体"/>
              </w:rPr>
              <w:t>缺乏脱敏机制</w:t>
            </w:r>
          </w:p>
        </w:tc>
      </w:tr>
      <w:tr w14:paraId="35E76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32230">
            <w:pPr>
              <w:jc w:val="left"/>
            </w:pPr>
            <w:r>
              <w:rPr>
                <w:rFonts w:ascii="宋体" w:hAnsi="宋体" w:eastAsia="宋体" w:cs="宋体"/>
              </w:rPr>
              <w:t>合规风险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0D3C">
            <w:pPr>
              <w:jc w:val="center"/>
            </w:pPr>
            <w:r>
              <w:rPr>
                <w:rFonts w:ascii="宋体" w:hAnsi="宋体" w:eastAsia="宋体" w:cs="宋体"/>
              </w:rPr>
              <w:t>4/10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3ED1E">
            <w:pPr>
              <w:jc w:val="left"/>
            </w:pPr>
            <w:r>
              <w:rPr>
                <w:rFonts w:ascii="宋体" w:hAnsi="宋体" w:eastAsia="宋体" w:cs="宋体"/>
              </w:rPr>
              <w:t>高风险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D2355">
            <w:pPr>
              <w:jc w:val="left"/>
            </w:pPr>
            <w:r>
              <w:rPr>
                <w:rFonts w:ascii="宋体" w:hAnsi="宋体" w:eastAsia="宋体" w:cs="宋体"/>
              </w:rPr>
              <w:t>无投资建议免责</w:t>
            </w:r>
          </w:p>
        </w:tc>
      </w:tr>
      <w:tr w14:paraId="7EA61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9C820">
            <w:pPr>
              <w:jc w:val="left"/>
            </w:pPr>
            <w:r>
              <w:rPr>
                <w:rFonts w:ascii="宋体" w:hAnsi="宋体" w:eastAsia="宋体" w:cs="宋体"/>
              </w:rPr>
              <w:t>可改进空间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A1C0">
            <w:pPr>
              <w:jc w:val="center"/>
            </w:pPr>
            <w:r>
              <w:rPr>
                <w:rFonts w:ascii="宋体" w:hAnsi="宋体" w:eastAsia="宋体" w:cs="宋体"/>
              </w:rPr>
              <w:t>5/10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1358E">
            <w:pPr>
              <w:jc w:val="left"/>
            </w:pPr>
            <w:r>
              <w:rPr>
                <w:rFonts w:ascii="宋体" w:hAnsi="宋体" w:eastAsia="宋体" w:cs="宋体"/>
              </w:rPr>
              <w:t>中风险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25EF">
            <w:pPr>
              <w:jc w:val="left"/>
            </w:pPr>
            <w:r>
              <w:rPr>
                <w:rFonts w:ascii="宋体" w:hAnsi="宋体" w:eastAsia="宋体" w:cs="宋体"/>
              </w:rPr>
              <w:t>缺乏协同机制</w:t>
            </w:r>
          </w:p>
        </w:tc>
      </w:tr>
      <w:tr w14:paraId="3D1A9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D71B">
            <w:pPr>
              <w:jc w:val="left"/>
            </w:pPr>
            <w:r>
              <w:rPr>
                <w:rFonts w:ascii="宋体" w:hAnsi="宋体" w:eastAsia="宋体" w:cs="宋体"/>
              </w:rPr>
              <w:t>综合评分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B7AA1">
            <w:pPr>
              <w:jc w:val="center"/>
            </w:pPr>
            <w:r>
              <w:rPr>
                <w:rFonts w:ascii="宋体" w:hAnsi="宋体" w:eastAsia="宋体" w:cs="宋体"/>
              </w:rPr>
              <w:t>5.4/10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1B8C7">
            <w:pPr>
              <w:jc w:val="left"/>
            </w:pPr>
            <w:r>
              <w:rPr>
                <w:rFonts w:ascii="宋体" w:hAnsi="宋体" w:eastAsia="宋体" w:cs="宋体"/>
              </w:rPr>
              <w:t>高风险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2C8A">
            <w:pPr>
              <w:jc w:val="left"/>
            </w:pPr>
            <w:r>
              <w:rPr>
                <w:rFonts w:ascii="宋体" w:hAnsi="宋体" w:eastAsia="宋体" w:cs="宋体"/>
              </w:rPr>
              <w:t>需立即整改</w:t>
            </w:r>
          </w:p>
        </w:tc>
      </w:tr>
    </w:tbl>
    <w:p w14:paraId="5D36502E">
      <w:pPr>
        <w:pStyle w:val="4"/>
      </w:pPr>
      <w:r>
        <w:t>交付物</w:t>
      </w:r>
    </w:p>
    <w:p w14:paraId="38CCCE6D">
      <w:r>
        <w:fldChar w:fldCharType="begin"/>
      </w:r>
      <w:r>
        <w:instrText xml:space="preserve"> HYPERLINK "skill安全审计报告.docx" </w:instrText>
      </w:r>
      <w:r>
        <w:fldChar w:fldCharType="separate"/>
      </w:r>
      <w:r>
        <w:rPr>
          <w:rStyle w:val="14"/>
        </w:rPr>
        <w:t>skill安全审计报告.docx</w:t>
      </w:r>
      <w:r>
        <w:fldChar w:fldCharType="end"/>
      </w:r>
      <w:r>
        <w:br w:type="page"/>
      </w:r>
    </w:p>
    <w:p w14:paraId="1E43C7DC">
      <w:pPr>
        <w:pStyle w:val="2"/>
      </w:pPr>
      <w:r>
        <w:t>四、实验心得</w:t>
      </w:r>
    </w:p>
    <w:p w14:paraId="082479A8">
      <w:pPr>
        <w:pStyle w:val="3"/>
      </w:pPr>
      <w:r>
        <w:t>4.1 实验总结</w:t>
      </w:r>
    </w:p>
    <w:p w14:paraId="1774FC35">
      <w:r>
        <w:t>本次实验是一次非常有价值的银行贷后风险管理系统综合实践。通过完整的实验流程，我深刻体会到了AI技术在银行风险管理中的应用价值。</w:t>
      </w:r>
    </w:p>
    <w:p w14:paraId="2D7607AF">
      <w:r>
        <w:t>实验涵盖了从客户回访报告生成、信用风险评估、贷款定价模型构建，到自定义Skill开发和安全审计的全流程。这让我对银行风险管理的各个环节有了更全面的认识。</w:t>
      </w:r>
    </w:p>
    <w:p w14:paraId="3E21D416">
      <w:r>
        <w:t>在实践过程中，我学会了如何使用docx、xlsx、finance-expert等Skill工具，以及如何创建自定义Skill来满足特定业务需求。</w:t>
      </w:r>
    </w:p>
    <w:p w14:paraId="0CFC7AA1">
      <w:pPr>
        <w:pStyle w:val="3"/>
      </w:pPr>
      <w:r>
        <w:t>4.2 AI出错案例反思</w:t>
      </w:r>
    </w:p>
    <w:p w14:paraId="5DE70C8A">
      <w:r>
        <w:rPr>
          <w:b/>
          <w:bCs/>
        </w:rPr>
        <w:t>案例一：JavaScript语法错误（generate_credit_report.js）</w:t>
      </w:r>
    </w:p>
    <w:p w14:paraId="51EE4DCC">
      <w:r>
        <w:t>在生成信用风险评估报告Word文档时，最初的脚本存在两个语法错误：</w:t>
      </w:r>
    </w:p>
    <w:p w14:paraId="1CC6C94A">
      <w:pPr>
        <w:pStyle w:val="16"/>
        <w:numPr>
          <w:ilvl w:val="0"/>
          <w:numId w:val="0"/>
        </w:numPr>
        <w:ind w:left="360" w:leftChars="0"/>
      </w:pPr>
      <w:r>
        <w:t>错误1：将spacing属性错误地放在了children数组内部，导致"Unexpected token ':'"错误</w:t>
      </w:r>
    </w:p>
    <w:p w14:paraId="5DB0719B">
      <w:pPr>
        <w:pStyle w:val="16"/>
        <w:numPr>
          <w:ilvl w:val="0"/>
          <w:numId w:val="0"/>
        </w:numPr>
        <w:ind w:left="360" w:leftChars="0"/>
      </w:pPr>
      <w:r>
        <w:t>错误2：TextRun对象缺少闭合括号，导致"Unexpected token ')'"错误</w:t>
      </w:r>
    </w:p>
    <w:p w14:paraId="66F227E1">
      <w:r>
        <w:t>反思：AI生成的代码并非绝对可靠，需要仔细检查语法结构，特别是嵌套对象的属性位置和括号匹配。</w:t>
      </w:r>
    </w:p>
    <w:p w14:paraId="31AB352B">
      <w:pPr>
        <w:spacing w:before="100" w:after="100"/>
      </w:pPr>
    </w:p>
    <w:p w14:paraId="79AF16E4">
      <w:r>
        <w:rPr>
          <w:b/>
          <w:bCs/>
        </w:rPr>
        <w:t>案例二：Excel公式引用错误（generate_loan_pricing.py）</w:t>
      </w:r>
    </w:p>
    <w:p w14:paraId="69CB5012">
      <w:r>
        <w:t>在构建贷款定价模型时，最初的敏感性分析Sheet中，跨Sheet引用的单元格地址存在错误：</w:t>
      </w:r>
    </w:p>
    <w:p w14:paraId="6B1D3F6F">
      <w:pPr>
        <w:pStyle w:val="16"/>
        <w:numPr>
          <w:ilvl w:val="0"/>
          <w:numId w:val="0"/>
        </w:numPr>
        <w:ind w:left="360" w:leftChars="0"/>
      </w:pPr>
      <w:r>
        <w:t>错误：在引用客户定价测算Sheet的数据时，行号偏移计算错误，导致VLOOKUP和IF公式无法正确获取数据</w:t>
      </w:r>
    </w:p>
    <w:p w14:paraId="336CC37A">
      <w:r>
        <w:t>反思：涉及复杂的跨Sheet引用时，需要仔细核对单元格地址，建议使用变量或命名范围来提高代码可读性和准确性。</w:t>
      </w:r>
    </w:p>
    <w:p w14:paraId="1F8D2B1F">
      <w:pPr>
        <w:spacing w:before="100" w:after="100"/>
      </w:pPr>
    </w:p>
    <w:p w14:paraId="091CAB19">
      <w:r>
        <w:rPr>
          <w:b/>
          <w:bCs/>
        </w:rPr>
        <w:t>案例三：Skill触发条件过宽（finance-expert）</w:t>
      </w:r>
    </w:p>
    <w:p w14:paraId="4388579D">
      <w:r>
        <w:t>审计发现finance-expert Skill的触发条件过于宽泛，description和tags包含"trading"等可能引发合规风险的关键词：</w:t>
      </w:r>
    </w:p>
    <w:p w14:paraId="221F818F">
      <w:pPr>
        <w:pStyle w:val="16"/>
        <w:numPr>
          <w:ilvl w:val="0"/>
          <w:numId w:val="0"/>
        </w:numPr>
        <w:ind w:left="360" w:leftChars="0"/>
      </w:pPr>
      <w:r>
        <w:t>风险：可能在投资建议场景被误触发，违反银保监会规定</w:t>
      </w:r>
    </w:p>
    <w:p w14:paraId="461BE63E">
      <w:r>
        <w:t>反思：在定义Skill的description和触发词时，需要考虑合规要求，明确禁止的使用场景，避免触发监管风险。</w:t>
      </w:r>
    </w:p>
    <w:p w14:paraId="28038A1E">
      <w:pPr>
        <w:spacing w:before="100" w:after="100"/>
      </w:pPr>
    </w:p>
    <w:p w14:paraId="062F930E">
      <w:r>
        <w:rPr>
          <w:b/>
          <w:bCs/>
        </w:rPr>
        <w:t>案例四：数据安全规范缺失（finance-expert）</w:t>
      </w:r>
    </w:p>
    <w:p w14:paraId="3C199627">
      <w:r>
        <w:t>审计发现finance-expert Skill未明确禁止处理客户真实数据：</w:t>
      </w:r>
    </w:p>
    <w:p w14:paraId="35D489FA">
      <w:pPr>
        <w:pStyle w:val="16"/>
        <w:numPr>
          <w:ilvl w:val="0"/>
          <w:numId w:val="0"/>
        </w:numPr>
        <w:ind w:left="360" w:leftChars="0"/>
      </w:pPr>
      <w:r>
        <w:t>风险：代码示例中直接操作客户数据对象，缺乏脱敏处理机制</w:t>
      </w:r>
    </w:p>
    <w:p w14:paraId="13132CB7">
      <w:r>
        <w:t>反思：在金融领域使用AI工具时，必须将数据安全放在首位，明确禁止处理真实敏感数据，所有示例应使用模拟数据。</w:t>
      </w:r>
    </w:p>
    <w:p w14:paraId="4BA219B5">
      <w:pPr>
        <w:pStyle w:val="3"/>
      </w:pPr>
      <w:r>
        <w:t>4.3 关键启示</w:t>
      </w:r>
    </w:p>
    <w:p w14:paraId="2D7C9047">
      <w:pPr>
        <w:pStyle w:val="16"/>
        <w:numPr>
          <w:ilvl w:val="0"/>
          <w:numId w:val="0"/>
        </w:numPr>
        <w:ind w:left="360" w:leftChars="0"/>
      </w:pPr>
      <w:r>
        <w:t>AI是强大的辅助工具，但不是万能的，必须保持审慎态度，对生成的内容进行严格审查</w:t>
      </w:r>
    </w:p>
    <w:p w14:paraId="50CB8324">
      <w:pPr>
        <w:pStyle w:val="16"/>
        <w:numPr>
          <w:ilvl w:val="0"/>
          <w:numId w:val="0"/>
        </w:numPr>
        <w:ind w:left="360" w:leftChars="0"/>
      </w:pPr>
      <w:r>
        <w:t>在金融领域，合规是底线，必须确保所有AI应用符合监管要求</w:t>
      </w:r>
    </w:p>
    <w:p w14:paraId="621711AB">
      <w:pPr>
        <w:pStyle w:val="16"/>
        <w:numPr>
          <w:ilvl w:val="0"/>
          <w:numId w:val="0"/>
        </w:numPr>
        <w:ind w:left="360" w:leftChars="0"/>
      </w:pPr>
      <w:r>
        <w:t>数据安全至关重要，必须建立严格的数据处理规范</w:t>
      </w:r>
    </w:p>
    <w:p w14:paraId="425DC4EE">
      <w:pPr>
        <w:pStyle w:val="16"/>
        <w:numPr>
          <w:ilvl w:val="0"/>
          <w:numId w:val="0"/>
        </w:numPr>
        <w:ind w:left="360" w:leftChars="0"/>
      </w:pPr>
      <w:r>
        <w:t>自定义Skill可以极大提高工作效率，但需要精心设计和持续维护</w:t>
      </w:r>
    </w:p>
    <w:p w14:paraId="0F9975DB">
      <w:pPr>
        <w:pStyle w:val="16"/>
        <w:numPr>
          <w:ilvl w:val="0"/>
          <w:numId w:val="0"/>
        </w:numPr>
        <w:ind w:left="360" w:leftChars="0"/>
      </w:pPr>
      <w:r>
        <w:t>良好的代码结构和文档规范是保证AI生成内容质量的关键</w:t>
      </w:r>
    </w:p>
    <w:p w14:paraId="0E87BCB4">
      <w:pPr>
        <w:pStyle w:val="3"/>
      </w:pPr>
      <w:r>
        <w:t>4.4 展望</w:t>
      </w:r>
    </w:p>
    <w:p w14:paraId="2E2655C1">
      <w:r>
        <w:t>未来，AI技术在银行风险管理中的应用前景广阔。随着技术的不断进步，我们可以期待：</w:t>
      </w:r>
    </w:p>
    <w:p w14:paraId="1F2C495E">
      <w:pPr>
        <w:pStyle w:val="16"/>
        <w:numPr>
          <w:ilvl w:val="0"/>
          <w:numId w:val="0"/>
        </w:numPr>
        <w:ind w:left="360" w:leftChars="0"/>
      </w:pPr>
      <w:r>
        <w:t>更精准的风险预警模型，结合大数据和机器学习</w:t>
      </w:r>
    </w:p>
    <w:p w14:paraId="7A255867">
      <w:pPr>
        <w:pStyle w:val="16"/>
        <w:numPr>
          <w:ilvl w:val="0"/>
          <w:numId w:val="0"/>
        </w:numPr>
        <w:ind w:left="360" w:leftChars="0"/>
      </w:pPr>
      <w:r>
        <w:t>智能客服系统，提供7×24小时的客户服务</w:t>
      </w:r>
    </w:p>
    <w:p w14:paraId="69FC38A8">
      <w:pPr>
        <w:pStyle w:val="16"/>
        <w:numPr>
          <w:ilvl w:val="0"/>
          <w:numId w:val="0"/>
        </w:numPr>
        <w:ind w:left="360" w:leftChars="0"/>
      </w:pPr>
      <w:r>
        <w:t>自动化的合规检查，实时监控风险</w:t>
      </w:r>
    </w:p>
    <w:p w14:paraId="6DA9468D">
      <w:pPr>
        <w:pStyle w:val="16"/>
        <w:numPr>
          <w:ilvl w:val="0"/>
          <w:numId w:val="0"/>
        </w:numPr>
        <w:ind w:left="360" w:leftChars="0"/>
      </w:pPr>
      <w:r>
        <w:t>更完善的Skill生态系统，支持更多业务场景</w:t>
      </w:r>
    </w:p>
    <w:p w14:paraId="4007B62F">
      <w:r>
        <w:br w:type="page"/>
      </w:r>
    </w:p>
    <w:p w14:paraId="0CD2812C">
      <w:pPr>
        <w:pStyle w:val="2"/>
      </w:pPr>
      <w:r>
        <w:t>五、附录</w:t>
      </w:r>
    </w:p>
    <w:p w14:paraId="36AB7795">
      <w:pPr>
        <w:pStyle w:val="3"/>
      </w:pPr>
      <w:r>
        <w:t>附录A：文件清单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4416"/>
        <w:gridCol w:w="3410"/>
      </w:tblGrid>
      <w:tr w14:paraId="2421A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C6DAA">
            <w:r>
              <w:rPr>
                <w:rFonts w:ascii="宋体" w:hAnsi="宋体" w:eastAsia="宋体" w:cs="宋体"/>
                <w:b/>
                <w:bCs/>
                <w:color w:val="FFFFFF"/>
              </w:rPr>
              <w:t>类型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F56C">
            <w:r>
              <w:rPr>
                <w:rFonts w:ascii="宋体" w:hAnsi="宋体" w:eastAsia="宋体" w:cs="宋体"/>
                <w:b/>
                <w:bCs/>
                <w:color w:val="FFFFFF"/>
              </w:rPr>
              <w:t>文件名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5753">
            <w:r>
              <w:rPr>
                <w:rFonts w:ascii="宋体" w:hAnsi="宋体" w:eastAsia="宋体" w:cs="宋体"/>
                <w:b/>
                <w:bCs/>
                <w:color w:val="FFFFFF"/>
              </w:rPr>
              <w:t>路径</w:t>
            </w:r>
          </w:p>
        </w:tc>
      </w:tr>
      <w:tr w14:paraId="33270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7B666">
            <w:pPr>
              <w:jc w:val="left"/>
            </w:pPr>
            <w:r>
              <w:rPr>
                <w:rFonts w:ascii="宋体" w:hAnsi="宋体" w:eastAsia="宋体" w:cs="宋体"/>
              </w:rPr>
              <w:t>Word报告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B70B">
            <w:pPr>
              <w:jc w:val="left"/>
            </w:pPr>
            <w:r>
              <w:rPr>
                <w:rFonts w:ascii="宋体" w:hAnsi="宋体" w:eastAsia="宋体" w:cs="宋体"/>
              </w:rPr>
              <w:t>客户回访报告_C00001.docx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D82F8">
            <w:pPr>
              <w:jc w:val="left"/>
            </w:pPr>
            <w:r>
              <w:rPr>
                <w:rFonts w:ascii="宋体" w:hAnsi="宋体" w:eastAsia="宋体" w:cs="宋体"/>
              </w:rPr>
              <w:t>reports/</w:t>
            </w:r>
          </w:p>
        </w:tc>
      </w:tr>
      <w:tr w14:paraId="3D95F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5456">
            <w:pPr>
              <w:jc w:val="left"/>
            </w:pPr>
            <w:r>
              <w:rPr>
                <w:rFonts w:ascii="宋体" w:hAnsi="宋体" w:eastAsia="宋体" w:cs="宋体"/>
              </w:rPr>
              <w:t>Word报告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2EBF">
            <w:pPr>
              <w:jc w:val="left"/>
            </w:pPr>
            <w:r>
              <w:rPr>
                <w:rFonts w:ascii="宋体" w:hAnsi="宋体" w:eastAsia="宋体" w:cs="宋体"/>
              </w:rPr>
              <w:t>信用风险评估报告_恒达机械.docx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14F86">
            <w:pPr>
              <w:jc w:val="left"/>
            </w:pPr>
            <w:r>
              <w:rPr>
                <w:rFonts w:ascii="宋体" w:hAnsi="宋体" w:eastAsia="宋体" w:cs="宋体"/>
              </w:rPr>
              <w:t>reports/</w:t>
            </w:r>
          </w:p>
        </w:tc>
      </w:tr>
      <w:tr w14:paraId="74DA5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449F4">
            <w:pPr>
              <w:jc w:val="left"/>
            </w:pPr>
            <w:r>
              <w:rPr>
                <w:rFonts w:ascii="宋体" w:hAnsi="宋体" w:eastAsia="宋体" w:cs="宋体"/>
              </w:rPr>
              <w:t>Word报告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391BD">
            <w:pPr>
              <w:jc w:val="left"/>
            </w:pPr>
            <w:r>
              <w:rPr>
                <w:rFonts w:ascii="宋体" w:hAnsi="宋体" w:eastAsia="宋体" w:cs="宋体"/>
              </w:rPr>
              <w:t>自写 bank-risk-alert Skill.docx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356DF">
            <w:pPr>
              <w:jc w:val="left"/>
            </w:pPr>
            <w:r>
              <w:rPr>
                <w:rFonts w:ascii="宋体" w:hAnsi="宋体" w:eastAsia="宋体" w:cs="宋体"/>
              </w:rPr>
              <w:t>reports/</w:t>
            </w:r>
          </w:p>
        </w:tc>
      </w:tr>
      <w:tr w14:paraId="296AE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CAE7">
            <w:pPr>
              <w:jc w:val="left"/>
            </w:pPr>
            <w:r>
              <w:rPr>
                <w:rFonts w:ascii="宋体" w:hAnsi="宋体" w:eastAsia="宋体" w:cs="宋体"/>
              </w:rPr>
              <w:t>Word报告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B0B14">
            <w:pPr>
              <w:jc w:val="left"/>
            </w:pPr>
            <w:r>
              <w:rPr>
                <w:rFonts w:ascii="宋体" w:hAnsi="宋体" w:eastAsia="宋体" w:cs="宋体"/>
              </w:rPr>
              <w:t>skill_audit_report.docx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B4FE">
            <w:pPr>
              <w:jc w:val="left"/>
            </w:pPr>
            <w:r>
              <w:rPr>
                <w:rFonts w:ascii="宋体" w:hAnsi="宋体" w:eastAsia="宋体" w:cs="宋体"/>
              </w:rPr>
              <w:t>reports/</w:t>
            </w:r>
          </w:p>
        </w:tc>
      </w:tr>
      <w:tr w14:paraId="33DD5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FF35">
            <w:pPr>
              <w:jc w:val="left"/>
            </w:pPr>
            <w:r>
              <w:rPr>
                <w:rFonts w:ascii="宋体" w:hAnsi="宋体" w:eastAsia="宋体" w:cs="宋体"/>
              </w:rPr>
              <w:t>Word报告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B87E">
            <w:pPr>
              <w:jc w:val="left"/>
            </w:pPr>
            <w:r>
              <w:rPr>
                <w:rFonts w:ascii="宋体" w:hAnsi="宋体" w:eastAsia="宋体" w:cs="宋体"/>
              </w:rPr>
              <w:t>实验报告三.docx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124F8">
            <w:pPr>
              <w:jc w:val="left"/>
            </w:pPr>
            <w:r>
              <w:rPr>
                <w:rFonts w:ascii="宋体" w:hAnsi="宋体" w:eastAsia="宋体" w:cs="宋体"/>
              </w:rPr>
              <w:t>reports/</w:t>
            </w:r>
          </w:p>
        </w:tc>
      </w:tr>
      <w:tr w14:paraId="1DBE7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CD485">
            <w:pPr>
              <w:jc w:val="left"/>
            </w:pPr>
            <w:r>
              <w:rPr>
                <w:rFonts w:ascii="宋体" w:hAnsi="宋体" w:eastAsia="宋体" w:cs="宋体"/>
              </w:rPr>
              <w:t>Excel模型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48EA2">
            <w:pPr>
              <w:jc w:val="left"/>
            </w:pPr>
            <w:r>
              <w:rPr>
                <w:rFonts w:ascii="宋体" w:hAnsi="宋体" w:eastAsia="宋体" w:cs="宋体"/>
              </w:rPr>
              <w:t>loan_pricing_model.xlsx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E5C6E">
            <w:pPr>
              <w:jc w:val="left"/>
            </w:pPr>
            <w:r>
              <w:rPr>
                <w:rFonts w:ascii="宋体" w:hAnsi="宋体" w:eastAsia="宋体" w:cs="宋体"/>
              </w:rPr>
              <w:t>reports/</w:t>
            </w:r>
          </w:p>
        </w:tc>
      </w:tr>
      <w:tr w14:paraId="3E53F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4E8F">
            <w:pPr>
              <w:jc w:val="left"/>
            </w:pPr>
            <w:r>
              <w:rPr>
                <w:rFonts w:ascii="宋体" w:hAnsi="宋体" w:eastAsia="宋体" w:cs="宋体"/>
              </w:rPr>
              <w:t>Markdown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314D">
            <w:pPr>
              <w:jc w:val="left"/>
            </w:pPr>
            <w:r>
              <w:rPr>
                <w:rFonts w:ascii="宋体" w:hAnsi="宋体" w:eastAsia="宋体" w:cs="宋体"/>
              </w:rPr>
              <w:t>credit_risk_hengda.md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06D11">
            <w:pPr>
              <w:jc w:val="left"/>
            </w:pPr>
            <w:r>
              <w:rPr>
                <w:rFonts w:ascii="宋体" w:hAnsi="宋体" w:eastAsia="宋体" w:cs="宋体"/>
              </w:rPr>
              <w:t>reports/</w:t>
            </w:r>
          </w:p>
        </w:tc>
      </w:tr>
      <w:tr w14:paraId="61EEC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644D">
            <w:pPr>
              <w:jc w:val="left"/>
            </w:pPr>
            <w:r>
              <w:rPr>
                <w:rFonts w:ascii="宋体" w:hAnsi="宋体" w:eastAsia="宋体" w:cs="宋体"/>
              </w:rPr>
              <w:t>Markdown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0E3EA">
            <w:pPr>
              <w:jc w:val="left"/>
            </w:pPr>
            <w:r>
              <w:rPr>
                <w:rFonts w:ascii="宋体" w:hAnsi="宋体" w:eastAsia="宋体" w:cs="宋体"/>
              </w:rPr>
              <w:t>skill_audit_report.md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4A602">
            <w:pPr>
              <w:jc w:val="left"/>
            </w:pPr>
            <w:r>
              <w:rPr>
                <w:rFonts w:ascii="宋体" w:hAnsi="宋体" w:eastAsia="宋体" w:cs="宋体"/>
              </w:rPr>
              <w:t>reports/</w:t>
            </w:r>
          </w:p>
        </w:tc>
      </w:tr>
      <w:tr w14:paraId="4A1CB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A3C3F">
            <w:pPr>
              <w:jc w:val="left"/>
            </w:pPr>
            <w:r>
              <w:rPr>
                <w:rFonts w:ascii="宋体" w:hAnsi="宋体" w:eastAsia="宋体" w:cs="宋体"/>
              </w:rPr>
              <w:t>Skill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84FC">
            <w:pPr>
              <w:jc w:val="left"/>
            </w:pPr>
            <w:r>
              <w:rPr>
                <w:rFonts w:ascii="宋体" w:hAnsi="宋体" w:eastAsia="宋体" w:cs="宋体"/>
              </w:rPr>
              <w:t>bank-risk-alert/SKILL.md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3F568">
            <w:pPr>
              <w:jc w:val="left"/>
            </w:pPr>
            <w:r>
              <w:rPr>
                <w:rFonts w:ascii="宋体" w:hAnsi="宋体" w:eastAsia="宋体" w:cs="宋体"/>
              </w:rPr>
              <w:t>.trae/skills/</w:t>
            </w:r>
          </w:p>
        </w:tc>
      </w:tr>
      <w:tr w14:paraId="199A2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4F4F9">
            <w:pPr>
              <w:jc w:val="left"/>
            </w:pPr>
            <w:r>
              <w:rPr>
                <w:rFonts w:ascii="宋体" w:hAnsi="宋体" w:eastAsia="宋体" w:cs="宋体"/>
              </w:rPr>
              <w:t>脚本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1E466">
            <w:pPr>
              <w:jc w:val="left"/>
            </w:pPr>
            <w:r>
              <w:rPr>
                <w:rFonts w:ascii="宋体" w:hAnsi="宋体" w:eastAsia="宋体" w:cs="宋体"/>
              </w:rPr>
              <w:t>generate_call_report.js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E519">
            <w:pPr>
              <w:jc w:val="left"/>
            </w:pPr>
            <w:r>
              <w:rPr>
                <w:rFonts w:ascii="宋体" w:hAnsi="宋体" w:eastAsia="宋体" w:cs="宋体"/>
              </w:rPr>
              <w:t>D:/1/</w:t>
            </w:r>
          </w:p>
        </w:tc>
      </w:tr>
      <w:tr w14:paraId="577B2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7A7A4">
            <w:pPr>
              <w:jc w:val="left"/>
            </w:pPr>
            <w:r>
              <w:rPr>
                <w:rFonts w:ascii="宋体" w:hAnsi="宋体" w:eastAsia="宋体" w:cs="宋体"/>
              </w:rPr>
              <w:t>脚本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F456">
            <w:pPr>
              <w:jc w:val="left"/>
            </w:pPr>
            <w:r>
              <w:rPr>
                <w:rFonts w:ascii="宋体" w:hAnsi="宋体" w:eastAsia="宋体" w:cs="宋体"/>
              </w:rPr>
              <w:t>generate_credit_report.js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9124">
            <w:pPr>
              <w:jc w:val="left"/>
            </w:pPr>
            <w:r>
              <w:rPr>
                <w:rFonts w:ascii="宋体" w:hAnsi="宋体" w:eastAsia="宋体" w:cs="宋体"/>
              </w:rPr>
              <w:t>D:/1/</w:t>
            </w:r>
          </w:p>
        </w:tc>
      </w:tr>
      <w:tr w14:paraId="403DD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17A36">
            <w:pPr>
              <w:jc w:val="left"/>
            </w:pPr>
            <w:r>
              <w:rPr>
                <w:rFonts w:ascii="宋体" w:hAnsi="宋体" w:eastAsia="宋体" w:cs="宋体"/>
              </w:rPr>
              <w:t>脚本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DC97">
            <w:pPr>
              <w:jc w:val="left"/>
            </w:pPr>
            <w:r>
              <w:rPr>
                <w:rFonts w:ascii="宋体" w:hAnsi="宋体" w:eastAsia="宋体" w:cs="宋体"/>
              </w:rPr>
              <w:t>generate_loan_pricing.py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5FEDD">
            <w:pPr>
              <w:jc w:val="left"/>
            </w:pPr>
            <w:r>
              <w:rPr>
                <w:rFonts w:ascii="宋体" w:hAnsi="宋体" w:eastAsia="宋体" w:cs="宋体"/>
              </w:rPr>
              <w:t>D:/1/</w:t>
            </w:r>
          </w:p>
        </w:tc>
      </w:tr>
    </w:tbl>
    <w:p w14:paraId="37DF8412"/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2CB6A">
    <w:pPr>
      <w:pBdr>
        <w:top w:val="single" w:color="1F4E79" w:sz="6" w:space="1"/>
      </w:pBdr>
      <w:jc w:val="center"/>
    </w:pPr>
    <w:r>
      <w:rPr>
        <w:rFonts w:ascii="宋体" w:hAnsi="宋体" w:eastAsia="宋体" w:cs="宋体"/>
      </w:rPr>
      <w:t xml:space="preserve">第 </w:t>
    </w:r>
    <w:r>
      <w:rPr>
        <w:rFonts w:ascii="宋体" w:hAnsi="宋体" w:eastAsia="宋体" w:cs="宋体"/>
      </w:rPr>
      <w:fldChar w:fldCharType="begin"/>
    </w:r>
    <w:r>
      <w:rPr>
        <w:rFonts w:ascii="宋体" w:hAnsi="宋体" w:eastAsia="宋体" w:cs="宋体"/>
      </w:rPr>
      <w:instrText xml:space="preserve">PAGE</w:instrText>
    </w:r>
    <w:r>
      <w:rPr>
        <w:rFonts w:ascii="宋体" w:hAnsi="宋体" w:eastAsia="宋体" w:cs="宋体"/>
      </w:rPr>
      <w:fldChar w:fldCharType="separate"/>
    </w:r>
    <w:r>
      <w:rPr>
        <w:rFonts w:ascii="宋体" w:hAnsi="宋体" w:eastAsia="宋体" w:cs="宋体"/>
      </w:rPr>
      <w:fldChar w:fldCharType="end"/>
    </w:r>
    <w:r>
      <w:rPr>
        <w:rFonts w:ascii="宋体" w:hAnsi="宋体" w:eastAsia="宋体" w:cs="宋体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DA343E">
    <w:pPr>
      <w:pBdr>
        <w:bottom w:val="single" w:color="1F4E79" w:sz="6" w:space="1"/>
      </w:pBdr>
      <w:jc w:val="right"/>
    </w:pPr>
    <w:r>
      <w:rPr>
        <w:rFonts w:ascii="宋体" w:hAnsi="宋体" w:eastAsia="宋体" w:cs="宋体"/>
        <w:color w:val="808080"/>
      </w:rPr>
      <w:t>智慧银行课程实验报告（三）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6A4738"/>
    <w:multiLevelType w:val="singleLevel"/>
    <w:tmpl w:val="A16A4738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70B119C7"/>
    <w:multiLevelType w:val="singleLevel"/>
    <w:tmpl w:val="70B119C7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F380E0C"/>
    <w:rsid w:val="32203E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黑体" w:hAnsi="黑体" w:eastAsia="黑体" w:cs="黑体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黑体" w:hAnsi="黑体" w:eastAsia="黑体" w:cs="黑体"/>
      <w:b/>
      <w:bCs/>
      <w:color w:val="1F4E79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120"/>
      <w:outlineLvl w:val="2"/>
    </w:pPr>
    <w:rPr>
      <w:rFonts w:ascii="黑体" w:hAnsi="黑体" w:eastAsia="黑体" w:cs="黑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2426</Words>
  <Characters>3576</Characters>
  <TotalTime>3</TotalTime>
  <ScaleCrop>false</ScaleCrop>
  <LinksUpToDate>false</LinksUpToDate>
  <CharactersWithSpaces>3637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2026-06-25T09:02:00Z</dcterms:created>
  <dc:creator>Un-named</dc:creator>
  <cp:lastModifiedBy>Herobrine</cp:lastModifiedBy>
  <dcterms:modified xsi:type="dcterms:W3CDTF">2026-06-28T15:33:09Z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eyJoZGlkIjoiMDljYzUzMWQ4OWI0YzBkYjYzMDRhZTY5ZjZkYmFmYTgiLCJ1c2VySWQiOiI4NjYyOTk1MzEifQ==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8D5F92F9C09C468CBCCB781FB766ECEC_13</vt:lpwstr>
  </property>
</Properties>
</file>