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5AEE0">
      <w:pPr>
        <w:spacing w:after="12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智慧银行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实验报告</w:t>
      </w:r>
    </w:p>
    <w:p w14:paraId="36505C6E">
      <w:pPr>
        <w:spacing w:after="240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实验一</w:t>
      </w:r>
    </w:p>
    <w:p w14:paraId="1AD15F4A">
      <w:pPr>
        <w:spacing w:after="240"/>
        <w:ind w:firstLine="3360" w:firstLineChars="1200"/>
        <w:jc w:val="both"/>
      </w:pPr>
      <w:r>
        <w:rPr>
          <w:rFonts w:ascii="宋体" w:hAnsi="宋体" w:eastAsia="宋体" w:cs="宋体"/>
          <w:sz w:val="28"/>
          <w:szCs w:val="28"/>
        </w:rPr>
        <w:t>姓    名：陈曦</w:t>
      </w:r>
    </w:p>
    <w:p w14:paraId="0AB16716">
      <w:pPr>
        <w:spacing w:after="240"/>
        <w:jc w:val="center"/>
        <w:rPr>
          <w:rFonts w:hint="default" w:eastAsia="宋体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 xml:space="preserve">  </w:t>
      </w:r>
      <w:r>
        <w:rPr>
          <w:rFonts w:ascii="宋体" w:hAnsi="宋体" w:eastAsia="宋体" w:cs="宋体"/>
          <w:sz w:val="28"/>
          <w:szCs w:val="28"/>
        </w:rPr>
        <w:t>学    号：</w:t>
      </w:r>
      <w:r>
        <w:rPr>
          <w:rFonts w:hint="eastAsia" w:cs="宋体"/>
          <w:sz w:val="28"/>
          <w:szCs w:val="28"/>
          <w:lang w:val="en-US" w:eastAsia="zh-CN"/>
        </w:rPr>
        <w:t>202301785</w:t>
      </w:r>
    </w:p>
    <w:p w14:paraId="3DE589B7">
      <w:pPr>
        <w:spacing w:after="240"/>
        <w:jc w:val="center"/>
        <w:rPr>
          <w:rFonts w:hint="default" w:eastAsia="宋体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班    级：</w:t>
      </w:r>
      <w:r>
        <w:rPr>
          <w:rFonts w:hint="eastAsia" w:cs="宋体"/>
          <w:sz w:val="28"/>
          <w:szCs w:val="28"/>
          <w:lang w:val="en-US" w:eastAsia="zh-CN"/>
        </w:rPr>
        <w:t>金融202302</w:t>
      </w:r>
    </w:p>
    <w:p w14:paraId="4BE3CD7B">
      <w:r>
        <w:br w:type="page"/>
      </w:r>
    </w:p>
    <w:p w14:paraId="5A3F5A82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实验目的</w:t>
      </w:r>
    </w:p>
    <w:p w14:paraId="283960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本实验旨在通过与AI协作完成多个数据任务，掌握Python编程和大数据分析的基本技能，培养与AI协作的能力。</w:t>
      </w:r>
    </w:p>
    <w:p w14:paraId="67B4B3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具体目标包括：</w:t>
      </w:r>
    </w:p>
    <w:p w14:paraId="64F6BD02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学习使用AI生成代码，开发简单的Web游戏（贪吃蛇）</w:t>
      </w:r>
    </w:p>
    <w:p w14:paraId="4E579C2B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掌握文献分析方法，学会从学术论文中提取关键信息</w:t>
      </w:r>
    </w:p>
    <w:p w14:paraId="1F032A9B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学习Excel数据处理，掌握多文件合并和数据清洗技术</w:t>
      </w:r>
    </w:p>
    <w:p w14:paraId="67ED2DAD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掌握时间序列预测方法，学会使用SARIMA和线性回归模型</w:t>
      </w:r>
    </w:p>
    <w:p w14:paraId="6F14DFFC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培养问题解决能力，学会调试和修复AI生成代码中的错误</w:t>
      </w:r>
    </w:p>
    <w:p w14:paraId="573743D0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实验环境</w:t>
      </w:r>
    </w:p>
    <w:tbl>
      <w:tblPr>
        <w:tblStyle w:val="11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5830"/>
      </w:tblGrid>
      <w:tr w14:paraId="2BFB5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75D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环境项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ABB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</w:t>
            </w:r>
          </w:p>
        </w:tc>
      </w:tr>
      <w:tr w14:paraId="38BF6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1FF2">
            <w:r>
              <w:rPr>
                <w:rFonts w:ascii="宋体" w:hAnsi="宋体" w:eastAsia="宋体" w:cs="宋体"/>
                <w:sz w:val="20"/>
                <w:szCs w:val="20"/>
              </w:rPr>
              <w:t>操作系统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A458">
            <w:r>
              <w:rPr>
                <w:rFonts w:ascii="宋体" w:hAnsi="宋体" w:eastAsia="宋体" w:cs="宋体"/>
                <w:sz w:val="20"/>
                <w:szCs w:val="20"/>
              </w:rPr>
              <w:t>Windows 10/11</w:t>
            </w:r>
          </w:p>
        </w:tc>
      </w:tr>
      <w:tr w14:paraId="6E20B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686E">
            <w:r>
              <w:rPr>
                <w:rFonts w:ascii="宋体" w:hAnsi="宋体" w:eastAsia="宋体" w:cs="宋体"/>
                <w:sz w:val="20"/>
                <w:szCs w:val="20"/>
              </w:rPr>
              <w:t>Python版本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D2B6">
            <w:r>
              <w:rPr>
                <w:rFonts w:ascii="宋体" w:hAnsi="宋体" w:eastAsia="宋体" w:cs="宋体"/>
                <w:sz w:val="20"/>
                <w:szCs w:val="20"/>
              </w:rPr>
              <w:t>3.12.x</w:t>
            </w:r>
          </w:p>
        </w:tc>
      </w:tr>
      <w:tr w14:paraId="5486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9549">
            <w:r>
              <w:rPr>
                <w:rFonts w:ascii="宋体" w:hAnsi="宋体" w:eastAsia="宋体" w:cs="宋体"/>
                <w:sz w:val="20"/>
                <w:szCs w:val="20"/>
              </w:rPr>
              <w:t>关键Python包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D99C">
            <w:r>
              <w:rPr>
                <w:rFonts w:ascii="宋体" w:hAnsi="宋体" w:eastAsia="宋体" w:cs="宋体"/>
                <w:sz w:val="20"/>
                <w:szCs w:val="20"/>
              </w:rPr>
              <w:t>Flask, pandas, openpyxl, pypdf, matplotlib, statsmodels, scikit-learn</w:t>
            </w:r>
          </w:p>
        </w:tc>
      </w:tr>
      <w:tr w14:paraId="16441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D355">
            <w:r>
              <w:rPr>
                <w:rFonts w:ascii="宋体" w:hAnsi="宋体" w:eastAsia="宋体" w:cs="宋体"/>
                <w:sz w:val="20"/>
                <w:szCs w:val="20"/>
              </w:rPr>
              <w:t>Node.js版本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880E">
            <w:r>
              <w:rPr>
                <w:rFonts w:ascii="宋体" w:hAnsi="宋体" w:eastAsia="宋体" w:cs="宋体"/>
                <w:sz w:val="20"/>
                <w:szCs w:val="20"/>
              </w:rPr>
              <w:t>v20.x</w:t>
            </w:r>
          </w:p>
        </w:tc>
      </w:tr>
    </w:tbl>
    <w:p w14:paraId="2716F5DE">
      <w:r>
        <w:br w:type="page"/>
      </w:r>
    </w:p>
    <w:p w14:paraId="57347208">
      <w:pPr>
        <w:pStyle w:val="2"/>
        <w:spacing w:before="360" w:after="240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实验步骤</w:t>
      </w:r>
    </w:p>
    <w:p w14:paraId="11F64A8D">
      <w:pPr>
        <w:pStyle w:val="3"/>
        <w:spacing w:before="240" w:after="120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步骤1：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环境配置</w:t>
      </w:r>
    </w:p>
    <w:p w14:paraId="7C2C0D90">
      <w:pPr>
        <w:rPr>
          <w:rFonts w:ascii="宋体" w:hAnsi="宋体" w:eastAsia="宋体" w:cs="宋体"/>
          <w:b/>
          <w:bCs/>
          <w:sz w:val="32"/>
          <w:szCs w:val="32"/>
        </w:rPr>
      </w:pPr>
      <w:r>
        <w:drawing>
          <wp:inline distT="0" distB="0" distL="114300" distR="114300">
            <wp:extent cx="5264785" cy="353060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294505"/>
            <wp:effectExtent l="0" t="0" r="1143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166870"/>
            <wp:effectExtent l="0" t="0" r="1143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141470"/>
            <wp:effectExtent l="0" t="0" r="889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138295"/>
            <wp:effectExtent l="0" t="0" r="1016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7DA5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8"/>
          <w:szCs w:val="28"/>
        </w:rPr>
        <w:t>：贪吃蛇游戏开发</w:t>
      </w:r>
    </w:p>
    <w:p w14:paraId="17B7DE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开发一个纯HTML+CSS+原生JS的贪吃蛇游戏</w:t>
      </w:r>
    </w:p>
    <w:p w14:paraId="4198B7F1">
      <w:pPr>
        <w:pStyle w:val="3"/>
        <w:spacing w:before="240" w:after="120"/>
      </w:pPr>
      <w:r>
        <w:drawing>
          <wp:inline distT="0" distB="0" distL="114300" distR="114300">
            <wp:extent cx="5270500" cy="361061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A0ADE">
      <w:r>
        <w:drawing>
          <wp:inline distT="0" distB="0" distL="114300" distR="114300">
            <wp:extent cx="5271135" cy="4320540"/>
            <wp:effectExtent l="0" t="0" r="1206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DE09A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b/>
          <w:bCs/>
          <w:sz w:val="28"/>
          <w:szCs w:val="28"/>
        </w:rPr>
        <w:t>：论文文献分析</w:t>
      </w:r>
    </w:p>
    <w:p w14:paraId="488854F6">
      <w:r>
        <w:drawing>
          <wp:inline distT="0" distB="0" distL="114300" distR="114300">
            <wp:extent cx="5271770" cy="7329805"/>
            <wp:effectExtent l="0" t="0" r="11430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32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F159B13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实验结果</w:t>
      </w:r>
    </w:p>
    <w:p w14:paraId="1C34FAE1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一、贪吃蛇游戏</w:t>
      </w:r>
    </w:p>
    <w:p w14:paraId="7085FF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成功开发了一个功能完整的贪吃蛇游戏，包含以下特性：</w:t>
      </w:r>
    </w:p>
    <w:p w14:paraId="25ED83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纯HTML+CSS+原生JS实现，无第三方依赖</w:t>
      </w:r>
    </w:p>
    <w:p w14:paraId="5D45AA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画布600×600像素</w:t>
      </w:r>
    </w:p>
    <w:p w14:paraId="66CABA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蛇头蓝色、身体绿色、食物红色</w:t>
      </w:r>
    </w:p>
    <w:p w14:paraId="63F183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方向键控制，吃到食物分数+1</w:t>
      </w:r>
    </w:p>
    <w:p w14:paraId="71C5EA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撞墙或撞身体游戏结束，显示"再来一局"按钮</w:t>
      </w:r>
    </w:p>
    <w:p w14:paraId="1F6157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最高分保存在localStorage中</w:t>
      </w:r>
    </w:p>
    <w:p w14:paraId="2066E7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支持速度调节和亮色渐变背景</w:t>
      </w:r>
    </w:p>
    <w:p w14:paraId="1AE8AB81">
      <w:pPr>
        <w:pStyle w:val="16"/>
        <w:numPr>
          <w:ilvl w:val="0"/>
          <w:numId w:val="0"/>
        </w:numPr>
        <w:spacing w:after="80"/>
        <w:ind w:left="360" w:leftChars="0"/>
      </w:pPr>
      <w:r>
        <w:drawing>
          <wp:inline distT="0" distB="0" distL="114300" distR="114300">
            <wp:extent cx="5250180" cy="3283585"/>
            <wp:effectExtent l="0" t="0" r="762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13EBC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提示词自评</w:t>
      </w:r>
    </w:p>
    <w:tbl>
      <w:tblPr>
        <w:tblStyle w:val="11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4830"/>
      </w:tblGrid>
      <w:tr w14:paraId="6FC6D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674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评估项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058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评分</w:t>
            </w:r>
          </w:p>
        </w:tc>
        <w:tc>
          <w:tcPr>
            <w:tcW w:w="4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ED6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25A5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96E2">
            <w:r>
              <w:rPr>
                <w:rFonts w:ascii="宋体" w:hAnsi="宋体" w:eastAsia="宋体" w:cs="宋体"/>
                <w:sz w:val="20"/>
                <w:szCs w:val="20"/>
              </w:rPr>
              <w:t>完整性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2F4B">
            <w:r>
              <w:rPr>
                <w:rFonts w:ascii="宋体" w:hAnsi="宋体" w:eastAsia="宋体" w:cs="宋体"/>
                <w:sz w:val="20"/>
                <w:szCs w:val="20"/>
              </w:rPr>
              <w:t>⭐⭐⭐</w:t>
            </w:r>
          </w:p>
        </w:tc>
        <w:tc>
          <w:tcPr>
            <w:tcW w:w="4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A4F7">
            <w:r>
              <w:rPr>
                <w:rFonts w:ascii="宋体" w:hAnsi="宋体" w:eastAsia="宋体" w:cs="宋体"/>
                <w:sz w:val="20"/>
                <w:szCs w:val="20"/>
              </w:rPr>
              <w:t>覆盖了所有核心功能要求</w:t>
            </w:r>
          </w:p>
        </w:tc>
      </w:tr>
      <w:tr w14:paraId="13B4F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4E4D">
            <w:r>
              <w:rPr>
                <w:rFonts w:ascii="宋体" w:hAnsi="宋体" w:eastAsia="宋体" w:cs="宋体"/>
                <w:sz w:val="20"/>
                <w:szCs w:val="20"/>
              </w:rPr>
              <w:t>清晰度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E46A">
            <w:r>
              <w:rPr>
                <w:rFonts w:ascii="宋体" w:hAnsi="宋体" w:eastAsia="宋体" w:cs="宋体"/>
                <w:sz w:val="20"/>
                <w:szCs w:val="20"/>
              </w:rPr>
              <w:t>⭐⭐⭐</w:t>
            </w:r>
          </w:p>
        </w:tc>
        <w:tc>
          <w:tcPr>
            <w:tcW w:w="4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5463">
            <w:r>
              <w:rPr>
                <w:rFonts w:ascii="宋体" w:hAnsi="宋体" w:eastAsia="宋体" w:cs="宋体"/>
                <w:sz w:val="20"/>
                <w:szCs w:val="20"/>
              </w:rPr>
              <w:t>描述具体，技术要求明确</w:t>
            </w:r>
          </w:p>
        </w:tc>
      </w:tr>
      <w:tr w14:paraId="0026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E94D">
            <w:r>
              <w:rPr>
                <w:rFonts w:ascii="宋体" w:hAnsi="宋体" w:eastAsia="宋体" w:cs="宋体"/>
                <w:sz w:val="20"/>
                <w:szCs w:val="20"/>
              </w:rPr>
              <w:t>可执行性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072F">
            <w:r>
              <w:rPr>
                <w:rFonts w:ascii="宋体" w:hAnsi="宋体" w:eastAsia="宋体" w:cs="宋体"/>
                <w:sz w:val="20"/>
                <w:szCs w:val="20"/>
              </w:rPr>
              <w:t>⭐⭐⭐</w:t>
            </w:r>
          </w:p>
        </w:tc>
        <w:tc>
          <w:tcPr>
            <w:tcW w:w="4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881A">
            <w:r>
              <w:rPr>
                <w:rFonts w:ascii="宋体" w:hAnsi="宋体" w:eastAsia="宋体" w:cs="宋体"/>
                <w:sz w:val="20"/>
                <w:szCs w:val="20"/>
              </w:rPr>
              <w:t>AI能直接按要求生成完整代码</w:t>
            </w:r>
          </w:p>
        </w:tc>
      </w:tr>
      <w:tr w14:paraId="76FFE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A1B6">
            <w:r>
              <w:rPr>
                <w:rFonts w:ascii="宋体" w:hAnsi="宋体" w:eastAsia="宋体" w:cs="宋体"/>
                <w:sz w:val="20"/>
                <w:szCs w:val="20"/>
              </w:rPr>
              <w:t>可优化点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B639">
            <w:r>
              <w:rPr>
                <w:rFonts w:ascii="宋体" w:hAnsi="宋体" w:eastAsia="宋体" w:cs="宋体"/>
                <w:sz w:val="20"/>
                <w:szCs w:val="20"/>
              </w:rPr>
              <w:t>-</w:t>
            </w:r>
          </w:p>
        </w:tc>
        <w:tc>
          <w:tcPr>
            <w:tcW w:w="4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433E">
            <w:r>
              <w:rPr>
                <w:rFonts w:ascii="宋体" w:hAnsi="宋体" w:eastAsia="宋体" w:cs="宋体"/>
                <w:sz w:val="20"/>
                <w:szCs w:val="20"/>
              </w:rPr>
              <w:t>可增加更多游戏模式选择</w:t>
            </w:r>
          </w:p>
        </w:tc>
      </w:tr>
    </w:tbl>
    <w:p w14:paraId="13DF31DA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二、论文分析结果</w:t>
      </w:r>
    </w:p>
    <w:p w14:paraId="391F14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研究发现：</w:t>
      </w:r>
    </w:p>
    <w:p w14:paraId="68DB6B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收入不平等加剧显著抑制了家庭消费增长</w:t>
      </w:r>
    </w:p>
    <w:p w14:paraId="7294D4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家庭杠杆率适度提高在一定程度上可以促进家庭消费</w:t>
      </w:r>
    </w:p>
    <w:p w14:paraId="273808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不同地区、城乡消费表现存在差异</w:t>
      </w:r>
    </w:p>
    <w:p w14:paraId="299018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政策建议：</w:t>
      </w:r>
    </w:p>
    <w:p w14:paraId="7CD5EB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中西部地区：提高家庭整体财富水平，适当提高居民借贷水平</w:t>
      </w:r>
    </w:p>
    <w:p w14:paraId="68F9A7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东部地区：控制和减少收入不平等，降低其对可持续消费增长的负面影响</w:t>
      </w:r>
    </w:p>
    <w:p w14:paraId="3BFD9309">
      <w:pPr>
        <w:pStyle w:val="16"/>
        <w:numPr>
          <w:ilvl w:val="0"/>
          <w:numId w:val="0"/>
        </w:numPr>
        <w:spacing w:after="80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71770" cy="3786505"/>
            <wp:effectExtent l="0" t="0" r="11430" b="1079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F7D6E">
      <w:pPr>
        <w:pStyle w:val="16"/>
        <w:numPr>
          <w:ilvl w:val="0"/>
          <w:numId w:val="0"/>
        </w:numPr>
        <w:spacing w:after="80"/>
        <w:rPr>
          <w:rFonts w:ascii="宋体" w:hAnsi="宋体" w:eastAsia="宋体" w:cs="宋体"/>
          <w:sz w:val="21"/>
          <w:szCs w:val="21"/>
        </w:rPr>
      </w:pPr>
    </w:p>
    <w:p w14:paraId="38609E27">
      <w:pPr>
        <w:pStyle w:val="16"/>
        <w:numPr>
          <w:ilvl w:val="0"/>
          <w:numId w:val="0"/>
        </w:numPr>
        <w:spacing w:after="80"/>
        <w:rPr>
          <w:rFonts w:ascii="宋体" w:hAnsi="宋体" w:eastAsia="宋体" w:cs="宋体"/>
          <w:sz w:val="21"/>
          <w:szCs w:val="21"/>
        </w:rPr>
      </w:pPr>
    </w:p>
    <w:p w14:paraId="189FCD32">
      <w:pPr>
        <w:pStyle w:val="16"/>
        <w:numPr>
          <w:ilvl w:val="0"/>
          <w:numId w:val="0"/>
        </w:numPr>
        <w:spacing w:after="80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68595" cy="3449955"/>
            <wp:effectExtent l="0" t="0" r="190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C1E5">
      <w:pPr>
        <w:pStyle w:val="3"/>
        <w:spacing w:before="240" w:after="12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三、Excel合并结果</w:t>
      </w:r>
    </w:p>
    <w:p w14:paraId="05E747B9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四、业绩预测结果</w:t>
      </w:r>
    </w:p>
    <w:tbl>
      <w:tblPr>
        <w:tblStyle w:val="11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3330"/>
      </w:tblGrid>
      <w:tr w14:paraId="19E38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A70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CE7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SARIMA</w:t>
            </w:r>
          </w:p>
        </w:tc>
        <w:tc>
          <w:tcPr>
            <w:tcW w:w="33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448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线性回归</w:t>
            </w:r>
          </w:p>
        </w:tc>
      </w:tr>
      <w:tr w14:paraId="0D88A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1AFB">
            <w:r>
              <w:rPr>
                <w:rFonts w:ascii="宋体" w:hAnsi="宋体" w:eastAsia="宋体" w:cs="宋体"/>
                <w:sz w:val="20"/>
                <w:szCs w:val="20"/>
              </w:rPr>
              <w:t>RMSE</w:t>
            </w:r>
          </w:p>
        </w:tc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7F44">
            <w:r>
              <w:rPr>
                <w:rFonts w:ascii="宋体" w:hAnsi="宋体" w:eastAsia="宋体" w:cs="宋体"/>
                <w:sz w:val="20"/>
                <w:szCs w:val="20"/>
              </w:rPr>
              <w:t>344.85</w:t>
            </w:r>
          </w:p>
        </w:tc>
        <w:tc>
          <w:tcPr>
            <w:tcW w:w="33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379D">
            <w:r>
              <w:rPr>
                <w:rFonts w:ascii="宋体" w:hAnsi="宋体" w:eastAsia="宋体" w:cs="宋体"/>
                <w:sz w:val="20"/>
                <w:szCs w:val="20"/>
              </w:rPr>
              <w:t>323.89</w:t>
            </w:r>
          </w:p>
        </w:tc>
      </w:tr>
      <w:tr w14:paraId="622A9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B0EB">
            <w:r>
              <w:rPr>
                <w:rFonts w:ascii="宋体" w:hAnsi="宋体" w:eastAsia="宋体" w:cs="宋体"/>
                <w:sz w:val="20"/>
                <w:szCs w:val="20"/>
              </w:rPr>
              <w:t>MAPE(%)</w:t>
            </w:r>
          </w:p>
        </w:tc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972C">
            <w:r>
              <w:rPr>
                <w:rFonts w:ascii="宋体" w:hAnsi="宋体" w:eastAsia="宋体" w:cs="宋体"/>
                <w:sz w:val="20"/>
                <w:szCs w:val="20"/>
              </w:rPr>
              <w:t>24.85</w:t>
            </w:r>
          </w:p>
        </w:tc>
        <w:tc>
          <w:tcPr>
            <w:tcW w:w="33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AD23">
            <w:r>
              <w:rPr>
                <w:rFonts w:ascii="宋体" w:hAnsi="宋体" w:eastAsia="宋体" w:cs="宋体"/>
                <w:sz w:val="20"/>
                <w:szCs w:val="20"/>
              </w:rPr>
              <w:t>15.33</w:t>
            </w:r>
          </w:p>
        </w:tc>
      </w:tr>
    </w:tbl>
    <w:p w14:paraId="1D215C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EDA发现：</w:t>
      </w:r>
    </w:p>
    <w:p w14:paraId="2E91BF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消费额呈明显季节性波动</w:t>
      </w:r>
    </w:p>
    <w:p w14:paraId="6D9081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节日消费显著高于非节日</w:t>
      </w:r>
    </w:p>
    <w:p w14:paraId="79D14D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月度均值存在周期性峰值</w:t>
      </w:r>
    </w:p>
    <w:p w14:paraId="1D28D358">
      <w:pPr>
        <w:pStyle w:val="16"/>
        <w:numPr>
          <w:ilvl w:val="0"/>
          <w:numId w:val="0"/>
        </w:numPr>
        <w:spacing w:after="8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7700" cy="2386330"/>
            <wp:effectExtent l="0" t="0" r="0" b="1270"/>
            <wp:docPr id="3" name="图片 3" descr="model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odel_comparis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7257">
      <w:pPr>
        <w:pStyle w:val="3"/>
        <w:numPr>
          <w:ilvl w:val="0"/>
          <w:numId w:val="1"/>
        </w:numPr>
        <w:spacing w:before="240" w:after="1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CNB 推送截图</w:t>
      </w:r>
    </w:p>
    <w:p w14:paraId="45C9392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0975" cy="3285490"/>
            <wp:effectExtent l="0" t="0" r="952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6A05">
      <w:pPr>
        <w:pStyle w:val="16"/>
        <w:numPr>
          <w:ilvl w:val="0"/>
          <w:numId w:val="0"/>
        </w:numPr>
        <w:spacing w:after="80"/>
        <w:rPr>
          <w:rFonts w:hint="eastAsia" w:eastAsia="宋体"/>
          <w:lang w:eastAsia="zh-CN"/>
        </w:rPr>
      </w:pPr>
    </w:p>
    <w:p w14:paraId="2CE27017">
      <w:pPr>
        <w:pStyle w:val="16"/>
        <w:numPr>
          <w:ilvl w:val="0"/>
          <w:numId w:val="0"/>
        </w:numPr>
        <w:spacing w:after="80"/>
        <w:rPr>
          <w:rFonts w:hint="eastAsia" w:eastAsia="宋体"/>
          <w:lang w:eastAsia="zh-CN"/>
        </w:rPr>
      </w:pPr>
    </w:p>
    <w:p w14:paraId="1AC709C5">
      <w:pPr>
        <w:pStyle w:val="16"/>
        <w:numPr>
          <w:ilvl w:val="0"/>
          <w:numId w:val="0"/>
        </w:numPr>
        <w:spacing w:after="80"/>
        <w:rPr>
          <w:rFonts w:hint="eastAsia" w:eastAsia="宋体"/>
          <w:lang w:eastAsia="zh-CN"/>
        </w:rPr>
      </w:pPr>
    </w:p>
    <w:p w14:paraId="2BE33D20">
      <w:r>
        <w:rPr>
          <w:rFonts w:ascii="宋体" w:hAnsi="宋体" w:eastAsia="宋体" w:cs="宋体"/>
          <w:b/>
          <w:bCs/>
          <w:sz w:val="32"/>
          <w:szCs w:val="32"/>
        </w:rPr>
        <w:t>问题与解决</w:t>
      </w:r>
    </w:p>
    <w:tbl>
      <w:tblPr>
        <w:tblStyle w:val="11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3730"/>
      </w:tblGrid>
      <w:tr w14:paraId="5C0E5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76E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419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原因分析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BC5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解决方案</w:t>
            </w:r>
          </w:p>
        </w:tc>
      </w:tr>
      <w:tr w14:paraId="5BD63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6C60">
            <w:r>
              <w:rPr>
                <w:rFonts w:ascii="宋体" w:hAnsi="宋体" w:eastAsia="宋体" w:cs="宋体"/>
                <w:sz w:val="20"/>
                <w:szCs w:val="20"/>
              </w:rPr>
              <w:t>ModuleNotFoundError: No module named 'matplotlib'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509C">
            <w:r>
              <w:rPr>
                <w:rFonts w:ascii="宋体" w:hAnsi="宋体" w:eastAsia="宋体" w:cs="宋体"/>
                <w:sz w:val="20"/>
                <w:szCs w:val="20"/>
              </w:rPr>
              <w:t>权限问题导致依赖包安装失败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B5BB">
            <w:r>
              <w:rPr>
                <w:rFonts w:ascii="宋体" w:hAnsi="宋体" w:eastAsia="宋体" w:cs="宋体"/>
                <w:sz w:val="20"/>
                <w:szCs w:val="20"/>
              </w:rPr>
              <w:t>分步安装依赖，先安装核心依赖再安装主包</w:t>
            </w:r>
          </w:p>
        </w:tc>
      </w:tr>
      <w:tr w14:paraId="23BB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4AC7">
            <w:r>
              <w:rPr>
                <w:rFonts w:ascii="宋体" w:hAnsi="宋体" w:eastAsia="宋体" w:cs="宋体"/>
                <w:sz w:val="20"/>
                <w:szCs w:val="20"/>
              </w:rPr>
              <w:t>y变量类型错误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72F6">
            <w:r>
              <w:rPr>
                <w:rFonts w:ascii="宋体" w:hAnsi="宋体" w:eastAsia="宋体" w:cs="宋体"/>
                <w:sz w:val="20"/>
                <w:szCs w:val="20"/>
              </w:rPr>
              <w:t>y是numpy.ndarray而不是pandas.Series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2C17">
            <w:r>
              <w:rPr>
                <w:rFonts w:ascii="宋体" w:hAnsi="宋体" w:eastAsia="宋体" w:cs="宋体"/>
                <w:sz w:val="20"/>
                <w:szCs w:val="20"/>
              </w:rPr>
              <w:t>修复.iloc调用错误</w:t>
            </w:r>
          </w:p>
        </w:tc>
      </w:tr>
      <w:tr w14:paraId="6E8CE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143A">
            <w:r>
              <w:rPr>
                <w:rFonts w:ascii="宋体" w:hAnsi="宋体" w:eastAsia="宋体" w:cs="宋体"/>
                <w:sz w:val="20"/>
                <w:szCs w:val="20"/>
              </w:rPr>
              <w:t>tensorflow安装复杂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00E6">
            <w:r>
              <w:rPr>
                <w:rFonts w:ascii="宋体" w:hAnsi="宋体" w:eastAsia="宋体" w:cs="宋体"/>
                <w:sz w:val="20"/>
                <w:szCs w:val="20"/>
              </w:rPr>
              <w:t>深度学习框架安装依赖过多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24FA">
            <w:r>
              <w:rPr>
                <w:rFonts w:ascii="宋体" w:hAnsi="宋体" w:eastAsia="宋体" w:cs="宋体"/>
                <w:sz w:val="20"/>
                <w:szCs w:val="20"/>
              </w:rPr>
              <w:t>将LSTM替换为线性回归作为对比模型</w:t>
            </w:r>
          </w:p>
        </w:tc>
      </w:tr>
      <w:tr w14:paraId="0B9A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B6CC">
            <w:r>
              <w:rPr>
                <w:rFonts w:ascii="宋体" w:hAnsi="宋体" w:eastAsia="宋体" w:cs="宋体"/>
                <w:sz w:val="20"/>
                <w:szCs w:val="20"/>
              </w:rPr>
              <w:t>终端环境缓存问题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BC4E">
            <w:r>
              <w:rPr>
                <w:rFonts w:ascii="宋体" w:hAnsi="宋体" w:eastAsia="宋体" w:cs="宋体"/>
                <w:sz w:val="20"/>
                <w:szCs w:val="20"/>
              </w:rPr>
              <w:t>安装后模块导入路径问题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BBC3">
            <w:r>
              <w:rPr>
                <w:rFonts w:ascii="宋体" w:hAnsi="宋体" w:eastAsia="宋体" w:cs="宋体"/>
                <w:sz w:val="20"/>
                <w:szCs w:val="20"/>
              </w:rPr>
              <w:t>安装后立即验证包是否成功导入</w:t>
            </w:r>
          </w:p>
        </w:tc>
      </w:tr>
    </w:tbl>
    <w:p w14:paraId="6D3A9369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AI出错案例反思</w:t>
      </w:r>
    </w:p>
    <w:p w14:paraId="342F85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在实验过程中，AI生成的代码出现了多次错误。例如，在安装Python包时，使用--user安装后脚本仍然无法找到模块。这提醒我在使用AI工具时，需要仔细检查代码的正确性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8024093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实验心得</w:t>
      </w:r>
    </w:p>
    <w:p w14:paraId="24ECC00C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主要收获</w:t>
      </w:r>
    </w:p>
    <w:p w14:paraId="749FE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学会了使用AI生成代码，提高编程效率</w:t>
      </w:r>
    </w:p>
    <w:p w14:paraId="065183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掌握了文献分析方法，能够从学术论文中提取关键信息</w:t>
      </w:r>
    </w:p>
    <w:p w14:paraId="5250BE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学会了Excel数据处理和时间序列预测</w:t>
      </w:r>
    </w:p>
    <w:p w14:paraId="4FE7C3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培养了问题解决能力，学会调试和修复代码错误</w:t>
      </w:r>
    </w:p>
    <w:p w14:paraId="0C2E8653">
      <w:pPr>
        <w:pStyle w:val="3"/>
        <w:spacing w:before="240" w:after="1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心得体会</w:t>
      </w:r>
    </w:p>
    <w:p w14:paraId="1F8A81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AI是工具而非替代者：AI能快速生成代码，但需要人工审核和调试</w:t>
      </w:r>
    </w:p>
    <w:p w14:paraId="327EB4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提示词设计很重要：明确、具体、分步骤的提示词能提高AI输出质量</w:t>
      </w:r>
    </w:p>
    <w:p w14:paraId="6A7148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问题解决能力：遇到错误时，要系统地排查原因，逐步解决</w:t>
      </w:r>
    </w:p>
    <w:p w14:paraId="0B88E5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简化：有时复杂模型可能无法顺利运行，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要学会</w:t>
      </w:r>
      <w:r>
        <w:rPr>
          <w:rFonts w:ascii="宋体" w:hAnsi="宋体" w:eastAsia="宋体" w:cs="宋体"/>
          <w:sz w:val="24"/>
          <w:szCs w:val="24"/>
        </w:rPr>
        <w:t>简化方案达到学习目标</w:t>
      </w:r>
    </w:p>
    <w:p w14:paraId="1FF50E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7931D3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1CBCE9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cs="宋体"/>
          <w:color w:val="FF000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交付物：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begin"/>
      </w:r>
      <w:r>
        <w:rPr>
          <w:rFonts w:hint="eastAsia" w:cs="宋体"/>
          <w:color w:val="FF0000"/>
          <w:sz w:val="24"/>
          <w:szCs w:val="24"/>
          <w:lang w:val="en-US" w:eastAsia="zh-CN"/>
        </w:rPr>
        <w:instrText xml:space="preserve"> HYPERLINK "https://cnb.cool/Cee0806/smartbank" </w:instrTex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separate"/>
      </w:r>
      <w:r>
        <w:rPr>
          <w:rStyle w:val="14"/>
          <w:rFonts w:hint="eastAsia" w:cs="宋体"/>
          <w:sz w:val="24"/>
          <w:szCs w:val="24"/>
          <w:lang w:val="en-US" w:eastAsia="zh-CN"/>
        </w:rPr>
        <w:t>https://cnb.cool/Cee0806/smartbank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end"/>
      </w:r>
    </w:p>
    <w:p w14:paraId="6F85B3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default" w:cs="宋体"/>
          <w:color w:val="FF000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小组项目：</w:t>
      </w:r>
      <w:r>
        <w:rPr>
          <w:rStyle w:val="14"/>
          <w:rFonts w:hint="eastAsia"/>
          <w:lang w:val="en-US" w:eastAsia="zh-CN"/>
        </w:rPr>
        <w:t>https://1-ruddy-xi.vercel.app/</w:t>
      </w:r>
      <w:bookmarkStart w:id="0" w:name="_GoBack"/>
      <w:bookmarkEnd w:id="0"/>
    </w:p>
    <w:p w14:paraId="0E5B1B69">
      <w:pPr>
        <w:spacing w:before="480"/>
        <w:jc w:val="center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8D055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/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B60E3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8D2307"/>
    <w:multiLevelType w:val="singleLevel"/>
    <w:tmpl w:val="E58D2307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5EC6D63"/>
    <w:rsid w:val="4902047E"/>
    <w:rsid w:val="4B244F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宋体" w:hAnsi="宋体" w:eastAsia="宋体" w:cs="宋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748</Words>
  <Characters>987</Characters>
  <TotalTime>0</TotalTime>
  <ScaleCrop>false</ScaleCrop>
  <LinksUpToDate>false</LinksUpToDate>
  <CharactersWithSpaces>1017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2026-06-24T02:24:00Z</dcterms:created>
  <dc:creator>陈曦</dc:creator>
  <cp:lastModifiedBy>Letitia</cp:lastModifiedBy>
  <dcterms:modified xsi:type="dcterms:W3CDTF">2026-06-24T10:26:41Z</dcterms:modified>
  <dc:title>Python与大数据分析实验报告 - 实验一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eyJoZGlkIjoiZTY1OTJjMzIyNWUwNDRmZTViMTgwZWM5OWI4MGQwZDAiLCJ1c2VySWQiOiIxNTM5OTQ4NTQ3In0=</vt:lpwstr>
  </property>
  <property fmtid="{D5CDD505-2E9C-101B-9397-08002B2CF9AE}" pid="3" name="KSOProductBuildVer">
    <vt:lpwstr>2052-12.1.0.26381</vt:lpwstr>
  </property>
  <property fmtid="{D5CDD505-2E9C-101B-9397-08002B2CF9AE}" pid="4" name="ICV">
    <vt:lpwstr>19B825749C0B4CE6BE7474FD52D76B7D_12</vt:lpwstr>
  </property>
</Properties>
</file>