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CC353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MCP </w:t>
      </w: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由浅入深 </w:t>
      </w: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  <w:t xml:space="preserve">4 </w:t>
      </w:r>
      <w:r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  <w:t>关</w:t>
      </w:r>
    </w:p>
    <w:p w14:paraId="6A6C81FC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交付材料文件无法直接插入的，已同步到cnb库中https://cnb.cool/tokisaki996/smartbanking，其他的交付到提交链接中。</w:t>
      </w:r>
    </w:p>
    <w:p w14:paraId="2360A096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color w:val="000000"/>
          <w:kern w:val="0"/>
          <w:sz w:val="32"/>
          <w:szCs w:val="32"/>
          <w:lang w:val="en-US" w:eastAsia="zh-CN" w:bidi="ar"/>
        </w:rPr>
      </w:pPr>
    </w:p>
    <w:p w14:paraId="7C1A13E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实验关键材料交付：</w:t>
      </w:r>
    </w:p>
    <w:p w14:paraId="358E9F1C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MCP四关录屏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GIF</w:t>
      </w:r>
    </w:p>
    <w:p w14:paraId="135A55BE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L1:</w:t>
      </w:r>
    </w:p>
    <w:p w14:paraId="15A902D5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810000" cy="2276475"/>
            <wp:effectExtent l="0" t="0" r="0" b="9525"/>
            <wp:docPr id="1" name="图片 1" descr="第一关L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第一关L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CFA7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L2:</w:t>
      </w:r>
    </w:p>
    <w:p w14:paraId="16271D6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810000" cy="2276475"/>
            <wp:effectExtent l="0" t="0" r="0" b="9525"/>
            <wp:docPr id="2" name="图片 2" descr="第二关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第二关L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54D7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L3:</w:t>
      </w:r>
    </w:p>
    <w:p w14:paraId="611FB021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810000" cy="2276475"/>
            <wp:effectExtent l="0" t="0" r="0" b="9525"/>
            <wp:docPr id="3" name="图片 3" descr="第二关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第二关L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C57D2">
      <w:pPr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L4:</w:t>
      </w:r>
    </w:p>
    <w:p w14:paraId="56A4DA5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3810000" cy="2266950"/>
            <wp:effectExtent l="0" t="0" r="0" b="6350"/>
            <wp:docPr id="4" name="图片 4" descr="第四关L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第四关L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F8B2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L1 lighthouse 报告 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+ 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银行截图（文件均已经同步到cnb库中）</w:t>
      </w:r>
    </w:p>
    <w:p w14:paraId="18DA7D36">
      <w:r>
        <w:drawing>
          <wp:inline distT="0" distB="0" distL="114300" distR="114300">
            <wp:extent cx="5268595" cy="3515360"/>
            <wp:effectExtent l="0" t="0" r="1905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1DDC">
      <w:r>
        <w:drawing>
          <wp:inline distT="0" distB="0" distL="114300" distR="114300">
            <wp:extent cx="5271135" cy="2210435"/>
            <wp:effectExtent l="0" t="0" r="12065" b="1206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FE793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L2 客户分群报表 L3银行简报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（文件均已经同步到cnb库中）</w:t>
      </w:r>
    </w:p>
    <w:p w14:paraId="5AA023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098290"/>
            <wp:effectExtent l="0" t="0" r="1270" b="3810"/>
            <wp:docPr id="7" name="图片 7" descr="屏幕截图 2026-06-24 165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24 1657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6568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L4 Stata 回归结果 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 xml:space="preserve">+ 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结论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（文件均已经同步到cnb库中）</w:t>
      </w:r>
    </w:p>
    <w:p w14:paraId="3429921D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</w:p>
    <w:p w14:paraId="05975853">
      <w:pPr>
        <w:rPr>
          <w:rFonts w:hint="default"/>
          <w:lang w:val="en-US" w:eastAsia="zh-CN"/>
        </w:rPr>
      </w:pPr>
    </w:p>
    <w:p w14:paraId="759C9C04">
      <w:r>
        <w:drawing>
          <wp:inline distT="0" distB="0" distL="114300" distR="114300">
            <wp:extent cx="5269230" cy="4092575"/>
            <wp:effectExtent l="0" t="0" r="1270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46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核心结论</w:t>
      </w:r>
    </w:p>
    <w:p w14:paraId="058DE9B1">
      <w:r>
        <w:drawing>
          <wp:inline distT="0" distB="0" distL="114300" distR="114300">
            <wp:extent cx="5269865" cy="1627505"/>
            <wp:effectExtent l="0" t="0" r="635" b="1079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F1E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MCP调用流程图</w:t>
      </w:r>
    </w:p>
    <w:p w14:paraId="6C9B9FB2">
      <w:r>
        <w:drawing>
          <wp:inline distT="0" distB="0" distL="114300" distR="114300">
            <wp:extent cx="5269865" cy="2591435"/>
            <wp:effectExtent l="0" t="0" r="635" b="1206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3EB3">
      <w:pPr>
        <w:widowControl w:val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MCP 工具调用实验心得与反思</w:t>
      </w:r>
    </w:p>
    <w:p w14:paraId="2E59F96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B3647B1">
      <w:pPr>
        <w:widowControl w:val="0"/>
        <w:ind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通过本次 MCP（Model Context Protocol）工具调用实验，我深刻体会到了 AI IDE 与外部工具协同工作的强大能力。实验中，我先后调用了 Git 版本控制、文件系统操作、网络请求以及命令行执行四个核心 MCP 工具，完成了从代码提交、文件读写、API 测试到环境配置的全流程操作。</w:t>
      </w:r>
    </w:p>
    <w:p w14:paraId="429C2A8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62EDD7E">
      <w:pPr>
        <w:widowControl w:val="0"/>
        <w:ind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MCP 协议的核心价值在于它将 AI 的能力边界从"纯文本生成"扩展到了"实际</w:t>
      </w:r>
      <w:bookmarkStart w:id="0" w:name="_GoBack"/>
      <w:bookmarkEnd w:id="0"/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操作执行"。传统 AI 助手只能提供代码片段或操作建议，而通过 MCP，AI 可以直接在本地环境中执行命令、读写文件、调用 API，真正实现了"所说即所做"。这种能力的跃升极大地提高了开发效率，减少了人工操作的中间环节。</w:t>
      </w:r>
    </w:p>
    <w:p w14:paraId="6A3A5172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DC10C1B">
      <w:pPr>
        <w:widowControl w:val="0"/>
        <w:ind w:leftChars="0"/>
        <w:jc w:val="both"/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在实验过程中，我遇到了几个值得反思的问题。首先是权限控制问题，MCP 工具的执行需要严格的权限管理，避免 AI 误操作导致数据丢失或安全风险。其次是错误处理机制，当工具调用失败时，AI 需要能够准确解析错误信息并给出合理的解决方案，而不是盲目重试。最后是工具调用的上下文管理，多个工具连续调用时需要保持状态一致性，避免中间状态丢失。</w:t>
      </w:r>
    </w:p>
    <w:p w14:paraId="395629A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7978305">
      <w:pPr>
        <w:widowControl w:val="0"/>
        <w:ind w:leftChars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总体而言，MCP 协议为 AI 辅助开发提供了标准化的工具集成方案，使得 AI 从"顾问"角色转变为"协作者"角色。未来随着 MCP 生态的完善，AI IDE 将能够集成更多专业工具，覆盖更广泛的开发场景，真正实现智能化的软件开发全流程。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MRoman12-Regular-Identity-H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85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2026-06-24T08:20:01Z</dcterms:created>
  <dc:creator>小库~</dc:creator>
  <cp:lastModifiedBy>Violet Evergarden</cp:lastModifiedBy>
  <dcterms:modified xsi:type="dcterms:W3CDTF">2026-06-24T09:14:16Z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eyJoZGlkIjoiM2E1NjQ2OWJmOTE1NWJmYWNiODVlNjI3MzgzZWEzNzYiLCJ1c2VySWQiOiI4ODA0Mjk3MzAifQ==</vt:lpwstr>
  </property>
  <property fmtid="{D5CDD505-2E9C-101B-9397-08002B2CF9AE}" pid="4" name="ICV">
    <vt:lpwstr>812AB9204FA648CDA97E7965B55914FA_12</vt:lpwstr>
  </property>
</Properties>
</file>