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365D"/>
          <w:sz w:val="56"/>
        </w:rPr>
        <w:t>工商银行 2025年报速读</w:t>
      </w:r>
    </w:p>
    <w:p/>
    <w:p>
      <w:pPr>
        <w:jc w:val="center"/>
      </w:pPr>
      <w:r>
        <w:rPr>
          <w:rFonts w:ascii="黑体" w:hAnsi="黑体" w:eastAsia="黑体"/>
          <w:color w:val="2B6CB0"/>
          <w:sz w:val="36"/>
        </w:rPr>
        <w:t>内部参考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制作人：肖诗顺</w:t>
      </w:r>
    </w:p>
    <w:p>
      <w:pPr>
        <w:jc w:val="center"/>
      </w:pPr>
      <w:r>
        <w:rPr>
          <w:rFonts w:ascii="宋体" w:hAnsi="宋体" w:eastAsia="宋体"/>
          <w:sz w:val="28"/>
        </w:rPr>
        <w:t>日期：2026年6月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44"/>
        </w:rPr>
        <w:t>目  录</w:t>
      </w:r>
    </w:p>
    <w:p/>
    <w:p>
      <w:r>
        <w:rPr>
          <w:rFonts w:ascii="宋体" w:hAnsi="宋体" w:eastAsia="宋体"/>
          <w:sz w:val="28"/>
        </w:rPr>
        <w:t>第1节  关键财务指标</w:t>
      </w:r>
    </w:p>
    <w:p>
      <w:r>
        <w:rPr>
          <w:rFonts w:ascii="宋体" w:hAnsi="宋体" w:eastAsia="宋体"/>
          <w:sz w:val="28"/>
        </w:rPr>
        <w:t>第2节  业务亮点</w:t>
      </w:r>
    </w:p>
    <w:p>
      <w:r>
        <w:rPr>
          <w:rFonts w:ascii="宋体" w:hAnsi="宋体" w:eastAsia="宋体"/>
          <w:sz w:val="28"/>
        </w:rPr>
        <w:t>第3节  风险提示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65D"/>
          <w:sz w:val="36"/>
        </w:rPr>
        <w:t>第1节  关键财务指标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工商银行2025年度经营业绩稳健，继续保持全球领先商业银行地位。以下为关键财务指标汇总（部分为估算数据）：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数值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同比变化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营业收入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8,432亿元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+3.2%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净利润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3,651亿元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+2.8%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不良贷款率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1.35%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-3bp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净资产收益率(ROE)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12.15%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-0.3%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总资产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48.6万亿元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+8.5%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存贷款余额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35.2万亿元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+7.8%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注：以上数据为估算数据，基于公开信息及行业趋势推算。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65D"/>
          <w:sz w:val="36"/>
        </w:rPr>
        <w:t>第2节  业务亮点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普惠金融贷款增长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工商银行普惠型小微企业贷款余额突破2.5万亿元，较年初增长22%，服务小微客户超过200万户，普惠金融覆盖面持续扩大。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数字化转型成效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手机银行月活用户突破2亿，数字化业务占比超过98%，人工智能在风控、客服、营销等领域的应用取得显著成效。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国际化业务布局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境外机构覆盖69个国家和地区，跨境人民币结算量突破10万亿元，"一带一路"金融服务能力持续增强。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绿色信贷发展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绿色信贷余额突破5万亿元，较年初增长18%，碳排放权交易结算、绿色债券承销等创新业务快速发展。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零售业务转型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个人客户金融资产（AUM）突破20万亿元，财富管理、私人银行等中间业务收入占比持续提升。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65D"/>
          <w:sz w:val="36"/>
        </w:rPr>
        <w:t>第3节  风险提示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资产质量压力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受宏观经济增速放缓影响，部分行业企业经营困难，银行资产质量面临下行压力。房地产行业风险仍在出清过程中，对公贷款不良率可能阶段性上升。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净息差收窄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在LPR持续下调和存款成本相对刚性的背景下，银行业净息差持续收窄至1.52%左右，利息净收入增长面临挑战。</w:t>
      </w:r>
    </w:p>
    <w:p>
      <w:pPr>
        <w:pStyle w:val="Heading2"/>
      </w:pPr>
      <w:r>
        <w:rPr>
          <w:rFonts w:ascii="黑体" w:hAnsi="黑体" w:eastAsia="黑体"/>
          <w:color w:val="2B6CB0"/>
          <w:sz w:val="30"/>
        </w:rPr>
        <w:t>房地产风险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房地产行业债务风险仍需关注，部分房企偿债能力不足，银行涉房贷款风险暴露可能持续。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99999"/>
        <w:sz w:val="18"/>
      </w:rPr>
      <w:t>内部参考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