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2A5FF9">
      <w:pPr>
        <w:spacing w:line="381" w:lineRule="exact"/>
        <w:ind w:firstLine="173"/>
      </w:pPr>
      <w:r>
        <w:rPr>
          <w:position w:val="-7"/>
          <w:lang w:eastAsia="zh-CN"/>
        </w:rPr>
        <w:drawing>
          <wp:inline distT="0" distB="0" distL="0" distR="0">
            <wp:extent cx="1140460" cy="24193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1140921" cy="242098"/>
                    </a:xfrm>
                    <a:prstGeom prst="rect">
                      <a:avLst/>
                    </a:prstGeom>
                  </pic:spPr>
                </pic:pic>
              </a:graphicData>
            </a:graphic>
          </wp:inline>
        </w:drawing>
      </w:r>
    </w:p>
    <w:p w14:paraId="42DF4F1E">
      <w:pPr>
        <w:spacing w:line="260" w:lineRule="auto"/>
      </w:pPr>
    </w:p>
    <w:p w14:paraId="79B43E6A">
      <w:pPr>
        <w:spacing w:line="260" w:lineRule="auto"/>
      </w:pPr>
    </w:p>
    <w:p w14:paraId="0B768BBC">
      <w:pPr>
        <w:spacing w:line="260" w:lineRule="auto"/>
      </w:pPr>
    </w:p>
    <w:p w14:paraId="34D0DD51">
      <w:pPr>
        <w:spacing w:line="260" w:lineRule="auto"/>
      </w:pPr>
    </w:p>
    <w:p w14:paraId="32E4181E">
      <w:pPr>
        <w:spacing w:line="260" w:lineRule="auto"/>
      </w:pPr>
    </w:p>
    <w:p w14:paraId="575294CE">
      <w:pPr>
        <w:spacing w:line="2993" w:lineRule="exact"/>
        <w:ind w:firstLine="2688"/>
      </w:pPr>
      <w:bookmarkStart w:id="0" w:name="_GoBack"/>
      <w:r>
        <w:rPr>
          <w:position w:val="-59"/>
          <w:lang w:eastAsia="zh-CN"/>
        </w:rPr>
        <w:drawing>
          <wp:inline distT="0" distB="0" distL="0" distR="0">
            <wp:extent cx="1890395" cy="190055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
                    <a:stretch>
                      <a:fillRect/>
                    </a:stretch>
                  </pic:blipFill>
                  <pic:spPr>
                    <a:xfrm>
                      <a:off x="0" y="0"/>
                      <a:ext cx="1890554" cy="1900850"/>
                    </a:xfrm>
                    <a:prstGeom prst="rect">
                      <a:avLst/>
                    </a:prstGeom>
                  </pic:spPr>
                </pic:pic>
              </a:graphicData>
            </a:graphic>
          </wp:inline>
        </w:drawing>
      </w:r>
    </w:p>
    <w:bookmarkEnd w:id="0"/>
    <w:p w14:paraId="65D8EF15">
      <w:pPr>
        <w:spacing w:line="275" w:lineRule="auto"/>
      </w:pPr>
    </w:p>
    <w:p w14:paraId="11D38409">
      <w:pPr>
        <w:spacing w:line="275" w:lineRule="auto"/>
      </w:pPr>
    </w:p>
    <w:p w14:paraId="20DE3506">
      <w:pPr>
        <w:spacing w:line="275" w:lineRule="auto"/>
      </w:pPr>
    </w:p>
    <w:p w14:paraId="19D7F92F">
      <w:pPr>
        <w:spacing w:line="275" w:lineRule="auto"/>
      </w:pPr>
    </w:p>
    <w:p w14:paraId="1F376B53">
      <w:pPr>
        <w:spacing w:line="275" w:lineRule="auto"/>
      </w:pPr>
    </w:p>
    <w:p w14:paraId="5A71C6BE">
      <w:pPr>
        <w:spacing w:line="276" w:lineRule="auto"/>
      </w:pPr>
    </w:p>
    <w:p w14:paraId="43477AD8">
      <w:pPr>
        <w:spacing w:before="114" w:line="226" w:lineRule="auto"/>
        <w:ind w:left="606" w:firstLine="1251" w:firstLineChars="350"/>
        <w:outlineLvl w:val="0"/>
        <w:rPr>
          <w:rFonts w:ascii="黑体" w:hAnsi="黑体" w:eastAsia="黑体" w:cs="黑体"/>
          <w:sz w:val="35"/>
          <w:szCs w:val="35"/>
          <w:lang w:eastAsia="zh-CN"/>
        </w:rPr>
      </w:pPr>
      <w:r>
        <w:rPr>
          <w:rFonts w:ascii="黑体" w:hAnsi="黑体" w:eastAsia="黑体" w:cs="黑体"/>
          <w:b/>
          <w:bCs/>
          <w:spacing w:val="3"/>
          <w:sz w:val="35"/>
          <w:szCs w:val="35"/>
          <w:lang w:eastAsia="zh-CN"/>
        </w:rPr>
        <w:t>202X学年度“</w:t>
      </w:r>
      <w:r>
        <w:rPr>
          <w:rFonts w:hint="eastAsia" w:ascii="黑体" w:hAnsi="黑体" w:eastAsia="黑体" w:cs="黑体"/>
          <w:b/>
          <w:bCs/>
          <w:spacing w:val="3"/>
          <w:sz w:val="35"/>
          <w:szCs w:val="35"/>
          <w:lang w:eastAsia="zh-CN"/>
        </w:rPr>
        <w:t>X</w:t>
      </w:r>
      <w:r>
        <w:rPr>
          <w:rFonts w:ascii="黑体" w:hAnsi="黑体" w:eastAsia="黑体" w:cs="黑体"/>
          <w:b/>
          <w:bCs/>
          <w:spacing w:val="3"/>
          <w:sz w:val="35"/>
          <w:szCs w:val="35"/>
          <w:lang w:eastAsia="zh-CN"/>
        </w:rPr>
        <w:t>XX”课程</w:t>
      </w:r>
      <w:r>
        <w:rPr>
          <w:rFonts w:hint="eastAsia" w:ascii="黑体" w:hAnsi="黑体" w:eastAsia="黑体" w:cs="黑体"/>
          <w:b/>
          <w:bCs/>
          <w:spacing w:val="3"/>
          <w:sz w:val="35"/>
          <w:szCs w:val="35"/>
          <w:lang w:eastAsia="zh-CN"/>
        </w:rPr>
        <w:t>讨论</w:t>
      </w:r>
      <w:r>
        <w:rPr>
          <w:rFonts w:ascii="黑体" w:hAnsi="黑体" w:eastAsia="黑体" w:cs="黑体"/>
          <w:b/>
          <w:bCs/>
          <w:spacing w:val="3"/>
          <w:sz w:val="35"/>
          <w:szCs w:val="35"/>
          <w:lang w:eastAsia="zh-CN"/>
        </w:rPr>
        <w:t>报告</w:t>
      </w:r>
    </w:p>
    <w:p w14:paraId="68E9E129">
      <w:pPr>
        <w:spacing w:line="303" w:lineRule="auto"/>
        <w:rPr>
          <w:lang w:eastAsia="zh-CN"/>
        </w:rPr>
      </w:pPr>
    </w:p>
    <w:p w14:paraId="2D23D36D">
      <w:pPr>
        <w:spacing w:line="303" w:lineRule="auto"/>
        <w:rPr>
          <w:lang w:eastAsia="zh-CN"/>
        </w:rPr>
      </w:pPr>
    </w:p>
    <w:p w14:paraId="2D3F01B3">
      <w:pPr>
        <w:pStyle w:val="4"/>
        <w:spacing w:before="91" w:line="179" w:lineRule="auto"/>
        <w:ind w:left="25"/>
        <w:rPr>
          <w:lang w:eastAsia="zh-CN"/>
        </w:rPr>
      </w:pPr>
      <w:r>
        <w:rPr>
          <w:spacing w:val="-8"/>
          <w:lang w:eastAsia="zh-CN"/>
        </w:rPr>
        <w:t>姓</w:t>
      </w:r>
      <w:r>
        <w:rPr>
          <w:spacing w:val="34"/>
          <w:lang w:eastAsia="zh-CN"/>
        </w:rPr>
        <w:t xml:space="preserve">    </w:t>
      </w:r>
      <w:r>
        <w:rPr>
          <w:spacing w:val="-8"/>
          <w:lang w:eastAsia="zh-CN"/>
        </w:rPr>
        <w:t>名</w:t>
      </w:r>
      <w:r>
        <w:rPr>
          <w:spacing w:val="77"/>
          <w:lang w:eastAsia="zh-CN"/>
        </w:rPr>
        <w:t xml:space="preserve"> </w:t>
      </w:r>
    </w:p>
    <w:p w14:paraId="3B129923">
      <w:pPr>
        <w:tabs>
          <w:tab w:val="left" w:pos="8427"/>
        </w:tabs>
        <w:spacing w:line="231" w:lineRule="exact"/>
        <w:ind w:left="1678"/>
        <w:rPr>
          <w:lang w:eastAsia="zh-CN"/>
        </w:rPr>
      </w:pPr>
      <w:r>
        <w:rPr>
          <w:rFonts w:hint="eastAsia"/>
          <w:position w:val="-1"/>
          <w:u w:val="single"/>
          <w:lang w:val="en-US" w:eastAsia="zh-CN"/>
        </w:rPr>
        <w:t>宋亚蒴</w:t>
      </w:r>
      <w:r>
        <w:rPr>
          <w:position w:val="-1"/>
          <w:u w:val="single"/>
          <w:lang w:eastAsia="zh-CN"/>
        </w:rPr>
        <w:tab/>
      </w:r>
    </w:p>
    <w:p w14:paraId="3774023E">
      <w:pPr>
        <w:pStyle w:val="4"/>
        <w:spacing w:before="132" w:line="220" w:lineRule="auto"/>
        <w:ind w:left="23"/>
        <w:rPr>
          <w:lang w:eastAsia="zh-CN"/>
        </w:rPr>
      </w:pPr>
      <w:r>
        <w:rPr>
          <w:spacing w:val="-9"/>
          <w:lang w:eastAsia="zh-CN"/>
        </w:rPr>
        <w:t>班     级</w:t>
      </w:r>
      <w:r>
        <w:rPr>
          <w:spacing w:val="94"/>
          <w:lang w:eastAsia="zh-CN"/>
        </w:rPr>
        <w:t xml:space="preserve"> </w:t>
      </w:r>
      <w:r>
        <w:rPr>
          <w:spacing w:val="-9"/>
          <w:lang w:eastAsia="zh-CN"/>
        </w:rPr>
        <w:t>：</w:t>
      </w:r>
      <w:r>
        <w:rPr>
          <w:spacing w:val="-9"/>
          <w:u w:val="single"/>
          <w:lang w:eastAsia="zh-CN"/>
        </w:rPr>
        <w:t xml:space="preserve"> </w:t>
      </w:r>
      <w:r>
        <w:rPr>
          <w:rFonts w:hint="eastAsia"/>
          <w:u w:val="single"/>
          <w:lang w:eastAsia="zh-CN"/>
        </w:rPr>
        <w:t xml:space="preserve"> </w:t>
      </w:r>
      <w:r>
        <w:rPr>
          <w:u w:val="single"/>
          <w:lang w:eastAsia="zh-CN"/>
        </w:rPr>
        <w:t xml:space="preserve">       </w:t>
      </w:r>
      <w:r>
        <w:rPr>
          <w:rFonts w:hint="eastAsia"/>
          <w:u w:val="single"/>
          <w:lang w:val="en-US" w:eastAsia="zh-CN"/>
        </w:rPr>
        <w:t>金融202301</w:t>
      </w:r>
      <w:r>
        <w:rPr>
          <w:u w:val="single"/>
          <w:lang w:eastAsia="zh-CN"/>
        </w:rPr>
        <w:t xml:space="preserve">                 </w:t>
      </w:r>
    </w:p>
    <w:p w14:paraId="3C905B8E">
      <w:pPr>
        <w:pStyle w:val="4"/>
        <w:spacing w:before="303" w:line="221" w:lineRule="auto"/>
        <w:ind w:left="30"/>
        <w:rPr>
          <w:lang w:eastAsia="zh-CN"/>
        </w:rPr>
      </w:pPr>
      <w:r>
        <w:rPr>
          <w:spacing w:val="-37"/>
          <w:lang w:eastAsia="zh-CN"/>
        </w:rPr>
        <w:t>学</w:t>
      </w:r>
      <w:r>
        <w:rPr>
          <w:lang w:eastAsia="zh-CN"/>
        </w:rPr>
        <w:t xml:space="preserve">     </w:t>
      </w:r>
      <w:r>
        <w:rPr>
          <w:spacing w:val="-37"/>
          <w:lang w:eastAsia="zh-CN"/>
        </w:rPr>
        <w:t>号</w:t>
      </w:r>
      <w:r>
        <w:rPr>
          <w:spacing w:val="77"/>
          <w:lang w:eastAsia="zh-CN"/>
        </w:rPr>
        <w:t xml:space="preserve"> </w:t>
      </w:r>
      <w:r>
        <w:rPr>
          <w:spacing w:val="-37"/>
          <w:lang w:eastAsia="zh-CN"/>
        </w:rPr>
        <w:t>：</w:t>
      </w:r>
      <w:r>
        <w:rPr>
          <w:u w:val="single"/>
          <w:lang w:eastAsia="zh-CN"/>
        </w:rPr>
        <w:t xml:space="preserve">           </w:t>
      </w:r>
      <w:r>
        <w:rPr>
          <w:rFonts w:hint="eastAsia"/>
          <w:u w:val="single"/>
          <w:lang w:val="en-US" w:eastAsia="zh-CN"/>
        </w:rPr>
        <w:t>202301728</w:t>
      </w:r>
      <w:r>
        <w:rPr>
          <w:u w:val="single"/>
          <w:lang w:eastAsia="zh-CN"/>
        </w:rPr>
        <w:t xml:space="preserve">                                   </w:t>
      </w:r>
    </w:p>
    <w:p w14:paraId="424BCD85">
      <w:pPr>
        <w:pStyle w:val="4"/>
        <w:spacing w:before="301" w:line="178" w:lineRule="auto"/>
        <w:ind w:left="38"/>
        <w:rPr>
          <w:lang w:eastAsia="zh-CN"/>
        </w:rPr>
      </w:pPr>
      <w:r>
        <w:rPr>
          <w:spacing w:val="-9"/>
          <w:lang w:eastAsia="zh-CN"/>
        </w:rPr>
        <w:t>时</w:t>
      </w:r>
      <w:r>
        <w:rPr>
          <w:spacing w:val="4"/>
          <w:lang w:eastAsia="zh-CN"/>
        </w:rPr>
        <w:t xml:space="preserve">     </w:t>
      </w:r>
      <w:r>
        <w:rPr>
          <w:spacing w:val="-9"/>
          <w:lang w:eastAsia="zh-CN"/>
        </w:rPr>
        <w:t>间</w:t>
      </w:r>
      <w:r>
        <w:rPr>
          <w:spacing w:val="112"/>
          <w:lang w:eastAsia="zh-CN"/>
        </w:rPr>
        <w:t xml:space="preserve"> </w:t>
      </w:r>
      <w:r>
        <w:rPr>
          <w:spacing w:val="-9"/>
          <w:lang w:eastAsia="zh-CN"/>
        </w:rPr>
        <w:t>：</w:t>
      </w:r>
      <w:r>
        <w:rPr>
          <w:lang w:eastAsia="zh-CN"/>
        </w:rPr>
        <w:t xml:space="preserve"> </w:t>
      </w:r>
      <w:r>
        <w:rPr>
          <w:rFonts w:ascii="宋体" w:hAnsi="宋体" w:eastAsia="宋体" w:cs="宋体"/>
          <w:sz w:val="24"/>
          <w:szCs w:val="24"/>
        </w:rPr>
        <w:t xml:space="preserve">2026 年 6 月 </w:t>
      </w:r>
      <w:r>
        <w:rPr>
          <w:rFonts w:hint="eastAsia" w:cs="宋体"/>
          <w:sz w:val="24"/>
          <w:szCs w:val="24"/>
          <w:lang w:val="en-US" w:eastAsia="zh-CN"/>
        </w:rPr>
        <w:t>17</w:t>
      </w:r>
      <w:r>
        <w:rPr>
          <w:rFonts w:ascii="宋体" w:hAnsi="宋体" w:eastAsia="宋体" w:cs="宋体"/>
          <w:sz w:val="24"/>
          <w:szCs w:val="24"/>
        </w:rPr>
        <w:t>日</w:t>
      </w:r>
    </w:p>
    <w:p w14:paraId="5345B248">
      <w:pPr>
        <w:tabs>
          <w:tab w:val="left" w:pos="8325"/>
        </w:tabs>
        <w:spacing w:line="231" w:lineRule="exact"/>
        <w:ind w:left="1678"/>
        <w:rPr>
          <w:rFonts w:eastAsiaTheme="minorEastAsia"/>
          <w:lang w:eastAsia="zh-CN"/>
        </w:rPr>
        <w:sectPr>
          <w:footerReference r:id="rId3" w:type="default"/>
          <w:pgSz w:w="11906" w:h="16839"/>
          <w:pgMar w:top="1004" w:right="1691" w:bottom="1151" w:left="1785" w:header="0" w:footer="987" w:gutter="0"/>
          <w:cols w:space="720" w:num="1"/>
        </w:sectPr>
      </w:pPr>
      <w:r>
        <w:rPr>
          <w:rFonts w:hint="eastAsia" w:ascii="宋体" w:hAnsi="宋体" w:eastAsia="宋体" w:cs="宋体"/>
          <w:sz w:val="24"/>
          <w:szCs w:val="24"/>
          <w:lang w:eastAsia="zh-CN"/>
        </w:rPr>
        <w:t>、</w:t>
      </w:r>
      <w:r>
        <w:rPr>
          <w:position w:val="-1"/>
          <w:u w:val="single"/>
          <w:lang w:eastAsia="zh-CN"/>
        </w:rPr>
        <w:tab/>
      </w:r>
    </w:p>
    <w:p w14:paraId="793476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本次报告为商业银行实训配套专题讲座《破解地方金融机构支持县域经济发展之谜》的学习心得。本次讲座由中国社会科学院金融研究所张珩助理研究员主讲，围绕县域经济的战略地位、县域金融供需矛盾、地方金融机构的功能定位与发展困境、金融赋能县域经济的实现路径等核心议题展开，结合实证研究与全国多地典型案例，拆解了地方金融服务县域经济的底层逻辑与破局路径。本次学习结合此前完成的商业银行小微企业智能风控体系设计实训任务，进一步深化了我对普惠金融、县域金融与商业银行经营逻辑的理解，明晰了金融服务实体经济的实践路径，也为后续专业学习与职业规划提供了清晰的方向指引。</w:t>
      </w:r>
    </w:p>
    <w:p w14:paraId="28AB89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一、讲座核心内容梳理与认知</w:t>
      </w:r>
    </w:p>
    <w:p w14:paraId="07966E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本次讲座以县域经济在国民经济中的基础性地位为切入点，从供需两端剖析了当前县域金融服务的痛点与堵点，系统阐释了地方金融机构服务县域经济的独特价值与实践路径，内容兼具理论深度与实践指导性，打破了我对县域金融的刻板认知。</w:t>
      </w:r>
    </w:p>
    <w:p w14:paraId="3C4B34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（一）县域经济发展的金融供需错配困境</w:t>
      </w:r>
    </w:p>
    <w:p w14:paraId="22C835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张珩研究员首先指出，县域经济是国民经济的基本单元，是衔接城乡、推进乡村振兴、实现共同富裕的核心载体，但长期以来，县域金融供给与实体经济需求之间存在显著的结构性错配，这是 “县域融资难、融资贵” 问题的深层根源。 从需求端来看，县域市场的融资主体以小微企业、个体工商户、新型农业经营主体为主，普遍具有经营规模小、财务制度不规范、缺乏合格抵质押物、资金需求 “短、小、频、急” 的典型特征。同时县域产业多集中于农业、制造业中下游、本地商贸服务业等领域，经营周期受季节、区域市场波动影响大，风险辨识度低，传统标准化信贷模式难以适配其差异化需求。 从供给端来看，大型商业银行县域网点普遍存在审批权限上收、信贷产品标准化的特点，难以下沉服务县域长尾客户；而作为县域金融主力军的地方金融机构，又普遍面临资金实力有限、风控能力不足、产品创新滞后等问题，导致金融供给与实体需求出现明显断层。讲座中提及的实证数据显示，我国县域小微企业的信贷需求满足率不足六成，大量县域经营主体的融资需求未得到有效覆盖，金融资源的下沉深度与适配性仍有明显短板。</w:t>
      </w:r>
    </w:p>
    <w:p w14:paraId="47F35A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（二）地方金融机构的功能定位与现实困境</w:t>
      </w:r>
    </w:p>
    <w:p w14:paraId="7F5D5C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讲座明确了农村商业银行、村镇银行、城市商业银行县域支行等地方金融机构，在县域金融体系中的主力军地位。与大型银行相比，地方金融机构具有 “本土化、地缘性、人缘性” 的天然优势，更了解县域产业特征与本地经营主体的实际经营状况，能够依托 “软信息” 降低信息不对称成本，是服务县域长尾客户、填补大型银行服务空白的核心载体。 但与此同时，地方金融机构的高质量发展也面临多重现实困境：一是风控能力薄弱，传统风控依赖抵押物与线下人工尽调，面对海量小微客户时运营成本高、审批效率低，风险识别精度不足；二是产品同质化严重，多数机构仍沿用传统对公信贷产品逻辑，未结合县域产业特色设计定制化产品，还款方式、授信周期与企业经营现金流周期不匹配；三是数字化转型滞后，多数地方中小金融机构技术投入有限、数据整合能力不足，难以通过数字技术实现降本增效；四是专业人才储备不足，县域机构难以吸引高端金融与科技复合型人才，制约了业务创新与风控体系升级。这些困境共同导致地方金融机构陷入 “想服务但服务不好、想下沉但风险不可控” 的两难局面。</w:t>
      </w:r>
    </w:p>
    <w:p w14:paraId="3C80C4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（三）地方金融支持县域经济的三维破局路径</w:t>
      </w:r>
    </w:p>
    <w:p w14:paraId="5325E7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针对上述困境，张珩研究员结合理论研究与浙江、江苏、四川等地的实践案例，提出了 “本土化深耕 + 数字化赋能 + 生态化协同” 的三维破局路径，这也是本次讲座的核心观点。 第一，坚守本土化定位，深耕县域产业场景。地方金融机构的核心竞争力在于本土优势，应摒弃 “做大客户、追大项目” 的路径依赖，下沉服务重心，聚焦本地特色主导产业，围绕产业链核心企业搭建供应链金融体系，批量服务上下游小微经营主体；同时深化与乡镇、村居的基层合作，将金融服务嵌入基层治理场景，依托基层组织的信息优势降低获客与风控成本。 第二，以数字化转型破解信息不对称难题。针对县域主体缺抵押、缺规范财报的痛点，通过整合政务、税务、社保、交易流水等多源替代数据，构建适配县域主体的智能风控体系，用数据信用替代传统抵押担保，实现批量获客与自动化审批，既提升服务效率，又大幅降低单户风控成本。讲座中提到的浙江农信 “小微易贷”、江苏农商行数字信贷产品等案例，均验证了数字化风控对县域普惠金融的强赋能作用。 第三，构建政银企协同的县域金融生态。地方金融机构应主动对接地方政府，整合产业扶持政策、风险补偿基金、政策性担保增信等资源，建立风险共担机制，降低信贷业务的风险成本；同时联动核心企业、电商平台、农业合作社等市场主体，搭建场景化金融服务平台，实现金融服务与生产经营场景的深度融合。</w:t>
      </w:r>
    </w:p>
    <w:p w14:paraId="12469D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（四）实证结论与政策启示</w:t>
      </w:r>
    </w:p>
    <w:p w14:paraId="3331C0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讲座最后分享了相关实证研究结论：地方金融机构的发展对县域经济增长、产业结构升级与居民收入提升均具有显著的正向促进作用，且其边际效应高于大型银行县域分支机构；而数字化转型能够显著强化地方金融机构的服务能力与风险控制水平，是破解县域金融难题的核心抓手。同时讲座也提出了政策层面的优化方向，包括完善地方金融监管体系、加大对县域普惠金融的政策支持、推进县域信用体系建设等，为地方金融机构的长期发展营造良好的外部环境。</w:t>
      </w:r>
    </w:p>
    <w:p w14:paraId="6B9282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二、学习感悟：对县域金融与商业银行价值的认知升级</w:t>
      </w:r>
    </w:p>
    <w:p w14:paraId="356047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聆听本次讲座后，结合本学期《商业银行经营学》课程的理论学习与本次商业银行实训的实践操作，我对地方金融、普惠金融与商业银行经营逻辑的认知得到了全方位深化，纠正了此前诸多认知偏差。</w:t>
      </w:r>
    </w:p>
    <w:p w14:paraId="336B7F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（一）重新认知普惠金融的商业可持续性</w:t>
      </w:r>
    </w:p>
    <w:p w14:paraId="6E4E02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此前我对普惠金融的认知停留在 “政策任务”“公益属性” 的层面，认为金融机构服务小微企业、县域主体更多是响应政策号召，难以实现商业盈利。但本次讲座让我意识到，普惠金融绝非单纯的政策让利，更是商业银行尤其是地方金融机构的差异化发展赛道。县域市场虽然单户贷款规模小，但客户基数庞大、市场竞争烈度低于大城市，只要通过技术手段降低风控成本与运营成本，完全可以通过规模效应实现商业可持续。 此前实训中设计小微企业智能风控体系时，我更多关注风险识别的技术逻辑，而本次讲座让我进一步理解了智能风控背后的商业逻辑：自动化审批、线上化运营的本质，是将单户风控成本从数百元降低至数元，让单笔几万元、几十万元的小微贷款也能覆盖成本并产生收益，这正是县域普惠金融能够规模化落地的核心前提。没有技术赋能带来的成本下降，普惠金融就只能停留在政策口号层面，无法实现真正的商业可持续。</w:t>
      </w:r>
    </w:p>
    <w:p w14:paraId="7DE513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（二）深刻理解金融服务实体经济的底层逻辑</w:t>
      </w:r>
    </w:p>
    <w:p w14:paraId="0189AF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过去学习商业银行经营管理时，我更多关注银行的盈利性、安全性、流动性 “三性原则”，对金融与实体经济的关联理解较为抽象。本次讲座从县域经济的微观视角切入，让我直观感受到金融资源对实体经济的支撑作用：一笔几十万元的信用贷款，可能就能帮助一家县域小微企业扩大产能、帮助一个农户升级生产设施，最终带动就业与地方经济增长。 金融不是脱离实体的空转，而是要嵌入实体经济的运行脉络。地方金融机构之所以能在县域市场发挥不可替代的作用，核心就在于它更懂本地产业的运行规律，能让金融资源精准匹配到实体需求中。这也让我明白，商业银行的竞争力绝不只是资产规模的大小，更在于服务实体经济的精准度与适配性，脱离实体需求的金融创新最终都会面临风险反噬。</w:t>
      </w:r>
    </w:p>
    <w:p w14:paraId="3D1FA0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（三）清晰认识地方金融风控的特殊性与挑战</w:t>
      </w:r>
    </w:p>
    <w:p w14:paraId="5220BC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在本次实训的智能风控体系设计中，我主要参考了全国性商业银行的线上信贷风控架构，但本次讲座让我意识到，县域地方金融机构的风控体系与大型银行存在显著差异，不能简单照搬复制。 大型银行拥有海量的全维度客户数据与强大的技术团队，而地方金融机构的数据维度更窄、技术投入更有限，因此其风控体系必须更贴合本土特征，更多依托本土化软信息、产业特征与场景数据，而非追求大而全的特征体系。同时县域市场的欺诈风险、信用风险呈现出更强的区域性、关联性特征，比如同一乡镇的经营主体可能存在联保互保的风险传导，同一产业的客户会受行业周期的同步影响，这些都是县域风控需要重点关注的特殊问题，也让我对商业银行风控的场景适配性有了更深刻的理解。</w:t>
      </w:r>
    </w:p>
    <w:p w14:paraId="3EC28A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三、结合实训任务的实践反思</w:t>
      </w:r>
    </w:p>
    <w:p w14:paraId="7F8064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本次讲座的学习，也让我对此前完成的《商业银行小微企业线上信贷业务智能风控体系设计》实训任务有了新的反思与优化思路，实现了理论学习与实践操作的双向印证。</w:t>
      </w:r>
    </w:p>
    <w:p w14:paraId="488475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（一）智能风控体系需强化本土化场景适配</w:t>
      </w:r>
    </w:p>
    <w:p w14:paraId="21A297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在最初的风控体系设计中，我构建的特征体系与规则模型偏向通用化，未充分考虑县域市场的差异化特征。结合讲座内容来看，针对县域小微企业的风控体系，应当进一步强化本土化特征维度：一是加入区域产业特征因子，根据县域主导产业设置差异化的行业系数与风险阈值，避免通用模型对地方特色产业的误判；二是纳入本土化软信息维度，比如企业本地经营年限、基层村居的信用评价、产业链上下游的合作口碑等，这些软信息往往比标准化财务数据更能反映县域企业的真实信用水平。 同时，地方金融机构的技术能力与资金投入有限，风控体系不能追求过度复杂的模型，而应兼顾效果与可落地性，采用 “简单规则 + 轻量化模型” 的架构，降低系统建设与运维成本，更适配中小地方金融机构的实际情况。</w:t>
      </w:r>
    </w:p>
    <w:p w14:paraId="4567B1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（二）风控与产品设计需深度绑定产业周期</w:t>
      </w:r>
    </w:p>
    <w:p w14:paraId="4C81DF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实训中的额度与定价策略主要基于企业经营规模与信用水平，对产业经营周期的考量不足。而县域经济的主体多依附于本地特色产业，经营现金流具有明显的季节性与周期性特征，比如农业经营主体的回款集中在秋收季节，制造业配套企业的回款受核心企业账期影响显著。 因此，县域信贷的风控体系不能只做额度与利率的差异化，还要联动产品还款方式的设计，比如针对农业主体设置按季付息、到期还本，或者灵活随借随还的信贷产品，让还款节奏匹配企业现金流周期，从产品设计层面降低逾期风险。这也让我意识到，风控不是孤立的审批环节，而是要贯穿产品设计、授信审批、贷后管理的全流程，与业务场景深度融合才能发挥最大效用。</w:t>
      </w:r>
    </w:p>
    <w:p w14:paraId="74EEA4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（三）贷后预警需强化区域风险联动</w:t>
      </w:r>
    </w:p>
    <w:p w14:paraId="59C4BA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在实训设计中，贷后预警主要聚焦单户企业的经营数据变化，缺乏区域与产业维度的风险联动。而县域市场的风险具有明显的传导性，一个核心企业出现风险，可能会波及上下游数十家小微企业；一个行业出现景气度下滑，会导致整个区域的相关企业风险同步上升。 结合讲座观点，完善的县域智能风控体系应当加入区域产业风险预警模块，实时监控本地主导产业的景气度、核心企业的经营状况、区域内逾期率的变化等，当出现区域性风险信号时，提前对相关客户进行风险排查与额度调整，实现从单户风控到批量风控的升级，更适配县域市场的风险特征。</w:t>
      </w:r>
    </w:p>
    <w:p w14:paraId="52C075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四、学习启示与未来展望</w:t>
      </w:r>
    </w:p>
    <w:p w14:paraId="40B620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本次专题讲座不仅丰富了我的专业知识储备，更让我对金融专业的学习方向与职业价值有了更清晰的认知，带来了多方面的成长启示。</w:t>
      </w:r>
    </w:p>
    <w:p w14:paraId="0077F6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在专业学习层面，我深刻认识到金融的根基是实体经济，脱离实体经济的金融理论只是空中楼阁。过去的课程学习中，我更多关注金融模型、银行管理的理论框架，对实体经济的运行逻辑了解不足。在后续的专业学习中，我会更多关注县域经济、普惠金融、产业金融等领域的实践案例，将金融理论与实体场景结合起来，避免陷入纯理论的纸上谈兵，提升自身解决实际金融问题的能力。</w:t>
      </w:r>
    </w:p>
    <w:p w14:paraId="431C17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在能力提升层面，数字化转型已经成为商业银行尤其是地方金融机构破局的核心抓手，智能风控、数字信贷、场景金融等业务都离不开技术能力的支撑。本次实训中设计智能风控体系的过程，也让我切实感受到了数据与技术对金融业务的赋能作用。作为金融专业的学生，未来我不仅要夯实传统金融理论基础，还要主动学习数据分析、风控建模、金融科技相关的知识，提升自身的数字化素养，适配银行业数字化转型的行业趋势。</w:t>
      </w:r>
    </w:p>
    <w:p w14:paraId="18B13C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在职业认知层面，本次讲座也让我对金融的社会价值有了更深刻的理解。金融不只是服务大企业、大城市，更要下沉到县域、乡村，服务千千万万的小微企业与普通经营者，这既是金融行业的社会责任，也是广阔的发展蓝海。地方金融机构扎根县域、服务本土的发展路径，也让我看到了金融从业者服务实体经济、助力乡村振兴的职业价值。</w:t>
      </w:r>
    </w:p>
    <w:p w14:paraId="2B22CD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28"/>
          <w:szCs w:val="28"/>
        </w:rPr>
      </w:pPr>
      <w:r>
        <w:rPr>
          <w:color w:val="000000"/>
          <w:sz w:val="28"/>
          <w:szCs w:val="28"/>
          <w:bdr w:val="none" w:color="auto" w:sz="0" w:space="0"/>
        </w:rPr>
        <w:t>结语</w:t>
      </w:r>
    </w:p>
    <w:p w14:paraId="0FF5E8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8"/>
          <w:szCs w:val="28"/>
        </w:rPr>
      </w:pPr>
      <w:r>
        <w:rPr>
          <w:rFonts w:ascii="宋体" w:hAnsi="宋体" w:eastAsia="宋体" w:cs="宋体"/>
          <w:snapToGrid w:val="0"/>
          <w:color w:val="000000"/>
          <w:kern w:val="0"/>
          <w:sz w:val="28"/>
          <w:szCs w:val="28"/>
          <w:bdr w:val="none" w:color="auto" w:sz="0" w:space="0"/>
          <w:lang w:val="en-US" w:eastAsia="zh-CN" w:bidi="ar"/>
        </w:rPr>
        <w:t>本次《破解地方金融机构支持县域经济发展之谜》专题讲座，是商业银行实训的重要组成部分，既填补了我在县域金融领域的知识空白，也为实训任务的优化完善提供了理论指引。通过本次学习，我不仅深化了对地方金融机构运营逻辑、普惠金融发展路径的理解，更实现了理论知识与实践操作的深度结合，提升了自身的金融实践思维。 在后续的学习中，我会继续将本次讲座的收获融入专业学习与实践训练中，不断夯实专业基础，提升实践能力，努力成长为能够适配行业发展需求、能够服务实体经济的金融专业人才。</w:t>
      </w:r>
    </w:p>
    <w:p w14:paraId="23D1857C">
      <w:pPr>
        <w:rPr>
          <w:rFonts w:eastAsiaTheme="minorEastAsia"/>
          <w:position w:val="-7"/>
          <w:sz w:val="28"/>
          <w:szCs w:val="28"/>
          <w:lang w:eastAsia="zh-CN"/>
        </w:rPr>
      </w:pPr>
    </w:p>
    <w:sectPr>
      <w:footerReference r:id="rId4" w:type="default"/>
      <w:pgSz w:w="11906" w:h="16839"/>
      <w:pgMar w:top="1004" w:right="1785" w:bottom="1152" w:left="1785" w:header="0" w:footer="98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FB504">
    <w:pPr>
      <w:spacing w:line="168" w:lineRule="auto"/>
      <w:ind w:left="4135"/>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3C6BA">
    <w:pPr>
      <w:spacing w:line="169" w:lineRule="auto"/>
      <w:ind w:left="4130"/>
      <w:rPr>
        <w:rFonts w:ascii="Calibri" w:hAnsi="Calibri" w:eastAsia="Calibri" w:cs="Calibri"/>
        <w:sz w:val="18"/>
        <w:szCs w:val="18"/>
      </w:rPr>
    </w:pPr>
    <w:r>
      <w:rPr>
        <w:rFonts w:ascii="Calibri" w:hAnsi="Calibri" w:eastAsia="Calibri" w:cs="Calibri"/>
        <w:sz w:val="18"/>
        <w:szCs w:val="18"/>
      </w:rPr>
      <w:t>2</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JlOTBmY2NiNmE2MjcwYzQ4ZDhlZTVkYmVjZmRiMjcifQ=="/>
  </w:docVars>
  <w:rsids>
    <w:rsidRoot w:val="00FA7A42"/>
    <w:rsid w:val="0003259D"/>
    <w:rsid w:val="00454B7C"/>
    <w:rsid w:val="005E7A6B"/>
    <w:rsid w:val="006E63C0"/>
    <w:rsid w:val="008725F5"/>
    <w:rsid w:val="009A4D83"/>
    <w:rsid w:val="00A77605"/>
    <w:rsid w:val="00BD536C"/>
    <w:rsid w:val="00F47A0C"/>
    <w:rsid w:val="00F95754"/>
    <w:rsid w:val="00FA7A42"/>
    <w:rsid w:val="03B92498"/>
    <w:rsid w:val="0DCF3077"/>
    <w:rsid w:val="17D055B7"/>
    <w:rsid w:val="314C2B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ody Text"/>
    <w:basedOn w:val="1"/>
    <w:semiHidden/>
    <w:qFormat/>
    <w:uiPriority w:val="0"/>
    <w:rPr>
      <w:rFonts w:ascii="宋体" w:hAnsi="宋体" w:eastAsia="宋体" w:cs="宋体"/>
      <w:sz w:val="28"/>
      <w:szCs w:val="28"/>
    </w:rPr>
  </w:style>
  <w:style w:type="paragraph" w:styleId="5">
    <w:name w:val="footer"/>
    <w:basedOn w:val="1"/>
    <w:link w:val="10"/>
    <w:uiPriority w:val="0"/>
    <w:pPr>
      <w:tabs>
        <w:tab w:val="center" w:pos="4153"/>
        <w:tab w:val="right" w:pos="8306"/>
      </w:tabs>
    </w:pPr>
    <w:rPr>
      <w:sz w:val="18"/>
      <w:szCs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table" w:customStyle="1" w:styleId="9">
    <w:name w:val="Table Normal"/>
    <w:semiHidden/>
    <w:unhideWhenUsed/>
    <w:qFormat/>
    <w:uiPriority w:val="0"/>
    <w:tblPr>
      <w:tblCellMar>
        <w:top w:w="0" w:type="dxa"/>
        <w:left w:w="0" w:type="dxa"/>
        <w:bottom w:w="0" w:type="dxa"/>
        <w:right w:w="0" w:type="dxa"/>
      </w:tblCellMar>
    </w:tblPr>
  </w:style>
  <w:style w:type="character" w:customStyle="1" w:styleId="10">
    <w:name w:val="页脚 字符"/>
    <w:basedOn w:val="8"/>
    <w:link w:val="5"/>
    <w:uiPriority w:val="0"/>
    <w:rPr>
      <w:rFonts w:eastAsia="Arial"/>
      <w:snapToGrid w:val="0"/>
      <w:color w:val="000000"/>
      <w:sz w:val="18"/>
      <w:szCs w:val="18"/>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6</Pages>
  <Words>29</Words>
  <Characters>34</Characters>
  <Lines>1</Lines>
  <Paragraphs>1</Paragraphs>
  <TotalTime>1</TotalTime>
  <ScaleCrop>false</ScaleCrop>
  <LinksUpToDate>false</LinksUpToDate>
  <CharactersWithSpaces>179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2023-09-05T03:52:00Z</dcterms:created>
  <dc:creator>OH⁻</dc:creator>
  <cp:lastModifiedBy>渣男.仙君</cp:lastModifiedBy>
  <dcterms:modified xsi:type="dcterms:W3CDTF">2026-06-17T15:22:28Z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2023-06-11T21:16:06Z</vt:filetime>
  </property>
  <property fmtid="{D5CDD505-2E9C-101B-9397-08002B2CF9AE}" pid="4" name="UsrData">
    <vt:lpwstr>6485c90e40c8a1001f4fe65e</vt:lpwstr>
  </property>
  <property fmtid="{D5CDD505-2E9C-101B-9397-08002B2CF9AE}" pid="5" name="KSOProductBuildVer">
    <vt:lpwstr>2052-12.1.0.26895</vt:lpwstr>
  </property>
  <property fmtid="{D5CDD505-2E9C-101B-9397-08002B2CF9AE}" pid="6" name="ICV">
    <vt:lpwstr>67F95C66704E41D5B4BEC8B83BDE967A_13</vt:lpwstr>
  </property>
  <property fmtid="{D5CDD505-2E9C-101B-9397-08002B2CF9AE}" pid="7" name="KSOTemplateDocerSaveRecord">
    <vt:lpwstr>eyJoZGlkIjoiMTY2MTU5ZDIwOWM1NGYwOGY2MGNmOTJhNDRlYmU5ZmMiLCJ1c2VySWQiOiIxMDQ2NzQwNzQ2In0=</vt:lpwstr>
  </property>
</Properties>
</file>