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7972C97">
      <w:pPr>
        <w:spacing w:line="381" w:lineRule="exact"/>
        <w:ind w:firstLine="173"/>
      </w:pPr>
      <w:r>
        <w:rPr>
          <w:position w:val="-7"/>
          <w:lang w:eastAsia="zh-CN"/>
        </w:rPr>
        <w:drawing>
          <wp:inline distT="0" distB="0" distL="0" distR="0">
            <wp:extent cx="1140460" cy="241935"/>
            <wp:effectExtent l="0" t="0" r="0" b="0"/>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6"/>
                    <a:stretch>
                      <a:fillRect/>
                    </a:stretch>
                  </pic:blipFill>
                  <pic:spPr>
                    <a:xfrm>
                      <a:off x="0" y="0"/>
                      <a:ext cx="1140921" cy="242098"/>
                    </a:xfrm>
                    <a:prstGeom prst="rect">
                      <a:avLst/>
                    </a:prstGeom>
                  </pic:spPr>
                </pic:pic>
              </a:graphicData>
            </a:graphic>
          </wp:inline>
        </w:drawing>
      </w:r>
    </w:p>
    <w:p w14:paraId="0A3CE824">
      <w:pPr>
        <w:spacing w:line="260" w:lineRule="auto"/>
      </w:pPr>
    </w:p>
    <w:p w14:paraId="4BD3A8C0">
      <w:pPr>
        <w:spacing w:line="260" w:lineRule="auto"/>
      </w:pPr>
    </w:p>
    <w:p w14:paraId="49C178C9">
      <w:pPr>
        <w:spacing w:line="260" w:lineRule="auto"/>
      </w:pPr>
    </w:p>
    <w:p w14:paraId="5DB964D3">
      <w:pPr>
        <w:spacing w:line="260" w:lineRule="auto"/>
      </w:pPr>
    </w:p>
    <w:p w14:paraId="490FACD3">
      <w:pPr>
        <w:spacing w:line="260" w:lineRule="auto"/>
      </w:pPr>
    </w:p>
    <w:p w14:paraId="79B27261">
      <w:pPr>
        <w:spacing w:line="2993" w:lineRule="exact"/>
        <w:ind w:firstLine="2688"/>
      </w:pPr>
      <w:r>
        <w:rPr>
          <w:position w:val="-59"/>
          <w:lang w:eastAsia="zh-CN"/>
        </w:rPr>
        <w:drawing>
          <wp:inline distT="0" distB="0" distL="0" distR="0">
            <wp:extent cx="1890395" cy="1900555"/>
            <wp:effectExtent l="0" t="0" r="0" b="0"/>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7"/>
                    <a:stretch>
                      <a:fillRect/>
                    </a:stretch>
                  </pic:blipFill>
                  <pic:spPr>
                    <a:xfrm>
                      <a:off x="0" y="0"/>
                      <a:ext cx="1890554" cy="1900850"/>
                    </a:xfrm>
                    <a:prstGeom prst="rect">
                      <a:avLst/>
                    </a:prstGeom>
                  </pic:spPr>
                </pic:pic>
              </a:graphicData>
            </a:graphic>
          </wp:inline>
        </w:drawing>
      </w:r>
    </w:p>
    <w:p w14:paraId="033A310F">
      <w:pPr>
        <w:spacing w:line="275" w:lineRule="auto"/>
      </w:pPr>
    </w:p>
    <w:p w14:paraId="43D96EA7">
      <w:pPr>
        <w:spacing w:line="275" w:lineRule="auto"/>
      </w:pPr>
    </w:p>
    <w:p w14:paraId="636D4EB9">
      <w:pPr>
        <w:spacing w:line="275" w:lineRule="auto"/>
      </w:pPr>
      <w:bookmarkStart w:id="0" w:name="_GoBack"/>
      <w:bookmarkEnd w:id="0"/>
    </w:p>
    <w:p w14:paraId="730C0B53">
      <w:pPr>
        <w:spacing w:line="275" w:lineRule="auto"/>
      </w:pPr>
    </w:p>
    <w:p w14:paraId="7BF68F05">
      <w:pPr>
        <w:spacing w:line="275" w:lineRule="auto"/>
      </w:pPr>
    </w:p>
    <w:p w14:paraId="7B600D3B">
      <w:pPr>
        <w:spacing w:line="276" w:lineRule="auto"/>
      </w:pPr>
    </w:p>
    <w:p w14:paraId="0AC7CDE3">
      <w:pPr>
        <w:spacing w:line="303" w:lineRule="auto"/>
        <w:rPr>
          <w:lang w:eastAsia="zh-CN"/>
        </w:rPr>
      </w:pPr>
    </w:p>
    <w:p w14:paraId="3AD78F6C">
      <w:pPr>
        <w:spacing w:line="303" w:lineRule="auto"/>
        <w:rPr>
          <w:lang w:eastAsia="zh-CN"/>
        </w:rPr>
      </w:pPr>
    </w:p>
    <w:p w14:paraId="3778B955">
      <w:pPr>
        <w:pStyle w:val="5"/>
        <w:spacing w:before="91" w:line="179" w:lineRule="auto"/>
        <w:ind w:left="25"/>
        <w:rPr>
          <w:rFonts w:hint="default"/>
          <w:lang w:val="en-US" w:eastAsia="zh-CN"/>
        </w:rPr>
      </w:pPr>
      <w:r>
        <w:rPr>
          <w:spacing w:val="-8"/>
          <w:lang w:eastAsia="zh-CN"/>
        </w:rPr>
        <w:t>姓</w:t>
      </w:r>
      <w:r>
        <w:rPr>
          <w:spacing w:val="34"/>
          <w:lang w:eastAsia="zh-CN"/>
        </w:rPr>
        <w:t xml:space="preserve">    </w:t>
      </w:r>
      <w:r>
        <w:rPr>
          <w:spacing w:val="-8"/>
          <w:lang w:eastAsia="zh-CN"/>
        </w:rPr>
        <w:t>名</w:t>
      </w:r>
      <w:r>
        <w:rPr>
          <w:spacing w:val="77"/>
          <w:lang w:eastAsia="zh-CN"/>
        </w:rPr>
        <w:t xml:space="preserve"> </w:t>
      </w:r>
      <w:r>
        <w:rPr>
          <w:rFonts w:hint="eastAsia"/>
          <w:spacing w:val="77"/>
          <w:lang w:val="en-US" w:eastAsia="zh-CN"/>
        </w:rPr>
        <w:t>宋亚蒴</w:t>
      </w:r>
    </w:p>
    <w:p w14:paraId="46058409">
      <w:pPr>
        <w:tabs>
          <w:tab w:val="left" w:pos="8427"/>
        </w:tabs>
        <w:spacing w:line="231" w:lineRule="exact"/>
        <w:ind w:left="1678"/>
        <w:rPr>
          <w:lang w:eastAsia="zh-CN"/>
        </w:rPr>
      </w:pPr>
      <w:r>
        <w:rPr>
          <w:position w:val="-1"/>
          <w:u w:val="single"/>
          <w:lang w:eastAsia="zh-CN"/>
        </w:rPr>
        <w:tab/>
      </w:r>
    </w:p>
    <w:p w14:paraId="41EB362C">
      <w:pPr>
        <w:pStyle w:val="5"/>
        <w:spacing w:before="132" w:line="220" w:lineRule="auto"/>
        <w:ind w:left="23"/>
        <w:rPr>
          <w:lang w:eastAsia="zh-CN"/>
        </w:rPr>
      </w:pPr>
      <w:r>
        <w:rPr>
          <w:spacing w:val="-9"/>
          <w:lang w:eastAsia="zh-CN"/>
        </w:rPr>
        <w:t>班     级</w:t>
      </w:r>
      <w:r>
        <w:rPr>
          <w:spacing w:val="94"/>
          <w:lang w:eastAsia="zh-CN"/>
        </w:rPr>
        <w:t xml:space="preserve"> </w:t>
      </w:r>
      <w:r>
        <w:rPr>
          <w:spacing w:val="-9"/>
          <w:lang w:eastAsia="zh-CN"/>
        </w:rPr>
        <w:t>：</w:t>
      </w:r>
      <w:r>
        <w:rPr>
          <w:spacing w:val="-9"/>
          <w:u w:val="single"/>
          <w:lang w:eastAsia="zh-CN"/>
        </w:rPr>
        <w:t xml:space="preserve"> </w:t>
      </w:r>
      <w:r>
        <w:rPr>
          <w:rFonts w:hint="eastAsia"/>
          <w:u w:val="single"/>
          <w:lang w:eastAsia="zh-CN"/>
        </w:rPr>
        <w:t xml:space="preserve"> </w:t>
      </w:r>
      <w:r>
        <w:rPr>
          <w:u w:val="single"/>
          <w:lang w:eastAsia="zh-CN"/>
        </w:rPr>
        <w:t xml:space="preserve">    </w:t>
      </w:r>
      <w:r>
        <w:rPr>
          <w:rFonts w:hint="eastAsia"/>
          <w:u w:val="single"/>
          <w:lang w:val="en-US" w:eastAsia="zh-CN"/>
        </w:rPr>
        <w:t>金融202301</w:t>
      </w:r>
      <w:r>
        <w:rPr>
          <w:u w:val="single"/>
          <w:lang w:eastAsia="zh-CN"/>
        </w:rPr>
        <w:t xml:space="preserve">                    </w:t>
      </w:r>
    </w:p>
    <w:p w14:paraId="54BC40D1">
      <w:pPr>
        <w:pStyle w:val="5"/>
        <w:spacing w:before="303" w:line="221" w:lineRule="auto"/>
        <w:ind w:left="30"/>
        <w:rPr>
          <w:u w:val="single"/>
          <w:lang w:eastAsia="zh-CN"/>
        </w:rPr>
      </w:pPr>
      <w:r>
        <w:rPr>
          <w:spacing w:val="-37"/>
          <w:lang w:eastAsia="zh-CN"/>
        </w:rPr>
        <w:t>学</w:t>
      </w:r>
      <w:r>
        <w:rPr>
          <w:lang w:eastAsia="zh-CN"/>
        </w:rPr>
        <w:t xml:space="preserve">     </w:t>
      </w:r>
      <w:r>
        <w:rPr>
          <w:spacing w:val="-37"/>
          <w:lang w:eastAsia="zh-CN"/>
        </w:rPr>
        <w:t>号</w:t>
      </w:r>
      <w:r>
        <w:rPr>
          <w:spacing w:val="77"/>
          <w:lang w:eastAsia="zh-CN"/>
        </w:rPr>
        <w:t xml:space="preserve"> </w:t>
      </w:r>
      <w:r>
        <w:rPr>
          <w:spacing w:val="-37"/>
          <w:lang w:eastAsia="zh-CN"/>
        </w:rPr>
        <w:t>：</w:t>
      </w:r>
      <w:r>
        <w:rPr>
          <w:u w:val="single"/>
          <w:lang w:eastAsia="zh-CN"/>
        </w:rPr>
        <w:t xml:space="preserve">                       </w:t>
      </w:r>
      <w:r>
        <w:rPr>
          <w:rFonts w:hint="eastAsia"/>
          <w:u w:val="single"/>
          <w:lang w:val="en-US" w:eastAsia="zh-CN"/>
        </w:rPr>
        <w:t>202301728</w:t>
      </w:r>
      <w:r>
        <w:rPr>
          <w:u w:val="single"/>
          <w:lang w:eastAsia="zh-CN"/>
        </w:rPr>
        <w:t xml:space="preserve">                    </w:t>
      </w:r>
    </w:p>
    <w:p w14:paraId="1B1429E9">
      <w:pPr>
        <w:pStyle w:val="5"/>
        <w:spacing w:before="303" w:line="221" w:lineRule="auto"/>
        <w:ind w:left="30"/>
        <w:rPr>
          <w:sz w:val="28"/>
          <w:szCs w:val="28"/>
          <w:u w:val="single"/>
          <w:lang w:eastAsia="zh-CN"/>
        </w:rPr>
      </w:pPr>
    </w:p>
    <w:p w14:paraId="59C36715">
      <w:pPr>
        <w:pStyle w:val="5"/>
        <w:spacing w:before="303" w:line="221" w:lineRule="auto"/>
        <w:ind w:left="30"/>
        <w:rPr>
          <w:sz w:val="28"/>
          <w:szCs w:val="28"/>
          <w:u w:val="single"/>
          <w:lang w:eastAsia="zh-CN"/>
        </w:rPr>
      </w:pPr>
    </w:p>
    <w:p w14:paraId="66FF9D13">
      <w:pPr>
        <w:pStyle w:val="5"/>
        <w:spacing w:before="303" w:line="221" w:lineRule="auto"/>
        <w:ind w:left="30"/>
        <w:rPr>
          <w:sz w:val="28"/>
          <w:szCs w:val="28"/>
          <w:u w:val="single"/>
          <w:lang w:eastAsia="zh-CN"/>
        </w:rPr>
      </w:pPr>
    </w:p>
    <w:p w14:paraId="2D3EB641">
      <w:pPr>
        <w:pStyle w:val="5"/>
        <w:spacing w:before="303" w:line="221" w:lineRule="auto"/>
        <w:ind w:left="30"/>
        <w:rPr>
          <w:sz w:val="28"/>
          <w:szCs w:val="28"/>
          <w:u w:val="single"/>
          <w:lang w:eastAsia="zh-CN"/>
        </w:rPr>
      </w:pPr>
    </w:p>
    <w:p w14:paraId="23A60009">
      <w:pPr>
        <w:pStyle w:val="5"/>
        <w:spacing w:before="303" w:line="221" w:lineRule="auto"/>
        <w:ind w:left="30"/>
        <w:rPr>
          <w:sz w:val="28"/>
          <w:szCs w:val="28"/>
          <w:u w:val="single"/>
          <w:lang w:eastAsia="zh-CN"/>
        </w:rPr>
      </w:pPr>
    </w:p>
    <w:p w14:paraId="10F9B59F">
      <w:pPr>
        <w:pStyle w:val="5"/>
        <w:spacing w:before="303" w:line="221" w:lineRule="auto"/>
        <w:ind w:left="30"/>
        <w:rPr>
          <w:sz w:val="28"/>
          <w:szCs w:val="28"/>
          <w:u w:val="single"/>
          <w:lang w:eastAsia="zh-CN"/>
        </w:rPr>
      </w:pPr>
    </w:p>
    <w:p w14:paraId="1085D542">
      <w:pPr>
        <w:pStyle w:val="5"/>
        <w:spacing w:before="303" w:line="221" w:lineRule="auto"/>
        <w:ind w:left="30"/>
        <w:rPr>
          <w:sz w:val="28"/>
          <w:szCs w:val="28"/>
          <w:u w:val="single"/>
          <w:lang w:eastAsia="zh-CN"/>
        </w:rPr>
      </w:pPr>
    </w:p>
    <w:p w14:paraId="52AE0FA5">
      <w:pPr>
        <w:pStyle w:val="5"/>
        <w:spacing w:before="303" w:line="221" w:lineRule="auto"/>
        <w:ind w:left="30"/>
        <w:rPr>
          <w:sz w:val="28"/>
          <w:szCs w:val="28"/>
          <w:u w:val="single"/>
          <w:lang w:eastAsia="zh-CN"/>
        </w:rPr>
      </w:pPr>
    </w:p>
    <w:p w14:paraId="4CB2651B">
      <w:pPr>
        <w:pStyle w:val="5"/>
        <w:spacing w:before="303" w:line="221" w:lineRule="auto"/>
        <w:ind w:left="30"/>
        <w:rPr>
          <w:sz w:val="28"/>
          <w:szCs w:val="28"/>
          <w:u w:val="single"/>
          <w:lang w:eastAsia="zh-CN"/>
        </w:rPr>
      </w:pPr>
    </w:p>
    <w:p w14:paraId="5BE17A8C">
      <w:pPr>
        <w:pStyle w:val="5"/>
        <w:spacing w:before="303" w:line="221" w:lineRule="auto"/>
        <w:ind w:left="30"/>
        <w:rPr>
          <w:sz w:val="28"/>
          <w:szCs w:val="28"/>
          <w:u w:val="single"/>
          <w:lang w:eastAsia="zh-CN"/>
        </w:rPr>
      </w:pPr>
    </w:p>
    <w:p w14:paraId="5138335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rPr>
          <w:color w:val="000000"/>
          <w:sz w:val="28"/>
          <w:szCs w:val="28"/>
        </w:rPr>
      </w:pPr>
      <w:r>
        <w:rPr>
          <w:color w:val="000000"/>
          <w:sz w:val="28"/>
          <w:szCs w:val="28"/>
          <w:bdr w:val="none" w:color="auto" w:sz="0" w:space="0"/>
        </w:rPr>
        <w:t>商业银行小微企业线上信贷业务智能风控体系设计</w:t>
      </w:r>
    </w:p>
    <w:p w14:paraId="638B96A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rPr>
          <w:color w:val="000000"/>
          <w:sz w:val="28"/>
          <w:szCs w:val="28"/>
        </w:rPr>
      </w:pPr>
      <w:r>
        <w:rPr>
          <w:color w:val="000000"/>
          <w:sz w:val="28"/>
          <w:szCs w:val="28"/>
          <w:bdr w:val="none" w:color="auto" w:sz="0" w:space="0"/>
        </w:rPr>
        <w:t>一、业务背景与风控痛点</w:t>
      </w:r>
    </w:p>
    <w:p w14:paraId="1F0F35F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rPr>
          <w:color w:val="000000"/>
          <w:sz w:val="28"/>
          <w:szCs w:val="28"/>
        </w:rPr>
      </w:pPr>
      <w:r>
        <w:rPr>
          <w:color w:val="000000"/>
          <w:sz w:val="28"/>
          <w:szCs w:val="28"/>
          <w:bdr w:val="none" w:color="auto" w:sz="0" w:space="0"/>
        </w:rPr>
        <w:t>（一）业务发展背景</w:t>
      </w:r>
    </w:p>
    <w:p w14:paraId="7A89708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000000"/>
          <w:sz w:val="28"/>
          <w:szCs w:val="28"/>
        </w:rPr>
      </w:pPr>
      <w:r>
        <w:rPr>
          <w:rFonts w:ascii="宋体" w:hAnsi="宋体" w:eastAsia="宋体" w:cs="宋体"/>
          <w:snapToGrid w:val="0"/>
          <w:color w:val="000000"/>
          <w:kern w:val="0"/>
          <w:sz w:val="28"/>
          <w:szCs w:val="28"/>
          <w:bdr w:val="none" w:color="auto" w:sz="0" w:space="0"/>
          <w:lang w:val="en-US" w:eastAsia="zh-CN" w:bidi="ar"/>
        </w:rPr>
        <w:t>在普惠金融政策持续深化的背景下，小微企业融资成为商业银行服务实体经济的核心赛道。银保监会长期要求商业银行小微企业贷款增速不低于各项贷款平均增速，叠加数字技术与金融业务的深度融合，商业银行纷纷布局线上化小微企业信贷产品，依托税务、发票、企业结算流水等数据推出纯信用、全线上的小微贷款，实现 “一键申请、自动审批、秒批秒贷” 的业务模式，精准匹配小微企业 “短、小、频、急” 的融资需求。</w:t>
      </w:r>
    </w:p>
    <w:p w14:paraId="1E66E44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000000"/>
          <w:sz w:val="28"/>
          <w:szCs w:val="28"/>
        </w:rPr>
      </w:pPr>
      <w:r>
        <w:rPr>
          <w:rFonts w:ascii="宋体" w:hAnsi="宋体" w:eastAsia="宋体" w:cs="宋体"/>
          <w:snapToGrid w:val="0"/>
          <w:color w:val="000000"/>
          <w:kern w:val="0"/>
          <w:sz w:val="28"/>
          <w:szCs w:val="28"/>
          <w:bdr w:val="none" w:color="auto" w:sz="0" w:space="0"/>
          <w:lang w:val="en-US" w:eastAsia="zh-CN" w:bidi="ar"/>
        </w:rPr>
        <w:t>从行业实践来看，线上小微信贷业务规模快速增长，成为商业银行普惠金融增量的核心来源。但业务线上化的本质是风控模式的线上化迁移，传统依赖线下尽调、人工审批的风控体系无法适配线上业务的效率要求，风控能力成为制约业务规模化发展的核心瓶颈。构建适配线上场景的智能风控体系，既是商业银行落实监管要求、推进普惠金融的必然选择，也是实现小微业务商业可持续的核心支撑。</w:t>
      </w:r>
    </w:p>
    <w:p w14:paraId="77BD42D6">
      <w:pPr>
        <w:pStyle w:val="3"/>
        <w:bidi w:val="0"/>
        <w:rPr>
          <w:sz w:val="28"/>
          <w:szCs w:val="28"/>
          <w:lang w:eastAsia="zh-CN"/>
        </w:rPr>
      </w:pPr>
    </w:p>
    <w:p w14:paraId="407755D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rPr>
          <w:color w:val="000000"/>
          <w:sz w:val="28"/>
          <w:szCs w:val="28"/>
        </w:rPr>
      </w:pPr>
      <w:r>
        <w:rPr>
          <w:color w:val="000000"/>
          <w:sz w:val="28"/>
          <w:szCs w:val="28"/>
          <w:bdr w:val="none" w:color="auto" w:sz="0" w:space="0"/>
        </w:rPr>
        <w:t>（二）传统风控模式的核心痛点</w:t>
      </w:r>
    </w:p>
    <w:p w14:paraId="7FC2051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000000"/>
          <w:sz w:val="28"/>
          <w:szCs w:val="28"/>
        </w:rPr>
      </w:pPr>
      <w:r>
        <w:rPr>
          <w:rStyle w:val="10"/>
          <w:rFonts w:ascii="宋体" w:hAnsi="宋体" w:eastAsia="宋体" w:cs="宋体"/>
          <w:snapToGrid w:val="0"/>
          <w:color w:val="000000"/>
          <w:kern w:val="0"/>
          <w:sz w:val="28"/>
          <w:szCs w:val="28"/>
          <w:bdr w:val="none" w:color="auto" w:sz="0" w:space="0"/>
          <w:lang w:val="en-US" w:eastAsia="zh-CN" w:bidi="ar"/>
        </w:rPr>
        <w:t>审批效率与客户体验难以平衡</w:t>
      </w:r>
      <w:r>
        <w:rPr>
          <w:rFonts w:ascii="宋体" w:hAnsi="宋体" w:eastAsia="宋体" w:cs="宋体"/>
          <w:snapToGrid w:val="0"/>
          <w:color w:val="000000"/>
          <w:kern w:val="0"/>
          <w:sz w:val="28"/>
          <w:szCs w:val="28"/>
          <w:bdr w:val="none" w:color="auto" w:sz="0" w:space="0"/>
          <w:lang w:val="en-US" w:eastAsia="zh-CN" w:bidi="ar"/>
        </w:rPr>
        <w:t xml:space="preserve"> 传统小微企业信贷风控依赖线下客户经理上门尽调、收集纸质材料、多级人工审批，单户审批周期普遍在 3-5 个工作日，与线上客户 “分钟级获取授信” 的预期存在显著差距。若强行压缩审批流程，又会导致风险识别不充分，形成 “效率提升则风险失控，风险严控则效率低下” 的两难局面，无法支撑线上业务规模化展业。</w:t>
      </w:r>
    </w:p>
    <w:p w14:paraId="6D9F8DE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000000"/>
          <w:sz w:val="28"/>
          <w:szCs w:val="28"/>
        </w:rPr>
      </w:pPr>
      <w:r>
        <w:rPr>
          <w:rStyle w:val="10"/>
          <w:rFonts w:ascii="宋体" w:hAnsi="宋体" w:eastAsia="宋体" w:cs="宋体"/>
          <w:snapToGrid w:val="0"/>
          <w:color w:val="000000"/>
          <w:kern w:val="0"/>
          <w:sz w:val="28"/>
          <w:szCs w:val="28"/>
          <w:bdr w:val="none" w:color="auto" w:sz="0" w:space="0"/>
          <w:lang w:val="en-US" w:eastAsia="zh-CN" w:bidi="ar"/>
        </w:rPr>
        <w:t>数据维度单一，风险识别覆盖不足</w:t>
      </w:r>
      <w:r>
        <w:rPr>
          <w:rFonts w:ascii="宋体" w:hAnsi="宋体" w:eastAsia="宋体" w:cs="宋体"/>
          <w:snapToGrid w:val="0"/>
          <w:color w:val="000000"/>
          <w:kern w:val="0"/>
          <w:sz w:val="28"/>
          <w:szCs w:val="28"/>
          <w:bdr w:val="none" w:color="auto" w:sz="0" w:space="0"/>
          <w:lang w:val="en-US" w:eastAsia="zh-CN" w:bidi="ar"/>
        </w:rPr>
        <w:t xml:space="preserve"> 传统风控高度依赖企业财务报表、抵押物与担保措施，而小微企业普遍存在财务制度不规范、财报数据失真、缺乏合格抵质押物的特点，导致传统风控手段难以准确评估企业真实经营状况与还款能力，形成 “银行不敢贷、企业贷不到” 的供需错配。同时传统风控多采用静态数据评估，无法捕捉企业经营的动态变化，风险判断存在滞后性。</w:t>
      </w:r>
    </w:p>
    <w:p w14:paraId="1EA66F7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000000"/>
          <w:sz w:val="28"/>
          <w:szCs w:val="28"/>
        </w:rPr>
      </w:pPr>
      <w:r>
        <w:rPr>
          <w:rStyle w:val="10"/>
          <w:rFonts w:ascii="宋体" w:hAnsi="宋体" w:eastAsia="宋体" w:cs="宋体"/>
          <w:snapToGrid w:val="0"/>
          <w:color w:val="000000"/>
          <w:kern w:val="0"/>
          <w:sz w:val="28"/>
          <w:szCs w:val="28"/>
          <w:bdr w:val="none" w:color="auto" w:sz="0" w:space="0"/>
          <w:lang w:val="en-US" w:eastAsia="zh-CN" w:bidi="ar"/>
        </w:rPr>
        <w:t>欺诈手段迭代快，传统规则应对滞后</w:t>
      </w:r>
      <w:r>
        <w:rPr>
          <w:rFonts w:ascii="宋体" w:hAnsi="宋体" w:eastAsia="宋体" w:cs="宋体"/>
          <w:snapToGrid w:val="0"/>
          <w:color w:val="000000"/>
          <w:kern w:val="0"/>
          <w:sz w:val="28"/>
          <w:szCs w:val="28"/>
          <w:bdr w:val="none" w:color="auto" w:sz="0" w:space="0"/>
          <w:lang w:val="en-US" w:eastAsia="zh-CN" w:bidi="ar"/>
        </w:rPr>
        <w:t xml:space="preserve"> 线上信贷业务脱离了面对面核验环节，欺诈风险呈现隐蔽化、团伙化、技术化特征，市场上出现了包装企业经营数据、虚开增值税发票、批量注册空壳企业、多头借贷套贷等新型欺诈手段。传统规则引擎依赖人工经验配置规则，更新周期长、灵活性差，难以快速迭代应对新型欺诈模式，容易出现欺诈漏洞；若盲目叠加规则，又会造成误杀率过高，挤压正常客户的融资空间。</w:t>
      </w:r>
    </w:p>
    <w:p w14:paraId="5C88332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000000"/>
          <w:sz w:val="28"/>
          <w:szCs w:val="28"/>
        </w:rPr>
      </w:pPr>
      <w:r>
        <w:rPr>
          <w:rStyle w:val="10"/>
          <w:rFonts w:ascii="宋体" w:hAnsi="宋体" w:eastAsia="宋体" w:cs="宋体"/>
          <w:snapToGrid w:val="0"/>
          <w:color w:val="000000"/>
          <w:kern w:val="0"/>
          <w:sz w:val="28"/>
          <w:szCs w:val="28"/>
          <w:bdr w:val="none" w:color="auto" w:sz="0" w:space="0"/>
          <w:lang w:val="en-US" w:eastAsia="zh-CN" w:bidi="ar"/>
        </w:rPr>
        <w:t>人工成本高企，规模化展业受限</w:t>
      </w:r>
      <w:r>
        <w:rPr>
          <w:rFonts w:ascii="宋体" w:hAnsi="宋体" w:eastAsia="宋体" w:cs="宋体"/>
          <w:snapToGrid w:val="0"/>
          <w:color w:val="000000"/>
          <w:kern w:val="0"/>
          <w:sz w:val="28"/>
          <w:szCs w:val="28"/>
          <w:bdr w:val="none" w:color="auto" w:sz="0" w:space="0"/>
          <w:lang w:val="en-US" w:eastAsia="zh-CN" w:bidi="ar"/>
        </w:rPr>
        <w:t xml:space="preserve"> 小微企业贷款单笔金额小、单户收益低，传统线下尽调与人工审批的人力成本居高不下，单笔业务的风控成本难以被利息收益覆盖，业务规模越大，运营成本压力越高。成本与收益的不匹配，导致商业银行小微业务难以实现商业可持续，无法真正下沉服务长尾小微企业客户。</w:t>
      </w:r>
    </w:p>
    <w:p w14:paraId="58EDBDF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000000"/>
          <w:sz w:val="28"/>
          <w:szCs w:val="28"/>
        </w:rPr>
      </w:pPr>
      <w:r>
        <w:rPr>
          <w:rStyle w:val="10"/>
          <w:rFonts w:ascii="宋体" w:hAnsi="宋体" w:eastAsia="宋体" w:cs="宋体"/>
          <w:snapToGrid w:val="0"/>
          <w:color w:val="000000"/>
          <w:kern w:val="0"/>
          <w:sz w:val="28"/>
          <w:szCs w:val="28"/>
          <w:bdr w:val="none" w:color="auto" w:sz="0" w:space="0"/>
          <w:lang w:val="en-US" w:eastAsia="zh-CN" w:bidi="ar"/>
        </w:rPr>
        <w:t>风险管控割裂，全周期管理缺失</w:t>
      </w:r>
      <w:r>
        <w:rPr>
          <w:rFonts w:ascii="宋体" w:hAnsi="宋体" w:eastAsia="宋体" w:cs="宋体"/>
          <w:snapToGrid w:val="0"/>
          <w:color w:val="000000"/>
          <w:kern w:val="0"/>
          <w:sz w:val="28"/>
          <w:szCs w:val="28"/>
          <w:bdr w:val="none" w:color="auto" w:sz="0" w:space="0"/>
          <w:lang w:val="en-US" w:eastAsia="zh-CN" w:bidi="ar"/>
        </w:rPr>
        <w:t xml:space="preserve"> 传统风控体系中，贷前审批、贷中管理、贷后预警分属不同部门，数据不互通、策略不联动。贷前审批仅基于申请时点的静态数据，无法结合贷后经营变化动态调整风险策略；贷后风险预警滞后，往往在企业出现逾期后才发现风险，错失风险处置的最佳窗口，没有形成全生命周期的风控闭环。</w:t>
      </w:r>
    </w:p>
    <w:p w14:paraId="51164390">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360" w:leftChars="0" w:right="0" w:rightChars="0"/>
        <w:rPr>
          <w:color w:val="000000"/>
          <w:sz w:val="28"/>
          <w:szCs w:val="28"/>
        </w:rPr>
      </w:pPr>
    </w:p>
    <w:p w14:paraId="125B607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rPr>
          <w:color w:val="000000"/>
          <w:sz w:val="28"/>
          <w:szCs w:val="28"/>
        </w:rPr>
      </w:pPr>
      <w:r>
        <w:rPr>
          <w:color w:val="000000"/>
          <w:sz w:val="28"/>
          <w:szCs w:val="28"/>
          <w:bdr w:val="none" w:color="auto" w:sz="0" w:space="0"/>
        </w:rPr>
        <w:t>二、智能风控体系总体框架</w:t>
      </w:r>
    </w:p>
    <w:p w14:paraId="68BE0BC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000000"/>
          <w:sz w:val="28"/>
          <w:szCs w:val="28"/>
        </w:rPr>
      </w:pPr>
      <w:r>
        <w:rPr>
          <w:rFonts w:ascii="宋体" w:hAnsi="宋体" w:eastAsia="宋体" w:cs="宋体"/>
          <w:snapToGrid w:val="0"/>
          <w:color w:val="000000"/>
          <w:kern w:val="0"/>
          <w:sz w:val="28"/>
          <w:szCs w:val="28"/>
          <w:bdr w:val="none" w:color="auto" w:sz="0" w:space="0"/>
          <w:lang w:val="en-US" w:eastAsia="zh-CN" w:bidi="ar"/>
        </w:rPr>
        <w:t>本智能风控体系遵循工业界通用的智能风控标准架构，构建 “五层一闭环” 的整体框架，五层分别为</w:t>
      </w:r>
      <w:r>
        <w:rPr>
          <w:rStyle w:val="10"/>
          <w:rFonts w:ascii="宋体" w:hAnsi="宋体" w:eastAsia="宋体" w:cs="宋体"/>
          <w:snapToGrid w:val="0"/>
          <w:color w:val="000000"/>
          <w:kern w:val="0"/>
          <w:sz w:val="28"/>
          <w:szCs w:val="28"/>
          <w:bdr w:val="none" w:color="auto" w:sz="0" w:space="0"/>
          <w:lang w:val="en-US" w:eastAsia="zh-CN" w:bidi="ar"/>
        </w:rPr>
        <w:t>数据接入层、特征工程层、风险决策层、业务输出层、运营监控层</w:t>
      </w:r>
      <w:r>
        <w:rPr>
          <w:rFonts w:ascii="宋体" w:hAnsi="宋体" w:eastAsia="宋体" w:cs="宋体"/>
          <w:snapToGrid w:val="0"/>
          <w:color w:val="000000"/>
          <w:kern w:val="0"/>
          <w:sz w:val="28"/>
          <w:szCs w:val="28"/>
          <w:bdr w:val="none" w:color="auto" w:sz="0" w:space="0"/>
          <w:lang w:val="en-US" w:eastAsia="zh-CN" w:bidi="ar"/>
        </w:rPr>
        <w:t>，一闭环为贷后反馈迭代闭环。体系以多源合规数据为基础，以标准化特征加工为枢纽，以 “规则 + 模型 + 策略” 的决策引擎为核心，最终输出可落地的业务决策，并通过全链路监控与贷后数据反馈实现持续迭代优化，兼顾风险识别的精准性、业务处理的实时性与监管合规的要求。</w:t>
      </w:r>
    </w:p>
    <w:p w14:paraId="182F702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000000"/>
          <w:sz w:val="28"/>
          <w:szCs w:val="28"/>
        </w:rPr>
      </w:pPr>
      <w:r>
        <w:rPr>
          <w:rFonts w:ascii="宋体" w:hAnsi="宋体" w:eastAsia="宋体" w:cs="宋体"/>
          <w:snapToGrid w:val="0"/>
          <w:color w:val="000000"/>
          <w:kern w:val="0"/>
          <w:sz w:val="28"/>
          <w:szCs w:val="28"/>
          <w:bdr w:val="none" w:color="auto" w:sz="0" w:space="0"/>
          <w:lang w:val="en-US" w:eastAsia="zh-CN" w:bidi="ar"/>
        </w:rPr>
        <w:t>各层级的定位与逻辑关系如下：</w:t>
      </w:r>
    </w:p>
    <w:p w14:paraId="54E53CD4">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leftChars="0" w:right="0" w:rightChars="0" w:hanging="360" w:firstLineChars="0"/>
        <w:rPr>
          <w:color w:val="000000"/>
          <w:sz w:val="28"/>
          <w:szCs w:val="28"/>
        </w:rPr>
      </w:pPr>
      <w:r>
        <w:rPr>
          <w:rFonts w:ascii="Arial" w:hAnsi="Arial" w:eastAsia="Arial" w:cs="Arial"/>
          <w:snapToGrid w:val="0"/>
          <w:color w:val="000000"/>
          <w:sz w:val="24"/>
          <w:szCs w:val="24"/>
          <w:lang w:val="en-US" w:eastAsia="en-US" w:bidi="ar-SA"/>
        </w:rPr>
        <w:t>1.</w:t>
      </w:r>
      <w:r>
        <w:rPr>
          <w:rStyle w:val="10"/>
          <w:color w:val="000000"/>
          <w:sz w:val="28"/>
          <w:szCs w:val="28"/>
          <w:bdr w:val="none" w:color="auto" w:sz="0" w:space="0"/>
        </w:rPr>
        <w:t>数据接入层</w:t>
      </w:r>
      <w:r>
        <w:rPr>
          <w:color w:val="000000"/>
          <w:sz w:val="28"/>
          <w:szCs w:val="28"/>
          <w:bdr w:val="none" w:color="auto" w:sz="0" w:space="0"/>
        </w:rPr>
        <w:t>是体系的基础底座，负责整合行内数据、合规外部数据与第三方数据，完成数据的采集、清洗、标准化与合规脱敏，为上层风控决策提供可靠的数据原料。</w:t>
      </w:r>
    </w:p>
    <w:p w14:paraId="1CB37DD8">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leftChars="0" w:right="0" w:rightChars="0" w:hanging="360" w:firstLineChars="0"/>
        <w:rPr>
          <w:color w:val="000000"/>
          <w:sz w:val="28"/>
          <w:szCs w:val="28"/>
        </w:rPr>
      </w:pPr>
      <w:r>
        <w:rPr>
          <w:rFonts w:ascii="Arial" w:hAnsi="Arial" w:eastAsia="Arial" w:cs="Arial"/>
          <w:snapToGrid w:val="0"/>
          <w:color w:val="000000"/>
          <w:sz w:val="24"/>
          <w:szCs w:val="24"/>
          <w:lang w:val="en-US" w:eastAsia="en-US" w:bidi="ar-SA"/>
        </w:rPr>
        <w:t>2.</w:t>
      </w:r>
      <w:r>
        <w:rPr>
          <w:rStyle w:val="10"/>
          <w:color w:val="000000"/>
          <w:sz w:val="28"/>
          <w:szCs w:val="28"/>
          <w:bdr w:val="none" w:color="auto" w:sz="0" w:space="0"/>
        </w:rPr>
        <w:t>特征工程层</w:t>
      </w:r>
      <w:r>
        <w:rPr>
          <w:color w:val="000000"/>
          <w:sz w:val="28"/>
          <w:szCs w:val="28"/>
          <w:bdr w:val="none" w:color="auto" w:sz="0" w:space="0"/>
        </w:rPr>
        <w:t>是数据与决策的中间枢纽，将原始数据加工为可直接用于风险判断的量化特征，构建覆盖信用、欺诈、经营、行为四大维度的特征体系，同时提供离线批量特征与实时流计算特征两类服务，适配不同决策场景的时效要求。</w:t>
      </w:r>
    </w:p>
    <w:p w14:paraId="40604EF2">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leftChars="0" w:right="0" w:rightChars="0" w:hanging="360" w:firstLineChars="0"/>
        <w:rPr>
          <w:color w:val="000000"/>
          <w:sz w:val="28"/>
          <w:szCs w:val="28"/>
        </w:rPr>
      </w:pPr>
      <w:r>
        <w:rPr>
          <w:rFonts w:ascii="Arial" w:hAnsi="Arial" w:eastAsia="Arial" w:cs="Arial"/>
          <w:snapToGrid w:val="0"/>
          <w:color w:val="000000"/>
          <w:sz w:val="24"/>
          <w:szCs w:val="24"/>
          <w:lang w:val="en-US" w:eastAsia="en-US" w:bidi="ar-SA"/>
        </w:rPr>
        <w:t>3.</w:t>
      </w:r>
      <w:r>
        <w:rPr>
          <w:rStyle w:val="10"/>
          <w:color w:val="000000"/>
          <w:sz w:val="28"/>
          <w:szCs w:val="28"/>
          <w:bdr w:val="none" w:color="auto" w:sz="0" w:space="0"/>
        </w:rPr>
        <w:t>风险决策层</w:t>
      </w:r>
      <w:r>
        <w:rPr>
          <w:color w:val="000000"/>
          <w:sz w:val="28"/>
          <w:szCs w:val="28"/>
          <w:bdr w:val="none" w:color="auto" w:sz="0" w:space="0"/>
        </w:rPr>
        <w:t>是智能风控体系的核心大脑，集成规则引擎、模型引擎与策略编排能力，按照 “硬规则前置拦截 - 模型量化评分 - 策略差异化决策” 的流程，实现自动化、分级化的风险判断，兼顾决策效率与风险精度。</w:t>
      </w:r>
    </w:p>
    <w:p w14:paraId="4BFBFAB8">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leftChars="0" w:right="0" w:rightChars="0" w:hanging="360" w:firstLineChars="0"/>
        <w:rPr>
          <w:color w:val="000000"/>
          <w:sz w:val="28"/>
          <w:szCs w:val="28"/>
        </w:rPr>
      </w:pPr>
      <w:r>
        <w:rPr>
          <w:rFonts w:ascii="Arial" w:hAnsi="Arial" w:eastAsia="Arial" w:cs="Arial"/>
          <w:snapToGrid w:val="0"/>
          <w:color w:val="000000"/>
          <w:sz w:val="24"/>
          <w:szCs w:val="24"/>
          <w:lang w:val="en-US" w:eastAsia="en-US" w:bidi="ar-SA"/>
        </w:rPr>
        <w:t>4.</w:t>
      </w:r>
      <w:r>
        <w:rPr>
          <w:rStyle w:val="10"/>
          <w:color w:val="000000"/>
          <w:sz w:val="28"/>
          <w:szCs w:val="28"/>
          <w:bdr w:val="none" w:color="auto" w:sz="0" w:space="0"/>
        </w:rPr>
        <w:t>业务输出层</w:t>
      </w:r>
      <w:r>
        <w:rPr>
          <w:color w:val="000000"/>
          <w:sz w:val="28"/>
          <w:szCs w:val="28"/>
          <w:bdr w:val="none" w:color="auto" w:sz="0" w:space="0"/>
        </w:rPr>
        <w:t>是风控结果的落地出口，将抽象的决策结果转化为业务可执行的指令，包括审批结论、授信额度、贷款利率、风险标签等，通过标准化接口对接前端业务系统，实现风控与业务流程的无缝衔接。</w:t>
      </w:r>
    </w:p>
    <w:p w14:paraId="733A6746">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leftChars="0" w:right="0" w:rightChars="0" w:hanging="360" w:firstLineChars="0"/>
        <w:rPr>
          <w:color w:val="000000"/>
          <w:sz w:val="28"/>
          <w:szCs w:val="28"/>
        </w:rPr>
      </w:pPr>
      <w:r>
        <w:rPr>
          <w:rFonts w:ascii="Arial" w:hAnsi="Arial" w:eastAsia="Arial" w:cs="Arial"/>
          <w:snapToGrid w:val="0"/>
          <w:color w:val="000000"/>
          <w:sz w:val="24"/>
          <w:szCs w:val="24"/>
          <w:lang w:val="en-US" w:eastAsia="en-US" w:bidi="ar-SA"/>
        </w:rPr>
        <w:t>5.</w:t>
      </w:r>
      <w:r>
        <w:rPr>
          <w:rStyle w:val="10"/>
          <w:color w:val="000000"/>
          <w:sz w:val="28"/>
          <w:szCs w:val="28"/>
          <w:bdr w:val="none" w:color="auto" w:sz="0" w:space="0"/>
        </w:rPr>
        <w:t>运营监控层</w:t>
      </w:r>
      <w:r>
        <w:rPr>
          <w:color w:val="000000"/>
          <w:sz w:val="28"/>
          <w:szCs w:val="28"/>
          <w:bdr w:val="none" w:color="auto" w:sz="0" w:space="0"/>
        </w:rPr>
        <w:t>贯穿全流程，对数据质量、特征稳定性、模型性能、策略执行效果进行 7×24 小时监控，及时预警异常波动；同时打通贷后表现数据，将客户还款表现反馈至前端决策环节，形成 “数据输入 - 决策输出 - 效果验证 - 策略迭代” 的完整闭环，保障风控体系的长期有效性。</w:t>
      </w:r>
    </w:p>
    <w:p w14:paraId="6164F95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rPr>
          <w:color w:val="000000"/>
          <w:sz w:val="28"/>
          <w:szCs w:val="28"/>
        </w:rPr>
      </w:pPr>
      <w:r>
        <w:rPr>
          <w:color w:val="000000"/>
          <w:sz w:val="28"/>
          <w:szCs w:val="28"/>
          <w:bdr w:val="none" w:color="auto" w:sz="0" w:space="0"/>
        </w:rPr>
        <w:t>三、智能风控体系各模块功能详解</w:t>
      </w:r>
    </w:p>
    <w:p w14:paraId="6EB1CE7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rPr>
          <w:color w:val="000000"/>
          <w:sz w:val="28"/>
          <w:szCs w:val="28"/>
        </w:rPr>
      </w:pPr>
      <w:r>
        <w:rPr>
          <w:color w:val="000000"/>
          <w:sz w:val="28"/>
          <w:szCs w:val="28"/>
          <w:bdr w:val="none" w:color="auto" w:sz="0" w:space="0"/>
        </w:rPr>
        <w:t>（一）数据接入与治理模块</w:t>
      </w:r>
    </w:p>
    <w:p w14:paraId="7269861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000000"/>
          <w:sz w:val="28"/>
          <w:szCs w:val="28"/>
        </w:rPr>
      </w:pPr>
      <w:r>
        <w:rPr>
          <w:rFonts w:ascii="宋体" w:hAnsi="宋体" w:eastAsia="宋体" w:cs="宋体"/>
          <w:snapToGrid w:val="0"/>
          <w:color w:val="000000"/>
          <w:kern w:val="0"/>
          <w:sz w:val="28"/>
          <w:szCs w:val="28"/>
          <w:bdr w:val="none" w:color="auto" w:sz="0" w:space="0"/>
          <w:lang w:val="en-US" w:eastAsia="zh-CN" w:bidi="ar"/>
        </w:rPr>
        <w:t>数据是智能风控的核心生产资料，本模块负责全量风控数据的接入、标准化与合规管理，严格遵循《个人信息保护法》《数据安全法》《征信业务管理办法》的监管要求，所有外部数据均取得客户授权后合规调用。</w:t>
      </w:r>
    </w:p>
    <w:p w14:paraId="0997136E">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28"/>
          <w:szCs w:val="28"/>
        </w:rPr>
      </w:pPr>
      <w:r>
        <w:rPr>
          <w:rStyle w:val="10"/>
          <w:color w:val="000000"/>
          <w:sz w:val="28"/>
          <w:szCs w:val="28"/>
          <w:bdr w:val="none" w:color="auto" w:sz="0" w:space="0"/>
        </w:rPr>
        <w:t>内部数据整合模块</w:t>
      </w:r>
      <w:r>
        <w:rPr>
          <w:color w:val="000000"/>
          <w:sz w:val="28"/>
          <w:szCs w:val="28"/>
          <w:bdr w:val="none" w:color="auto" w:sz="0" w:space="0"/>
        </w:rPr>
        <w:t xml:space="preserve"> 整合商业银行内部各业务系统的原生数据，是风控体系最核心、可信度最高的数据来源。具体包括：</w:t>
      </w:r>
    </w:p>
    <w:p w14:paraId="02675FD1">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28"/>
          <w:szCs w:val="28"/>
        </w:rPr>
      </w:pPr>
      <w:r>
        <w:rPr>
          <w:color w:val="000000"/>
          <w:sz w:val="28"/>
          <w:szCs w:val="28"/>
          <w:bdr w:val="none" w:color="auto" w:sz="0" w:space="0"/>
        </w:rPr>
        <w:t>企业基础信息：来自 CRM 系统的企业注册信息、行业分类、股权结构、法定代表人及实际控制人信息；</w:t>
      </w:r>
    </w:p>
    <w:p w14:paraId="4B6C5372">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28"/>
          <w:szCs w:val="28"/>
        </w:rPr>
      </w:pPr>
      <w:r>
        <w:rPr>
          <w:color w:val="000000"/>
          <w:sz w:val="28"/>
          <w:szCs w:val="28"/>
          <w:bdr w:val="none" w:color="auto" w:sz="0" w:space="0"/>
        </w:rPr>
        <w:t>结算交易数据：来自核心系统与支付系统的企业账户流水、日均存款余额、收付款频次、上下游交易对手分布、交易金额波动率等；</w:t>
      </w:r>
    </w:p>
    <w:p w14:paraId="56BB2D57">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28"/>
          <w:szCs w:val="28"/>
        </w:rPr>
      </w:pPr>
      <w:r>
        <w:rPr>
          <w:color w:val="000000"/>
          <w:sz w:val="28"/>
          <w:szCs w:val="28"/>
          <w:bdr w:val="none" w:color="auto" w:sz="0" w:space="0"/>
        </w:rPr>
        <w:t>历史信贷数据：来自信贷管理系统的企业过往贷款记录、还款履约情况、逾期天数与逾期金额、历史授信额度使用情况；</w:t>
      </w:r>
    </w:p>
    <w:p w14:paraId="5181118E">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28"/>
          <w:szCs w:val="28"/>
        </w:rPr>
      </w:pPr>
      <w:r>
        <w:rPr>
          <w:color w:val="000000"/>
          <w:sz w:val="28"/>
          <w:szCs w:val="28"/>
          <w:bdr w:val="none" w:color="auto" w:sz="0" w:space="0"/>
        </w:rPr>
        <w:t>企业主关联数据：企业法定代表人、实际控制人的个人金融数据，包括个人存款、理财、信用卡使用记录、个人历史信贷履约情况。</w:t>
      </w:r>
    </w:p>
    <w:p w14:paraId="300FB29C">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leftChars="0" w:right="0" w:rightChars="0" w:hanging="360" w:firstLineChars="0"/>
        <w:rPr>
          <w:color w:val="000000"/>
          <w:sz w:val="28"/>
          <w:szCs w:val="28"/>
        </w:rPr>
      </w:pPr>
      <w:r>
        <w:rPr>
          <w:rFonts w:ascii="Arial" w:hAnsi="Arial" w:eastAsia="Arial" w:cs="Arial"/>
          <w:snapToGrid w:val="0"/>
          <w:color w:val="000000"/>
          <w:sz w:val="24"/>
          <w:szCs w:val="24"/>
          <w:lang w:val="en-US" w:eastAsia="en-US" w:bidi="ar-SA"/>
        </w:rPr>
        <w:t>1.</w:t>
      </w:r>
      <w:r>
        <w:rPr>
          <w:rStyle w:val="10"/>
          <w:color w:val="000000"/>
          <w:sz w:val="28"/>
          <w:szCs w:val="28"/>
          <w:bdr w:val="none" w:color="auto" w:sz="0" w:space="0"/>
        </w:rPr>
        <w:t>外部合规数据对接模块</w:t>
      </w:r>
      <w:r>
        <w:rPr>
          <w:color w:val="000000"/>
          <w:sz w:val="28"/>
          <w:szCs w:val="28"/>
          <w:bdr w:val="none" w:color="auto" w:sz="0" w:space="0"/>
        </w:rPr>
        <w:t xml:space="preserve"> 接入经监管认可的外部数据源，补充行内数据的覆盖盲区，多维度刻画企业经营与风险状况。主要分为三类：</w:t>
      </w:r>
    </w:p>
    <w:p w14:paraId="01E728E8">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28"/>
          <w:szCs w:val="28"/>
        </w:rPr>
      </w:pPr>
      <w:r>
        <w:rPr>
          <w:color w:val="000000"/>
          <w:sz w:val="28"/>
          <w:szCs w:val="28"/>
          <w:bdr w:val="none" w:color="auto" w:sz="0" w:space="0"/>
        </w:rPr>
        <w:t>政务公开数据：包括工商信息（企业注册、变更、注销、股权质押）、司法信息（涉诉记录、失信被执行人、限制高消费、行政处罚）、税务数据（纳税额、纳税信用等级、申报明细）、社保公积金缴纳数据、知识产权信息等，用于核验企业经营真实性，识别司法失信风险；</w:t>
      </w:r>
    </w:p>
    <w:p w14:paraId="4082BCB7">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28"/>
          <w:szCs w:val="28"/>
        </w:rPr>
      </w:pPr>
      <w:r>
        <w:rPr>
          <w:color w:val="000000"/>
          <w:sz w:val="28"/>
          <w:szCs w:val="28"/>
          <w:bdr w:val="none" w:color="auto" w:sz="0" w:space="0"/>
        </w:rPr>
        <w:t>征信类数据：企业征信报告、企业主个人征信报告，反映企业整体负债水平、历史信用履约情况、近期信贷申请频次，是判断多头借贷与还款意愿的核心依据；</w:t>
      </w:r>
    </w:p>
    <w:p w14:paraId="32E09D71">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28"/>
          <w:szCs w:val="28"/>
        </w:rPr>
      </w:pPr>
      <w:r>
        <w:rPr>
          <w:color w:val="000000"/>
          <w:sz w:val="28"/>
          <w:szCs w:val="28"/>
          <w:bdr w:val="none" w:color="auto" w:sz="0" w:space="0"/>
        </w:rPr>
        <w:t>行业与场景数据：区域行业景气度指标、产业链上下游风险数据、发票开具数据等，用于评估企业经营稳定性与行业系统性风险。</w:t>
      </w:r>
    </w:p>
    <w:p w14:paraId="1D03FF7B">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leftChars="0" w:right="0" w:rightChars="0" w:hanging="360" w:firstLineChars="0"/>
        <w:rPr>
          <w:color w:val="000000"/>
          <w:sz w:val="28"/>
          <w:szCs w:val="28"/>
        </w:rPr>
      </w:pPr>
      <w:r>
        <w:rPr>
          <w:rFonts w:ascii="Arial" w:hAnsi="Arial" w:eastAsia="Arial" w:cs="Arial"/>
          <w:snapToGrid w:val="0"/>
          <w:color w:val="000000"/>
          <w:sz w:val="24"/>
          <w:szCs w:val="24"/>
          <w:lang w:val="en-US" w:eastAsia="en-US" w:bidi="ar-SA"/>
        </w:rPr>
        <w:t>1.</w:t>
      </w:r>
      <w:r>
        <w:rPr>
          <w:rStyle w:val="10"/>
          <w:color w:val="000000"/>
          <w:sz w:val="28"/>
          <w:szCs w:val="28"/>
          <w:bdr w:val="none" w:color="auto" w:sz="0" w:space="0"/>
        </w:rPr>
        <w:t>数据治理与合规管理模块</w:t>
      </w:r>
      <w:r>
        <w:rPr>
          <w:color w:val="000000"/>
          <w:sz w:val="28"/>
          <w:szCs w:val="28"/>
          <w:bdr w:val="none" w:color="auto" w:sz="0" w:space="0"/>
        </w:rPr>
        <w:t xml:space="preserve"> 建立全流程数据治理机制，保障数据质量与合规安全。一是数据标准化，制定统一的数据字段标准与口径规范，对多源异构数据进行字段映射、格式统一、缺失值填充、异常值校验；二是数据安全脱敏，对企业身份证号、银行账号、联系方式等敏感信息进行加密脱敏处理，严格控制数据访问权限；三是数据血缘管理，记录每个数据字段的来源、加工路径、使用场景，满足监管审计与问题追溯要求；四是数据质量监控，设置完整性、准确性、时效性三类监控指标，每日校验数据同步情况，异常数据及时告警修复。</w:t>
      </w:r>
    </w:p>
    <w:p w14:paraId="3E088D1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rPr>
          <w:color w:val="000000"/>
          <w:sz w:val="28"/>
          <w:szCs w:val="28"/>
        </w:rPr>
      </w:pPr>
      <w:r>
        <w:rPr>
          <w:color w:val="000000"/>
          <w:sz w:val="28"/>
          <w:szCs w:val="28"/>
          <w:bdr w:val="none" w:color="auto" w:sz="0" w:space="0"/>
        </w:rPr>
        <w:t>（二）特征工程与特征服务模块</w:t>
      </w:r>
    </w:p>
    <w:p w14:paraId="79AF15F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000000"/>
          <w:sz w:val="28"/>
          <w:szCs w:val="28"/>
        </w:rPr>
      </w:pPr>
      <w:r>
        <w:rPr>
          <w:rFonts w:ascii="宋体" w:hAnsi="宋体" w:eastAsia="宋体" w:cs="宋体"/>
          <w:snapToGrid w:val="0"/>
          <w:color w:val="000000"/>
          <w:kern w:val="0"/>
          <w:sz w:val="28"/>
          <w:szCs w:val="28"/>
          <w:bdr w:val="none" w:color="auto" w:sz="0" w:space="0"/>
          <w:lang w:val="en-US" w:eastAsia="zh-CN" w:bidi="ar"/>
        </w:rPr>
        <w:t>特征工程是将原始数据转化为风控决策因子的核心环节，本模块构建标准化的特征体系与特征服务能力，实现特征的统一加工、复用与管理，提升风控迭代效率。</w:t>
      </w:r>
    </w:p>
    <w:p w14:paraId="4E800264">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leftChars="0" w:right="0" w:rightChars="0" w:hanging="360" w:firstLineChars="0"/>
        <w:rPr>
          <w:color w:val="000000"/>
          <w:sz w:val="28"/>
          <w:szCs w:val="28"/>
        </w:rPr>
      </w:pPr>
      <w:r>
        <w:rPr>
          <w:rFonts w:ascii="Arial" w:hAnsi="Arial" w:eastAsia="Arial" w:cs="Arial"/>
          <w:snapToGrid w:val="0"/>
          <w:color w:val="000000"/>
          <w:sz w:val="24"/>
          <w:szCs w:val="24"/>
          <w:lang w:val="en-US" w:eastAsia="en-US" w:bidi="ar-SA"/>
        </w:rPr>
        <w:t>1.</w:t>
      </w:r>
      <w:r>
        <w:rPr>
          <w:rStyle w:val="10"/>
          <w:color w:val="000000"/>
          <w:sz w:val="28"/>
          <w:szCs w:val="28"/>
          <w:bdr w:val="none" w:color="auto" w:sz="0" w:space="0"/>
        </w:rPr>
        <w:t>全维度风险特征体系</w:t>
      </w:r>
      <w:r>
        <w:rPr>
          <w:color w:val="000000"/>
          <w:sz w:val="28"/>
          <w:szCs w:val="28"/>
          <w:bdr w:val="none" w:color="auto" w:sz="0" w:space="0"/>
        </w:rPr>
        <w:t xml:space="preserve"> 围绕小微企业信贷的信用风险与欺诈风险，构建四大类特征体系，累计衍生有效特征 1200 余维，全面覆盖风险判断维度：</w:t>
      </w:r>
    </w:p>
    <w:p w14:paraId="4346FD54">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28"/>
          <w:szCs w:val="28"/>
        </w:rPr>
      </w:pPr>
      <w:r>
        <w:rPr>
          <w:color w:val="000000"/>
          <w:sz w:val="28"/>
          <w:szCs w:val="28"/>
          <w:bdr w:val="none" w:color="auto" w:sz="0" w:space="0"/>
        </w:rPr>
        <w:t>信用履约特征：包括企业及企业主近 2 年逾期次数、最长逾期天数、当前逾期金额、近 3 个月征信查询次数、总负债水平、资产负债率、负债收入比等，核心反映主体的还款意愿与历史信用表现；</w:t>
      </w:r>
    </w:p>
    <w:p w14:paraId="331D01FA">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28"/>
          <w:szCs w:val="28"/>
        </w:rPr>
      </w:pPr>
      <w:r>
        <w:rPr>
          <w:color w:val="000000"/>
          <w:sz w:val="28"/>
          <w:szCs w:val="28"/>
          <w:bdr w:val="none" w:color="auto" w:sz="0" w:space="0"/>
        </w:rPr>
        <w:t>经营稳定性特征：包括近 3/6/12 个月月均结算流水、流水环比波动率、纳税额同比增速、开票金额连续性、员工社保缴纳人数变化、上下游客户集中度等，量化企业经营健康度与可持续性；</w:t>
      </w:r>
    </w:p>
    <w:p w14:paraId="2273BA8A">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28"/>
          <w:szCs w:val="28"/>
        </w:rPr>
      </w:pPr>
      <w:r>
        <w:rPr>
          <w:color w:val="000000"/>
          <w:sz w:val="28"/>
          <w:szCs w:val="28"/>
          <w:bdr w:val="none" w:color="auto" w:sz="0" w:space="0"/>
        </w:rPr>
        <w:t>欺诈风险特征：包括申请信息与工商信息一致性、法定代表人近半年变更频次、企业注册地址风险属性、近 1 个月贷款申请机构数、申请设备指纹重合度、关联企业风险传导等，用于识别包装欺诈、团伙欺诈风险；</w:t>
      </w:r>
    </w:p>
    <w:p w14:paraId="1F345CC4">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28"/>
          <w:szCs w:val="28"/>
        </w:rPr>
      </w:pPr>
      <w:r>
        <w:rPr>
          <w:color w:val="000000"/>
          <w:sz w:val="28"/>
          <w:szCs w:val="28"/>
          <w:bdr w:val="none" w:color="auto" w:sz="0" w:space="0"/>
        </w:rPr>
        <w:t>外部环境特征：包括所属行业风险等级、区域经济景气指数、行业政策影响因子等，缓释行业与区域系统性风险。</w:t>
      </w:r>
    </w:p>
    <w:p w14:paraId="4A99911A">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28"/>
          <w:szCs w:val="28"/>
        </w:rPr>
      </w:pPr>
      <w:r>
        <w:rPr>
          <w:rStyle w:val="10"/>
          <w:color w:val="000000"/>
          <w:sz w:val="28"/>
          <w:szCs w:val="28"/>
          <w:bdr w:val="none" w:color="auto" w:sz="0" w:space="0"/>
        </w:rPr>
        <w:t>双模式特征计算能力</w:t>
      </w:r>
      <w:r>
        <w:rPr>
          <w:color w:val="000000"/>
          <w:sz w:val="28"/>
          <w:szCs w:val="28"/>
          <w:bdr w:val="none" w:color="auto" w:sz="0" w:space="0"/>
        </w:rPr>
        <w:t xml:space="preserve"> 根据决策时效要求，分为离线特征与实时特征两类计算模式：</w:t>
      </w:r>
    </w:p>
    <w:p w14:paraId="29BCACB6">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28"/>
          <w:szCs w:val="28"/>
        </w:rPr>
      </w:pPr>
      <w:r>
        <w:rPr>
          <w:color w:val="000000"/>
          <w:sz w:val="28"/>
          <w:szCs w:val="28"/>
          <w:bdr w:val="none" w:color="auto" w:sz="0" w:space="0"/>
        </w:rPr>
        <w:t>离线特征：基于 T+1 批量数据加工，每日凌晨批量计算全量客户的特征值，用于基础信用评估、额度测算与客户分层，如年度纳税总额、近 6 个月月均流水等，特点是数据量大、计算精度高；</w:t>
      </w:r>
    </w:p>
    <w:p w14:paraId="13A76644">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28"/>
          <w:szCs w:val="28"/>
        </w:rPr>
      </w:pPr>
      <w:r>
        <w:rPr>
          <w:color w:val="000000"/>
          <w:sz w:val="28"/>
          <w:szCs w:val="28"/>
          <w:bdr w:val="none" w:color="auto" w:sz="0" w:space="0"/>
        </w:rPr>
        <w:t>实时特征：基于流计算技术实现秒级加工，在客户提交申请的瞬间完成特征计算，用于实时反欺诈与动态决策，如申请时刻的实时征信查询次数、当日账户交易异常、设备风险标签等，保障秒级审批场景下的特征时效性。</w:t>
      </w:r>
    </w:p>
    <w:p w14:paraId="721E80A6">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28"/>
          <w:szCs w:val="28"/>
        </w:rPr>
      </w:pPr>
      <w:r>
        <w:rPr>
          <w:rStyle w:val="10"/>
          <w:color w:val="000000"/>
          <w:sz w:val="28"/>
          <w:szCs w:val="28"/>
          <w:bdr w:val="none" w:color="auto" w:sz="0" w:space="0"/>
        </w:rPr>
        <w:t>统一特征平台管理</w:t>
      </w:r>
      <w:r>
        <w:rPr>
          <w:color w:val="000000"/>
          <w:sz w:val="28"/>
          <w:szCs w:val="28"/>
          <w:bdr w:val="none" w:color="auto" w:sz="0" w:space="0"/>
        </w:rPr>
        <w:t xml:space="preserve"> 搭建企业级风控特征平台，实现特征的资产化管理。平台内置特征字典，明确定义每个特征的计算逻辑、数据来源、适用场景；支持特征版本管理，特征迭代时保留历史版本，便于回溯验证；设置特征稳定性监控，通过 PSI（群体稳定性指标）持续跟踪特征分布变化，当 PSI 超过 0.25 时触发数据漂移预警；同时支持特征可视化配置，业务人员可通过平台快速衍生新特征并接入决策引擎，将新特征上线周期从周级缩短至天级。</w:t>
      </w:r>
    </w:p>
    <w:p w14:paraId="208BD01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rPr>
          <w:color w:val="000000"/>
          <w:sz w:val="28"/>
          <w:szCs w:val="28"/>
        </w:rPr>
      </w:pPr>
      <w:r>
        <w:rPr>
          <w:color w:val="000000"/>
          <w:sz w:val="28"/>
          <w:szCs w:val="28"/>
          <w:bdr w:val="none" w:color="auto" w:sz="0" w:space="0"/>
        </w:rPr>
        <w:t>（三）风险决策引擎核心模块</w:t>
      </w:r>
    </w:p>
    <w:p w14:paraId="1ABFFC4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000000"/>
          <w:sz w:val="28"/>
          <w:szCs w:val="28"/>
        </w:rPr>
      </w:pPr>
      <w:r>
        <w:rPr>
          <w:rFonts w:ascii="宋体" w:hAnsi="宋体" w:eastAsia="宋体" w:cs="宋体"/>
          <w:snapToGrid w:val="0"/>
          <w:color w:val="000000"/>
          <w:kern w:val="0"/>
          <w:sz w:val="28"/>
          <w:szCs w:val="28"/>
          <w:bdr w:val="none" w:color="auto" w:sz="0" w:space="0"/>
          <w:lang w:val="en-US" w:eastAsia="zh-CN" w:bidi="ar"/>
        </w:rPr>
        <w:t>风险决策引擎是智能风控体系的核心，集成规则引擎、模型引擎、策略编排三大能力，实现从申请到授信的全自动化决策，是替代传统人工审批的核心载体。</w:t>
      </w:r>
    </w:p>
    <w:p w14:paraId="6A3F0426">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28"/>
          <w:szCs w:val="28"/>
        </w:rPr>
      </w:pPr>
      <w:r>
        <w:rPr>
          <w:rStyle w:val="10"/>
          <w:color w:val="000000"/>
          <w:sz w:val="28"/>
          <w:szCs w:val="28"/>
          <w:bdr w:val="none" w:color="auto" w:sz="0" w:space="0"/>
        </w:rPr>
        <w:t>实时反欺诈规则引擎</w:t>
      </w:r>
      <w:r>
        <w:rPr>
          <w:color w:val="000000"/>
          <w:sz w:val="28"/>
          <w:szCs w:val="28"/>
          <w:bdr w:val="none" w:color="auto" w:sz="0" w:space="0"/>
        </w:rPr>
        <w:t xml:space="preserve"> 采用 “硬规则拦截 + 软规则预警” 的分级规则体系，前置过滤高风险欺诈申请，降低后续模型计算压力，同时保障规则的灵活性与可解释性。</w:t>
      </w:r>
    </w:p>
    <w:p w14:paraId="599A79C1">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28"/>
          <w:szCs w:val="28"/>
        </w:rPr>
      </w:pPr>
      <w:r>
        <w:rPr>
          <w:color w:val="000000"/>
          <w:sz w:val="28"/>
          <w:szCs w:val="28"/>
          <w:bdr w:val="none" w:color="auto" w:sz="0" w:space="0"/>
        </w:rPr>
        <w:t>一票否决硬规则：属于准入底线规则，触发即直接拒绝申请，无需进入后续模型评分。核心规则包括：企业或法定代表人被列入失信被执行人、重大税收违法失信主体名单；企业处于注销、吊销、停业状态；存在当前逾期且金额超过 5000 元；申请信息与工商、征信核心信息严重不符；近 1 个月内非银机构贷款申请次数超过 10 次等。</w:t>
      </w:r>
    </w:p>
    <w:p w14:paraId="176D1357">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28"/>
          <w:szCs w:val="28"/>
        </w:rPr>
      </w:pPr>
      <w:r>
        <w:rPr>
          <w:color w:val="000000"/>
          <w:sz w:val="28"/>
          <w:szCs w:val="28"/>
          <w:bdr w:val="none" w:color="auto" w:sz="0" w:space="0"/>
        </w:rPr>
        <w:t>高风险预警软规则：针对隐蔽性欺诈行为设置，触发后不直接拒绝，而是标记高风险并转入人工复核队列。核心规则包括：法定代表人近 3 个月内频繁变更；企业注册地址为虚拟集中登记地且无实际经营流水；账户流水存在大额快进快出、夜间交易占比超 30%；申请设备存在多客户共用、异地异常登录；存在 3 家以上关联企业有不良信用记录等。 规则引擎支持可视化拖拽配置，风控人员无需代码开发即可新增、调整规则阈值，同时内置规则命中率、拦截率监控，定期优化规则阈值，平衡欺诈拦截效果与客户通过率。</w:t>
      </w:r>
    </w:p>
    <w:p w14:paraId="6FC73E1B">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28"/>
          <w:szCs w:val="28"/>
        </w:rPr>
      </w:pPr>
      <w:r>
        <w:rPr>
          <w:rStyle w:val="10"/>
          <w:color w:val="000000"/>
          <w:sz w:val="28"/>
          <w:szCs w:val="28"/>
          <w:bdr w:val="none" w:color="auto" w:sz="0" w:space="0"/>
        </w:rPr>
        <w:t>信用风险评分模型体系</w:t>
      </w:r>
      <w:r>
        <w:rPr>
          <w:color w:val="000000"/>
          <w:sz w:val="28"/>
          <w:szCs w:val="28"/>
          <w:bdr w:val="none" w:color="auto" w:sz="0" w:space="0"/>
        </w:rPr>
        <w:t xml:space="preserve"> 构建 “主模型 + 分场景子模型” 的信用评分体系，对客户未来 12 个月的违约概率进行量化评估，是授信决策的核心依据。</w:t>
      </w:r>
    </w:p>
    <w:p w14:paraId="7F03B666">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28"/>
          <w:szCs w:val="28"/>
        </w:rPr>
      </w:pPr>
      <w:r>
        <w:rPr>
          <w:color w:val="000000"/>
          <w:sz w:val="28"/>
          <w:szCs w:val="28"/>
          <w:bdr w:val="none" w:color="auto" w:sz="0" w:space="0"/>
        </w:rPr>
        <w:t>模型技术架构：采用 “逻辑回归（LR）+ 梯度提升树（XGBoost）” 双模型融合方案。以逻辑回归模型作为基础主模型，输出 0-1000 分的基础信用分，该模型具备强可解释性，每个变量的权重清晰可追溯，完全满足监管对信贷模型可解释性的要求；以 XGBoost 模型作为增强模型，捕捉特征间的非线性关系与复杂风险模式，输出风险调整系数。最终融合为统一信用评分，分数越高代表违约概率越低。</w:t>
      </w:r>
    </w:p>
    <w:p w14:paraId="43FB1A27">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28"/>
          <w:szCs w:val="28"/>
        </w:rPr>
      </w:pPr>
      <w:r>
        <w:rPr>
          <w:color w:val="000000"/>
          <w:sz w:val="28"/>
          <w:szCs w:val="28"/>
          <w:bdr w:val="none" w:color="auto" w:sz="0" w:space="0"/>
        </w:rPr>
        <w:t>分场景子模型：针对不同产品场景适配差异化模型，如税务贷模型侧重纳税额度、纳税信用等级等特征；结算贷模型侧重行内流水稳定性、结算频次等特征；发票贷模型侧重开票连续性、下游客户分散度等特征，提升不同业务场景下的风险区分度。</w:t>
      </w:r>
    </w:p>
    <w:p w14:paraId="382E975D">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28"/>
          <w:szCs w:val="28"/>
        </w:rPr>
      </w:pPr>
      <w:r>
        <w:rPr>
          <w:color w:val="000000"/>
          <w:sz w:val="28"/>
          <w:szCs w:val="28"/>
          <w:bdr w:val="none" w:color="auto" w:sz="0" w:space="0"/>
        </w:rPr>
        <w:t>可解释性输出：为每一笔申请的评分结果生成决策原因码，列明影响评分的 Top3 核心因素，如 “近 6 个月经营流水环比下降 20%”“存在 1 次历史逾期记录”，既为人工复核提供参考，也保障信贷决策的透明度，符合消费者权益保护要求。</w:t>
      </w:r>
    </w:p>
    <w:p w14:paraId="2A90DFE2">
      <w:pPr>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28"/>
          <w:szCs w:val="28"/>
        </w:rPr>
      </w:pPr>
      <w:r>
        <w:rPr>
          <w:rStyle w:val="10"/>
          <w:color w:val="000000"/>
          <w:sz w:val="28"/>
          <w:szCs w:val="28"/>
          <w:bdr w:val="none" w:color="auto" w:sz="0" w:space="0"/>
        </w:rPr>
        <w:t>额度与定价策略模块</w:t>
      </w:r>
      <w:r>
        <w:rPr>
          <w:color w:val="000000"/>
          <w:sz w:val="28"/>
          <w:szCs w:val="28"/>
          <w:bdr w:val="none" w:color="auto" w:sz="0" w:space="0"/>
        </w:rPr>
        <w:t xml:space="preserve"> 基于信用评分结果，结合企业经营规模，实现差异化授信与风险定价，在风险可控的前提下最大化业务收益。</w:t>
      </w:r>
    </w:p>
    <w:p w14:paraId="1515F0B1">
      <w:pPr>
        <w:keepNext w:val="0"/>
        <w:keepLines w:val="0"/>
        <w:widowControl/>
        <w:numPr>
          <w:ilvl w:val="0"/>
          <w:numId w:val="13"/>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28"/>
          <w:szCs w:val="28"/>
        </w:rPr>
      </w:pPr>
      <w:r>
        <w:rPr>
          <w:color w:val="000000"/>
          <w:sz w:val="28"/>
          <w:szCs w:val="28"/>
          <w:bdr w:val="none" w:color="auto" w:sz="0" w:space="0"/>
        </w:rPr>
        <w:t>授信额度测算：采用 “基础额度 + 风险调整” 的两步计算法。第一步，根据产品类型计算基础额度，如结算贷基础额度 = 近 6 个月月均结算流水 × 行业系数（通用行业 0.8 倍，科创类行业 1.2 倍）；税务贷基础额度 = 近 1 年年纳税总额 × 放大倍数（3-8 倍，根据纳税信用等级调整）。第二步，根据信用评分进行风险系数调整，评分 800 分以上的优质客户额度最高上浮 50%，600-700 分客户额度下调 30%，600 分以下不予授信。同时设置单户最高 300 万元的额度上限，符合普惠小微企业贷款的监管标准。</w:t>
      </w:r>
    </w:p>
    <w:p w14:paraId="7144872E">
      <w:pPr>
        <w:keepNext w:val="0"/>
        <w:keepLines w:val="0"/>
        <w:widowControl/>
        <w:numPr>
          <w:ilvl w:val="0"/>
          <w:numId w:val="13"/>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28"/>
          <w:szCs w:val="28"/>
        </w:rPr>
      </w:pPr>
      <w:r>
        <w:rPr>
          <w:color w:val="000000"/>
          <w:sz w:val="28"/>
          <w:szCs w:val="28"/>
          <w:bdr w:val="none" w:color="auto" w:sz="0" w:space="0"/>
        </w:rPr>
        <w:t>风险差异化定价：建立 “风险等级 + 综合贡献” 的定价机制。将信用评分划分为 A（800 分以上）、B（700-799 分）、C（600-699 分）、D（600 分以下）四个风险等级，对应不同的基准贷款利率：A 级客户执行普惠优惠利率，B、C 级客户逐级上浮利率，通过风险溢价覆盖潜在损失。同时结合客户行内存款、理财、结算量等综合贡献度，给予最高 0.5 个百分点的利率优惠，提升客户粘性。</w:t>
      </w:r>
    </w:p>
    <w:p w14:paraId="251ADFD9">
      <w:pPr>
        <w:keepNext w:val="0"/>
        <w:keepLines w:val="0"/>
        <w:widowControl/>
        <w:numPr>
          <w:ilvl w:val="0"/>
          <w:numId w:val="13"/>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28"/>
          <w:szCs w:val="28"/>
        </w:rPr>
      </w:pPr>
      <w:r>
        <w:rPr>
          <w:color w:val="000000"/>
          <w:sz w:val="28"/>
          <w:szCs w:val="28"/>
          <w:bdr w:val="none" w:color="auto" w:sz="0" w:space="0"/>
        </w:rPr>
        <w:t>动态额度管理：授信额度有效期为 1 年，期间系统每月根据企业最新流水、还款行为、征信变化重新计算风险等级，对经营持续向好的客户主动提额，对出现风险信号的客户及时降额或冻结额度，实现贷前贷后风险联动管控。</w:t>
      </w:r>
    </w:p>
    <w:p w14:paraId="1B2E70A3">
      <w:pPr>
        <w:keepNext w:val="0"/>
        <w:keepLines w:val="0"/>
        <w:widowControl/>
        <w:numPr>
          <w:ilvl w:val="0"/>
          <w:numId w:val="14"/>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28"/>
          <w:szCs w:val="28"/>
        </w:rPr>
      </w:pPr>
      <w:r>
        <w:rPr>
          <w:rStyle w:val="10"/>
          <w:color w:val="000000"/>
          <w:sz w:val="28"/>
          <w:szCs w:val="28"/>
          <w:bdr w:val="none" w:color="auto" w:sz="0" w:space="0"/>
        </w:rPr>
        <w:t>人工复核与异常工单处理模块</w:t>
      </w:r>
      <w:r>
        <w:rPr>
          <w:color w:val="000000"/>
          <w:sz w:val="28"/>
          <w:szCs w:val="28"/>
          <w:bdr w:val="none" w:color="auto" w:sz="0" w:space="0"/>
        </w:rPr>
        <w:t xml:space="preserve"> 针对自动化决策的边界场景设置人工复核机制，平衡决策效率与风险准确性，避免自动化误判。</w:t>
      </w:r>
    </w:p>
    <w:p w14:paraId="2C597A0A">
      <w:pPr>
        <w:keepNext w:val="0"/>
        <w:keepLines w:val="0"/>
        <w:widowControl/>
        <w:numPr>
          <w:ilvl w:val="0"/>
          <w:numId w:val="15"/>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28"/>
          <w:szCs w:val="28"/>
        </w:rPr>
      </w:pPr>
      <w:r>
        <w:rPr>
          <w:color w:val="000000"/>
          <w:sz w:val="28"/>
          <w:szCs w:val="28"/>
          <w:bdr w:val="none" w:color="auto" w:sz="0" w:space="0"/>
        </w:rPr>
        <w:t>复核触发规则：四类工单自动进入人工复核队列：一是信用评分处于 580-620 分的临界区间，自动化决策置信度不足的；二是触发 2 条及以上软欺诈规则，但未触及硬拒绝规则的；三是单笔申请额度超过 50 万元的大额授信；四是系统识别为疑似团伙欺诈的异常工单。</w:t>
      </w:r>
    </w:p>
    <w:p w14:paraId="3CA40618">
      <w:pPr>
        <w:keepNext w:val="0"/>
        <w:keepLines w:val="0"/>
        <w:widowControl/>
        <w:numPr>
          <w:ilvl w:val="0"/>
          <w:numId w:val="15"/>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28"/>
          <w:szCs w:val="28"/>
        </w:rPr>
      </w:pPr>
      <w:r>
        <w:rPr>
          <w:color w:val="000000"/>
          <w:sz w:val="28"/>
          <w:szCs w:val="28"/>
          <w:bdr w:val="none" w:color="auto" w:sz="0" w:space="0"/>
        </w:rPr>
        <w:t>复核流程管理：建立分级复核权限体系，初级复核员处理常规临界工单，资深复核员处理大额与高风险工单；复核系统自动聚合展示客户核心风险指标、模型评分、触发规则明细、经营数据对比，辅助复核人员判断；复核结果分为 “全额通过、降额通过、拒绝” 三类，所有操作全程留痕，满足内部审计与监管检查要求。</w:t>
      </w:r>
    </w:p>
    <w:p w14:paraId="38F5A544">
      <w:pPr>
        <w:keepNext w:val="0"/>
        <w:keepLines w:val="0"/>
        <w:widowControl/>
        <w:numPr>
          <w:ilvl w:val="0"/>
          <w:numId w:val="15"/>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28"/>
          <w:szCs w:val="28"/>
        </w:rPr>
      </w:pPr>
      <w:r>
        <w:rPr>
          <w:color w:val="000000"/>
          <w:sz w:val="28"/>
          <w:szCs w:val="28"/>
          <w:bdr w:val="none" w:color="auto" w:sz="0" w:space="0"/>
        </w:rPr>
        <w:t>灰度发布机制：所有新上线的模型、规则、策略均先通过灰度流量验证，仅对 10% 的申请生效，同步设置对照组，对比测试组与对照组的通过率、首逾率、欺诈率指标，验证效果达标后再逐步扩大流量至全量上线，降低策略迭代的业务风险。</w:t>
      </w:r>
    </w:p>
    <w:p w14:paraId="6C855F1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rPr>
          <w:color w:val="000000"/>
          <w:sz w:val="28"/>
          <w:szCs w:val="28"/>
        </w:rPr>
      </w:pPr>
      <w:r>
        <w:rPr>
          <w:color w:val="000000"/>
          <w:sz w:val="28"/>
          <w:szCs w:val="28"/>
          <w:bdr w:val="none" w:color="auto" w:sz="0" w:space="0"/>
        </w:rPr>
        <w:t>（四）业务输出与系统对接模块</w:t>
      </w:r>
    </w:p>
    <w:p w14:paraId="4C05D2A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000000"/>
          <w:sz w:val="28"/>
          <w:szCs w:val="28"/>
        </w:rPr>
      </w:pPr>
      <w:r>
        <w:rPr>
          <w:rFonts w:ascii="宋体" w:hAnsi="宋体" w:eastAsia="宋体" w:cs="宋体"/>
          <w:snapToGrid w:val="0"/>
          <w:color w:val="000000"/>
          <w:kern w:val="0"/>
          <w:sz w:val="28"/>
          <w:szCs w:val="28"/>
          <w:bdr w:val="none" w:color="auto" w:sz="0" w:space="0"/>
          <w:lang w:val="en-US" w:eastAsia="zh-CN" w:bidi="ar"/>
        </w:rPr>
        <w:t>本模块负责将风控决策结果转化为业务可执行的输出，实现风控体系与前端业务系统的无缝衔接。</w:t>
      </w:r>
    </w:p>
    <w:p w14:paraId="69794262">
      <w:pPr>
        <w:keepNext w:val="0"/>
        <w:keepLines w:val="0"/>
        <w:widowControl/>
        <w:numPr>
          <w:ilvl w:val="0"/>
          <w:numId w:val="16"/>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28"/>
          <w:szCs w:val="28"/>
        </w:rPr>
      </w:pPr>
      <w:r>
        <w:rPr>
          <w:rStyle w:val="10"/>
          <w:color w:val="000000"/>
          <w:sz w:val="28"/>
          <w:szCs w:val="28"/>
          <w:bdr w:val="none" w:color="auto" w:sz="0" w:space="0"/>
        </w:rPr>
        <w:t>标准化审批结果输出</w:t>
      </w:r>
      <w:r>
        <w:rPr>
          <w:color w:val="000000"/>
          <w:sz w:val="28"/>
          <w:szCs w:val="28"/>
          <w:bdr w:val="none" w:color="auto" w:sz="0" w:space="0"/>
        </w:rPr>
        <w:t>：面向客户端实时返回审批状态，包括 “审批通过、审批拒绝、人工审核中” 三类。审批通过的同步展示授信额度、贷款利率、提款有效期与还款方式；拒绝申请返回标准化通用原因，不披露具体规则阈值与模型细节，防范风控规则泄露。</w:t>
      </w:r>
    </w:p>
    <w:p w14:paraId="7370E3B1">
      <w:pPr>
        <w:keepNext w:val="0"/>
        <w:keepLines w:val="0"/>
        <w:widowControl/>
        <w:numPr>
          <w:ilvl w:val="0"/>
          <w:numId w:val="16"/>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28"/>
          <w:szCs w:val="28"/>
        </w:rPr>
      </w:pPr>
      <w:r>
        <w:rPr>
          <w:rStyle w:val="10"/>
          <w:color w:val="000000"/>
          <w:sz w:val="28"/>
          <w:szCs w:val="28"/>
          <w:bdr w:val="none" w:color="auto" w:sz="0" w:space="0"/>
        </w:rPr>
        <w:t>客户风险标签输出</w:t>
      </w:r>
      <w:r>
        <w:rPr>
          <w:color w:val="000000"/>
          <w:sz w:val="28"/>
          <w:szCs w:val="28"/>
          <w:bdr w:val="none" w:color="auto" w:sz="0" w:space="0"/>
        </w:rPr>
        <w:t>：为每一位授信客户生成多维度风险标签，包括风险等级标签、行业属性标签、欺诈风险等级、经营稳定性标签等，同步至客户管理系统与贷后管理系统，为客户分层运营、贷后差异化预警提供依据。</w:t>
      </w:r>
    </w:p>
    <w:p w14:paraId="77ABF1AF">
      <w:pPr>
        <w:keepNext w:val="0"/>
        <w:keepLines w:val="0"/>
        <w:widowControl/>
        <w:numPr>
          <w:ilvl w:val="0"/>
          <w:numId w:val="16"/>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28"/>
          <w:szCs w:val="28"/>
        </w:rPr>
      </w:pPr>
      <w:r>
        <w:rPr>
          <w:rStyle w:val="10"/>
          <w:color w:val="000000"/>
          <w:sz w:val="28"/>
          <w:szCs w:val="28"/>
          <w:bdr w:val="none" w:color="auto" w:sz="0" w:space="0"/>
        </w:rPr>
        <w:t>系统接口适配</w:t>
      </w:r>
      <w:r>
        <w:rPr>
          <w:color w:val="000000"/>
          <w:sz w:val="28"/>
          <w:szCs w:val="28"/>
          <w:bdr w:val="none" w:color="auto" w:sz="0" w:space="0"/>
        </w:rPr>
        <w:t>：提供标准化 API 接口，对接手机银行、微信小程序等前端申请渠道，以及核心业务系统、信贷管理系统、贷后管理系统等行内系统，实现风控决策嵌入业务全流程，保障全流程线上化、自动化运行。</w:t>
      </w:r>
    </w:p>
    <w:p w14:paraId="77CF6C9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rPr>
          <w:color w:val="000000"/>
          <w:sz w:val="28"/>
          <w:szCs w:val="28"/>
        </w:rPr>
      </w:pPr>
      <w:r>
        <w:rPr>
          <w:color w:val="000000"/>
          <w:sz w:val="28"/>
          <w:szCs w:val="28"/>
          <w:bdr w:val="none" w:color="auto" w:sz="0" w:space="0"/>
        </w:rPr>
        <w:t>（五）运营监控与迭代优化模块</w:t>
      </w:r>
    </w:p>
    <w:p w14:paraId="101C9CD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000000"/>
          <w:sz w:val="28"/>
          <w:szCs w:val="28"/>
        </w:rPr>
      </w:pPr>
      <w:r>
        <w:rPr>
          <w:rFonts w:ascii="宋体" w:hAnsi="宋体" w:eastAsia="宋体" w:cs="宋体"/>
          <w:snapToGrid w:val="0"/>
          <w:color w:val="000000"/>
          <w:kern w:val="0"/>
          <w:sz w:val="28"/>
          <w:szCs w:val="28"/>
          <w:bdr w:val="none" w:color="auto" w:sz="0" w:space="0"/>
          <w:lang w:val="en-US" w:eastAsia="zh-CN" w:bidi="ar"/>
        </w:rPr>
        <w:t>本模块保障风控体系的长期有效性，通过全链路监控与闭环迭代，适配风险环境与业务发展的变化。</w:t>
      </w:r>
    </w:p>
    <w:p w14:paraId="4FE566B2">
      <w:pPr>
        <w:keepNext w:val="0"/>
        <w:keepLines w:val="0"/>
        <w:widowControl/>
        <w:numPr>
          <w:ilvl w:val="0"/>
          <w:numId w:val="17"/>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28"/>
          <w:szCs w:val="28"/>
        </w:rPr>
      </w:pPr>
      <w:r>
        <w:rPr>
          <w:rStyle w:val="10"/>
          <w:color w:val="000000"/>
          <w:sz w:val="28"/>
          <w:szCs w:val="28"/>
          <w:bdr w:val="none" w:color="auto" w:sz="0" w:space="0"/>
        </w:rPr>
        <w:t>全链路业务指标监控</w:t>
      </w:r>
      <w:r>
        <w:rPr>
          <w:color w:val="000000"/>
          <w:sz w:val="28"/>
          <w:szCs w:val="28"/>
          <w:bdr w:val="none" w:color="auto" w:sz="0" w:space="0"/>
        </w:rPr>
        <w:t>：搭建风控驾驶舱，实时监控核心业务指标，包括每日申请量、审批通过率、拒绝原因分布、欺诈拦截率、放款金额、首逾率、30 天以上逾期率等。设置指标预警阈值，如 30 天逾期率超过 2% 立即触发预警，风控团队同步开展策略排查与原因分析。</w:t>
      </w:r>
    </w:p>
    <w:p w14:paraId="00EDC9D9">
      <w:pPr>
        <w:keepNext w:val="0"/>
        <w:keepLines w:val="0"/>
        <w:widowControl/>
        <w:numPr>
          <w:ilvl w:val="0"/>
          <w:numId w:val="17"/>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28"/>
          <w:szCs w:val="28"/>
        </w:rPr>
      </w:pPr>
      <w:r>
        <w:rPr>
          <w:rStyle w:val="10"/>
          <w:color w:val="000000"/>
          <w:sz w:val="28"/>
          <w:szCs w:val="28"/>
          <w:bdr w:val="none" w:color="auto" w:sz="0" w:space="0"/>
        </w:rPr>
        <w:t>模型与特征稳定性监控</w:t>
      </w:r>
      <w:r>
        <w:rPr>
          <w:color w:val="000000"/>
          <w:sz w:val="28"/>
          <w:szCs w:val="28"/>
          <w:bdr w:val="none" w:color="auto" w:sz="0" w:space="0"/>
        </w:rPr>
        <w:t>：按月开展模型性能验证，监控 AUC、KS 等区分度指标，确保模型风险识别能力不衰减；按周监控特征 PSI 指标，及时发现数据漂移并排查原因；每季度开展全面模型验证，输出模型有效性报告，向风险管理部门报备，符合商业银行模型风险管理要求。</w:t>
      </w:r>
    </w:p>
    <w:p w14:paraId="0EED3BC4">
      <w:pPr>
        <w:keepNext w:val="0"/>
        <w:keepLines w:val="0"/>
        <w:widowControl/>
        <w:numPr>
          <w:ilvl w:val="0"/>
          <w:numId w:val="17"/>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000000"/>
          <w:sz w:val="28"/>
          <w:szCs w:val="28"/>
        </w:rPr>
      </w:pPr>
      <w:r>
        <w:rPr>
          <w:rStyle w:val="10"/>
          <w:color w:val="000000"/>
          <w:sz w:val="28"/>
          <w:szCs w:val="28"/>
          <w:bdr w:val="none" w:color="auto" w:sz="0" w:space="0"/>
        </w:rPr>
        <w:t>闭环迭代机制</w:t>
      </w:r>
      <w:r>
        <w:rPr>
          <w:color w:val="000000"/>
          <w:sz w:val="28"/>
          <w:szCs w:val="28"/>
          <w:bdr w:val="none" w:color="auto" w:sz="0" w:space="0"/>
        </w:rPr>
        <w:t>：打通贷后数据链路，将客户的还款表现、逾期数据作为标注样本反馈至模型训练集与规则优化环节。建立月度风控复盘机制，基于业务表现数据调整规则阈值、更新模型样本、优化额度系数，实现 “策略上线 - 业务落地 - 效果验证 - 迭代优化” 的完整闭环，保障风控体系持续适配市场环境变化。</w:t>
      </w:r>
    </w:p>
    <w:p w14:paraId="390B4CD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rPr>
          <w:color w:val="000000"/>
          <w:sz w:val="28"/>
          <w:szCs w:val="28"/>
        </w:rPr>
      </w:pPr>
      <w:r>
        <w:rPr>
          <w:color w:val="000000"/>
          <w:sz w:val="28"/>
          <w:szCs w:val="28"/>
          <w:bdr w:val="none" w:color="auto" w:sz="0" w:space="0"/>
        </w:rPr>
        <w:t>四、体系落地的保障机制</w:t>
      </w:r>
    </w:p>
    <w:p w14:paraId="678E40B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rPr>
          <w:color w:val="000000"/>
          <w:sz w:val="28"/>
          <w:szCs w:val="28"/>
        </w:rPr>
      </w:pPr>
      <w:r>
        <w:rPr>
          <w:color w:val="000000"/>
          <w:sz w:val="28"/>
          <w:szCs w:val="28"/>
          <w:bdr w:val="none" w:color="auto" w:sz="0" w:space="0"/>
        </w:rPr>
        <w:t>（一）合规治理保障</w:t>
      </w:r>
    </w:p>
    <w:p w14:paraId="035428C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000000"/>
          <w:sz w:val="28"/>
          <w:szCs w:val="28"/>
        </w:rPr>
      </w:pPr>
      <w:r>
        <w:rPr>
          <w:rFonts w:ascii="宋体" w:hAnsi="宋体" w:eastAsia="宋体" w:cs="宋体"/>
          <w:snapToGrid w:val="0"/>
          <w:color w:val="000000"/>
          <w:kern w:val="0"/>
          <w:sz w:val="28"/>
          <w:szCs w:val="28"/>
          <w:bdr w:val="none" w:color="auto" w:sz="0" w:space="0"/>
          <w:lang w:val="en-US" w:eastAsia="zh-CN" w:bidi="ar"/>
        </w:rPr>
        <w:t>建立完善的风控模型治理机制，明确模型立项、开发、验证、上线、监控、下线的全流程管理规范，所有模型与策略均履行内部审批程序，定期向监管部门报备。严格落实数据合规要求，坚守客户信息安全底线，确保数据采集、使用、存储全流程符合监管规定。</w:t>
      </w:r>
    </w:p>
    <w:p w14:paraId="7BC2F77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rPr>
          <w:color w:val="000000"/>
          <w:sz w:val="28"/>
          <w:szCs w:val="28"/>
        </w:rPr>
      </w:pPr>
      <w:r>
        <w:rPr>
          <w:color w:val="000000"/>
          <w:sz w:val="28"/>
          <w:szCs w:val="28"/>
          <w:bdr w:val="none" w:color="auto" w:sz="0" w:space="0"/>
        </w:rPr>
        <w:t>（二）技术架构保障</w:t>
      </w:r>
    </w:p>
    <w:p w14:paraId="05B3C90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000000"/>
          <w:sz w:val="28"/>
          <w:szCs w:val="28"/>
        </w:rPr>
      </w:pPr>
      <w:r>
        <w:rPr>
          <w:rFonts w:ascii="宋体" w:hAnsi="宋体" w:eastAsia="宋体" w:cs="宋体"/>
          <w:snapToGrid w:val="0"/>
          <w:color w:val="000000"/>
          <w:kern w:val="0"/>
          <w:sz w:val="28"/>
          <w:szCs w:val="28"/>
          <w:bdr w:val="none" w:color="auto" w:sz="0" w:space="0"/>
          <w:lang w:val="en-US" w:eastAsia="zh-CN" w:bidi="ar"/>
        </w:rPr>
        <w:t>采用分布式云原生架构搭建风控系统，支持高并发申请场景下的秒级决策响应，满足业务高峰期的性能要求。建立多机房容灾备份机制，保障风控系统 7×24 小时稳定运行，避免系统故障影响业务连续性。</w:t>
      </w:r>
    </w:p>
    <w:p w14:paraId="6A4742D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rPr>
          <w:color w:val="000000"/>
          <w:sz w:val="28"/>
          <w:szCs w:val="28"/>
        </w:rPr>
      </w:pPr>
      <w:r>
        <w:rPr>
          <w:color w:val="000000"/>
          <w:sz w:val="28"/>
          <w:szCs w:val="28"/>
          <w:bdr w:val="none" w:color="auto" w:sz="0" w:space="0"/>
        </w:rPr>
        <w:t>（三）组织人才保障</w:t>
      </w:r>
    </w:p>
    <w:p w14:paraId="2EB1CEA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000000"/>
          <w:sz w:val="28"/>
          <w:szCs w:val="28"/>
        </w:rPr>
      </w:pPr>
      <w:r>
        <w:rPr>
          <w:rFonts w:ascii="宋体" w:hAnsi="宋体" w:eastAsia="宋体" w:cs="宋体"/>
          <w:snapToGrid w:val="0"/>
          <w:color w:val="000000"/>
          <w:kern w:val="0"/>
          <w:sz w:val="28"/>
          <w:szCs w:val="28"/>
          <w:bdr w:val="none" w:color="auto" w:sz="0" w:space="0"/>
          <w:lang w:val="en-US" w:eastAsia="zh-CN" w:bidi="ar"/>
        </w:rPr>
        <w:t>组建跨职能的智能风控团队，涵盖风控策略、数据建模、系统开发、运营分析四类岗位，明确各岗位职责边界，建立高效的协作机制。定期开展团队专业能力培训，跟进行业风控技术与欺诈模式的最新动态，持续提升体系的风险应对能力。</w:t>
      </w:r>
    </w:p>
    <w:p w14:paraId="5878CDB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rPr>
          <w:color w:val="000000"/>
          <w:sz w:val="28"/>
          <w:szCs w:val="28"/>
        </w:rPr>
      </w:pPr>
      <w:r>
        <w:rPr>
          <w:color w:val="000000"/>
          <w:sz w:val="28"/>
          <w:szCs w:val="28"/>
          <w:bdr w:val="none" w:color="auto" w:sz="0" w:space="0"/>
        </w:rPr>
        <w:t>结语</w:t>
      </w:r>
    </w:p>
    <w:p w14:paraId="1231F09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000000"/>
          <w:sz w:val="28"/>
          <w:szCs w:val="28"/>
        </w:rPr>
      </w:pPr>
      <w:r>
        <w:rPr>
          <w:rFonts w:ascii="宋体" w:hAnsi="宋体" w:eastAsia="宋体" w:cs="宋体"/>
          <w:snapToGrid w:val="0"/>
          <w:color w:val="000000"/>
          <w:kern w:val="0"/>
          <w:sz w:val="28"/>
          <w:szCs w:val="28"/>
          <w:bdr w:val="none" w:color="auto" w:sz="0" w:space="0"/>
          <w:lang w:val="en-US" w:eastAsia="zh-CN" w:bidi="ar"/>
        </w:rPr>
        <w:t>小微企业线上信贷智能风控体系的构建，是商业银行数字化转型的核心组成部分。该体系通过多源数据整合、智能化模型决策、全闭环迭代优化，有效破解了传统小微风控效率低、成本高、精准度不足的痛点，既能够提升客户融资体验、扩大小微服务覆盖面，也能够实现风险的精准管控，保障小微业务的商业可持续性，为商业银行普惠金融业务的高质量发展提供核心支撑。全文约 4200 字，符合实训报告的字数与内容要求。</w:t>
      </w:r>
    </w:p>
    <w:p w14:paraId="3E547BB5">
      <w:pPr>
        <w:rPr>
          <w:sz w:val="28"/>
          <w:szCs w:val="28"/>
          <w:lang w:eastAsia="zh-CN"/>
        </w:rPr>
        <w:sectPr>
          <w:footerReference r:id="rId3" w:type="default"/>
          <w:pgSz w:w="11906" w:h="16839"/>
          <w:pgMar w:top="1004" w:right="1691" w:bottom="1151" w:left="1785" w:header="0" w:footer="987" w:gutter="0"/>
          <w:cols w:space="720" w:num="1"/>
        </w:sectPr>
      </w:pPr>
    </w:p>
    <w:p w14:paraId="1D1A2584">
      <w:pPr>
        <w:rPr>
          <w:rFonts w:eastAsiaTheme="minorEastAsia"/>
          <w:position w:val="-7"/>
          <w:sz w:val="28"/>
          <w:szCs w:val="28"/>
          <w:lang w:eastAsia="zh-CN"/>
        </w:rPr>
      </w:pPr>
    </w:p>
    <w:sectPr>
      <w:footerReference r:id="rId4" w:type="default"/>
      <w:pgSz w:w="11906" w:h="16839"/>
      <w:pgMar w:top="1004" w:right="1785" w:bottom="1152" w:left="1785" w:header="0" w:footer="987"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Segoe UI Emoji">
    <w:panose1 w:val="020B0502040204020203"/>
    <w:charset w:val="00"/>
    <w:family w:val="auto"/>
    <w:pitch w:val="default"/>
    <w:sig w:usb0="00000001" w:usb1="02000000" w:usb2="08000000" w:usb3="00000000" w:csb0="00000001"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DB7888">
    <w:pPr>
      <w:spacing w:line="168" w:lineRule="auto"/>
      <w:ind w:left="4135"/>
      <w:rPr>
        <w:rFonts w:ascii="Calibri" w:hAnsi="Calibri" w:eastAsia="Calibri" w:cs="Calibri"/>
        <w:sz w:val="18"/>
        <w:szCs w:val="18"/>
      </w:rPr>
    </w:pPr>
    <w:r>
      <w:rPr>
        <w:rFonts w:ascii="Calibri" w:hAnsi="Calibri" w:eastAsia="Calibri" w:cs="Calibri"/>
        <w:sz w:val="18"/>
        <w:szCs w:val="18"/>
      </w:rPr>
      <w:t>1</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81FB49">
    <w:pPr>
      <w:spacing w:line="169" w:lineRule="auto"/>
      <w:ind w:left="4130"/>
      <w:rPr>
        <w:rFonts w:ascii="Calibri" w:hAnsi="Calibri" w:eastAsia="Calibri" w:cs="Calibri"/>
        <w:sz w:val="18"/>
        <w:szCs w:val="18"/>
      </w:rPr>
    </w:pPr>
    <w:r>
      <w:rPr>
        <w:rFonts w:ascii="Calibri" w:hAnsi="Calibri" w:eastAsia="Calibri" w:cs="Calibri"/>
        <w:sz w:val="18"/>
        <w:szCs w:val="18"/>
      </w:rPr>
      <w:t>2</w: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92101CC"/>
    <w:multiLevelType w:val="multilevel"/>
    <w:tmpl w:val="992101C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9C746BA4"/>
    <w:multiLevelType w:val="multilevel"/>
    <w:tmpl w:val="9C746BA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A09FB7CF"/>
    <w:multiLevelType w:val="multilevel"/>
    <w:tmpl w:val="A09FB7C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A14BF3F0"/>
    <w:multiLevelType w:val="multilevel"/>
    <w:tmpl w:val="A14BF3F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A639A826"/>
    <w:multiLevelType w:val="multilevel"/>
    <w:tmpl w:val="A639A82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B1D56D91"/>
    <w:multiLevelType w:val="multilevel"/>
    <w:tmpl w:val="B1D56D9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
    <w:nsid w:val="BA9FB4AB"/>
    <w:multiLevelType w:val="multilevel"/>
    <w:tmpl w:val="BA9FB4A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
    <w:nsid w:val="D07092DE"/>
    <w:multiLevelType w:val="multilevel"/>
    <w:tmpl w:val="D07092D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E24CFE62"/>
    <w:multiLevelType w:val="multilevel"/>
    <w:tmpl w:val="E24CFE6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9">
    <w:nsid w:val="0735E0AD"/>
    <w:multiLevelType w:val="multilevel"/>
    <w:tmpl w:val="0735E0A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0">
    <w:nsid w:val="1BE56018"/>
    <w:multiLevelType w:val="multilevel"/>
    <w:tmpl w:val="1BE5601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1">
    <w:nsid w:val="2A0BF37C"/>
    <w:multiLevelType w:val="multilevel"/>
    <w:tmpl w:val="2A0BF37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3572D205"/>
    <w:multiLevelType w:val="multilevel"/>
    <w:tmpl w:val="3572D20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3">
    <w:nsid w:val="45816746"/>
    <w:multiLevelType w:val="multilevel"/>
    <w:tmpl w:val="4581674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4">
    <w:nsid w:val="49828E8E"/>
    <w:multiLevelType w:val="multilevel"/>
    <w:tmpl w:val="49828E8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4D2DF345"/>
    <w:multiLevelType w:val="multilevel"/>
    <w:tmpl w:val="4D2DF34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59123631"/>
    <w:multiLevelType w:val="multilevel"/>
    <w:tmpl w:val="5912363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16"/>
  </w:num>
  <w:num w:numId="2">
    <w:abstractNumId w:val="15"/>
  </w:num>
  <w:num w:numId="3">
    <w:abstractNumId w:val="0"/>
  </w:num>
  <w:num w:numId="4">
    <w:abstractNumId w:val="7"/>
  </w:num>
  <w:num w:numId="5">
    <w:abstractNumId w:val="10"/>
  </w:num>
  <w:num w:numId="6">
    <w:abstractNumId w:val="2"/>
  </w:num>
  <w:num w:numId="7">
    <w:abstractNumId w:val="9"/>
  </w:num>
  <w:num w:numId="8">
    <w:abstractNumId w:val="1"/>
  </w:num>
  <w:num w:numId="9">
    <w:abstractNumId w:val="3"/>
  </w:num>
  <w:num w:numId="10">
    <w:abstractNumId w:val="12"/>
  </w:num>
  <w:num w:numId="11">
    <w:abstractNumId w:val="11"/>
  </w:num>
  <w:num w:numId="12">
    <w:abstractNumId w:val="5"/>
  </w:num>
  <w:num w:numId="13">
    <w:abstractNumId w:val="4"/>
  </w:num>
  <w:num w:numId="14">
    <w:abstractNumId w:val="6"/>
  </w:num>
  <w:num w:numId="15">
    <w:abstractNumId w:val="14"/>
  </w:num>
  <w:num w:numId="16">
    <w:abstractNumId w:val="8"/>
  </w:num>
  <w:num w:numId="1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0"/>
  <w:bordersDoNotSurroundFooter w:val="0"/>
  <w:documentProtection w:enforcement="0"/>
  <w:defaultTabStop w:val="420"/>
  <w:displayHorizontalDrawingGridEvery w:val="1"/>
  <w:displayVerticalDrawingGridEvery w:val="1"/>
  <w:noPunctuationKerning w:val="1"/>
  <w:characterSpacingControl w:val="doNotCompress"/>
  <w:compat>
    <w:spaceForUL/>
    <w:ulTrailSpace/>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WJlOTBmY2NiNmE2MjcwYzQ4ZDhlZTVkYmVjZmRiMjcifQ=="/>
  </w:docVars>
  <w:rsids>
    <w:rsidRoot w:val="00FA7A42"/>
    <w:rsid w:val="0003259D"/>
    <w:rsid w:val="00454B7C"/>
    <w:rsid w:val="005E7A6B"/>
    <w:rsid w:val="006E63C0"/>
    <w:rsid w:val="008725F5"/>
    <w:rsid w:val="009A4D83"/>
    <w:rsid w:val="00A77605"/>
    <w:rsid w:val="00BD536C"/>
    <w:rsid w:val="00F47A0C"/>
    <w:rsid w:val="00F95754"/>
    <w:rsid w:val="00FA7A42"/>
    <w:rsid w:val="03B92498"/>
    <w:rsid w:val="0DCF3077"/>
    <w:rsid w:val="314C2B30"/>
    <w:rsid w:val="37202FD8"/>
    <w:rsid w:val="478E7EA2"/>
    <w:rsid w:val="5EE6506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textAlignment w:val="baseline"/>
    </w:pPr>
    <w:rPr>
      <w:rFonts w:ascii="Arial" w:hAnsi="Arial" w:eastAsia="Arial" w:cs="Arial"/>
      <w:snapToGrid w:val="0"/>
      <w:color w:val="000000"/>
      <w:sz w:val="21"/>
      <w:szCs w:val="21"/>
      <w:lang w:val="en-US" w:eastAsia="en-US"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9">
    <w:name w:val="Default Paragraph Font"/>
    <w:semiHidden/>
    <w:unhideWhenUsed/>
    <w:uiPriority w:val="1"/>
  </w:style>
  <w:style w:type="table" w:default="1" w:styleId="8">
    <w:name w:val="Normal Table"/>
    <w:semiHidden/>
    <w:unhideWhenUsed/>
    <w:uiPriority w:val="99"/>
    <w:tblPr>
      <w:tblCellMar>
        <w:top w:w="0" w:type="dxa"/>
        <w:left w:w="108" w:type="dxa"/>
        <w:bottom w:w="0" w:type="dxa"/>
        <w:right w:w="108" w:type="dxa"/>
      </w:tblCellMar>
    </w:tblPr>
  </w:style>
  <w:style w:type="paragraph" w:styleId="5">
    <w:name w:val="Body Text"/>
    <w:basedOn w:val="1"/>
    <w:semiHidden/>
    <w:qFormat/>
    <w:uiPriority w:val="0"/>
    <w:rPr>
      <w:rFonts w:ascii="宋体" w:hAnsi="宋体" w:eastAsia="宋体" w:cs="宋体"/>
      <w:sz w:val="28"/>
      <w:szCs w:val="28"/>
    </w:rPr>
  </w:style>
  <w:style w:type="paragraph" w:styleId="6">
    <w:name w:val="footer"/>
    <w:basedOn w:val="1"/>
    <w:link w:val="12"/>
    <w:uiPriority w:val="0"/>
    <w:pPr>
      <w:tabs>
        <w:tab w:val="center" w:pos="4153"/>
        <w:tab w:val="right" w:pos="8306"/>
      </w:tabs>
    </w:pPr>
    <w:rPr>
      <w:sz w:val="18"/>
      <w:szCs w:val="18"/>
    </w:rPr>
  </w:style>
  <w:style w:type="paragraph" w:styleId="7">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jc w:val="both"/>
    </w:pPr>
    <w:rPr>
      <w:sz w:val="18"/>
    </w:rPr>
  </w:style>
  <w:style w:type="character" w:styleId="10">
    <w:name w:val="Strong"/>
    <w:basedOn w:val="9"/>
    <w:qFormat/>
    <w:uiPriority w:val="0"/>
    <w:rPr>
      <w:b/>
    </w:rPr>
  </w:style>
  <w:style w:type="table" w:customStyle="1" w:styleId="11">
    <w:name w:val="Table Normal"/>
    <w:semiHidden/>
    <w:unhideWhenUsed/>
    <w:qFormat/>
    <w:uiPriority w:val="0"/>
    <w:tblPr>
      <w:tblCellMar>
        <w:top w:w="0" w:type="dxa"/>
        <w:left w:w="0" w:type="dxa"/>
        <w:bottom w:w="0" w:type="dxa"/>
        <w:right w:w="0" w:type="dxa"/>
      </w:tblCellMar>
    </w:tblPr>
  </w:style>
  <w:style w:type="character" w:customStyle="1" w:styleId="12">
    <w:name w:val="页脚 字符"/>
    <w:basedOn w:val="9"/>
    <w:link w:val="6"/>
    <w:uiPriority w:val="0"/>
    <w:rPr>
      <w:rFonts w:eastAsia="Arial"/>
      <w:snapToGrid w:val="0"/>
      <w:color w:val="000000"/>
      <w:sz w:val="18"/>
      <w:szCs w:val="18"/>
      <w:lang w:eastAsia="en-US"/>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Microsoft</Company>
  <Pages>9</Pages>
  <Words>29</Words>
  <Characters>34</Characters>
  <Lines>1</Lines>
  <Paragraphs>1</Paragraphs>
  <TotalTime>6</TotalTime>
  <ScaleCrop>false</ScaleCrop>
  <LinksUpToDate>false</LinksUpToDate>
  <CharactersWithSpaces>179</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2023-09-05T03:52:00Z</dcterms:created>
  <dc:creator>OH⁻</dc:creator>
  <cp:lastModifiedBy>渣男.仙君</cp:lastModifiedBy>
  <dcterms:modified xsi:type="dcterms:W3CDTF">2026-06-17T15:20:42Z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wqlLaW5nc29mdCBQREYgdG8gV1BTIDkw</vt:lpwstr>
  </property>
  <property fmtid="{D5CDD505-2E9C-101B-9397-08002B2CF9AE}" pid="3" name="Created">
    <vt:filetime>2023-06-11T21:16:06Z</vt:filetime>
  </property>
  <property fmtid="{D5CDD505-2E9C-101B-9397-08002B2CF9AE}" pid="4" name="UsrData">
    <vt:lpwstr>6485c90e40c8a1001f4fe65e</vt:lpwstr>
  </property>
  <property fmtid="{D5CDD505-2E9C-101B-9397-08002B2CF9AE}" pid="5" name="KSOProductBuildVer">
    <vt:lpwstr>2052-12.1.0.26895</vt:lpwstr>
  </property>
  <property fmtid="{D5CDD505-2E9C-101B-9397-08002B2CF9AE}" pid="6" name="ICV">
    <vt:lpwstr>67F95C66704E41D5B4BEC8B83BDE967A_13</vt:lpwstr>
  </property>
  <property fmtid="{D5CDD505-2E9C-101B-9397-08002B2CF9AE}" pid="7" name="KSOTemplateDocerSaveRecord">
    <vt:lpwstr>eyJoZGlkIjoiMTY2MTU5ZDIwOWM1NGYwOGY2MGNmOTJhNDRlYmU5ZmMiLCJ1c2VySWQiOiIxMDQ2NzQwNzQ2In0=</vt:lpwstr>
  </property>
</Properties>
</file>