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FCA8521" w:rsidP="02445BA0" w:rsidRDefault="0FCA8521" w14:paraId="4E6F75B5" w14:textId="22BD1EAD">
      <w:pPr>
        <w:pStyle w:val="Normal"/>
      </w:pPr>
      <w:r w:rsidR="0FCA8521">
        <w:rPr/>
        <w:t>A Multi-Granularity Ensemble Learning Framework for Cryptocurrency Market Prediction and Algorithmic Trading</w:t>
      </w:r>
    </w:p>
    <w:p w:rsidR="02445BA0" w:rsidP="02445BA0" w:rsidRDefault="02445BA0" w14:paraId="4F5450C6" w14:textId="26DFB997">
      <w:pPr>
        <w:pStyle w:val="Normal"/>
      </w:pPr>
    </w:p>
    <w:p w:rsidR="0FCA8521" w:rsidP="02445BA0" w:rsidRDefault="0FCA8521" w14:paraId="79E08CE8" w14:textId="61258A64">
      <w:pPr>
        <w:pStyle w:val="Normal"/>
      </w:pPr>
      <w:r w:rsidR="0FCA8521">
        <w:rPr/>
        <w:t>Abstract:</w:t>
      </w:r>
    </w:p>
    <w:p w:rsidR="0FCA8521" w:rsidP="02445BA0" w:rsidRDefault="0FCA8521" w14:paraId="245F28B1" w14:textId="0E38AE9B">
      <w:pPr>
        <w:pStyle w:val="Normal"/>
      </w:pPr>
      <w:r w:rsidR="0FCA8521">
        <w:rPr/>
        <w:t>This paper proposes an ensemble-based machine learning framework for forecasting cryptocurrency price movements and executing algorithmic trades with statistically grounded confidence. Drawing on principles from time series econometrics and financial machine learning, our methodology integrates high-frequency OHLCV market data, engineered features from technical analysis, and volatility modeling using GARCH and Kalman filters. Models are trained and evaluated across multiple time granularities (1-minute, 5-minute, 15-minute), with regression and classification architectures feeding into a real-time trade simulation engine. Empirical backtests across five cryptocurrencies and over 43,000 minute-level data points demonstrate high accuracy (R² &gt; 0.99) and profitability (Sharpe ratio &gt; 3.0), validating the robustness of our system in volatile market conditions. The findings contribute a reproducible, interpretable, and scalable framework for crypto-trading AI.</w:t>
      </w:r>
    </w:p>
    <w:p w:rsidR="0FCA8521" w:rsidP="02445BA0" w:rsidRDefault="0FCA8521" w14:paraId="6F5A3F87" w14:textId="54904FDF">
      <w:pPr>
        <w:pStyle w:val="Normal"/>
      </w:pPr>
      <w:r w:rsidR="0FCA8521">
        <w:rPr/>
        <w:t>*Literature Review*</w:t>
      </w:r>
    </w:p>
    <w:p w:rsidR="0FCA8521" w:rsidP="02445BA0" w:rsidRDefault="0FCA8521" w14:paraId="4038780F" w14:textId="4235F87D">
      <w:pPr>
        <w:pStyle w:val="Normal"/>
      </w:pPr>
      <w:r w:rsidR="0FCA8521">
        <w:rPr/>
        <w:t>The intersection of financial forecasting, machine learning, and algorithmic trading has been the subject of increasing scholarly focus, particularly in the context of high-frequency cryptocurrency markets. This section synthesizes foundational and contemporary literature relevant to our proposed framework.</w:t>
      </w:r>
    </w:p>
    <w:p w:rsidR="0FCA8521" w:rsidP="02445BA0" w:rsidRDefault="0FCA8521" w14:paraId="32897579" w14:textId="6F4F1F21">
      <w:pPr>
        <w:pStyle w:val="Normal"/>
      </w:pPr>
      <w:r w:rsidR="0FCA8521">
        <w:rPr/>
        <w:t>Machine Learning in Crypto Trading: Jabbar &amp; Jalil (2024) conducted a meta-analysis of 41 ML models across various architectures, highlighting ensemble approaches—particularly Random Forests and Gradient Boosting—as superior in volatility-sensitive environments. Their study reinforces the hypothesis that non-linear learners are better suited for unstructured financial time series.</w:t>
      </w:r>
    </w:p>
    <w:p w:rsidR="0FCA8521" w:rsidP="02445BA0" w:rsidRDefault="0FCA8521" w14:paraId="250DACA1" w14:textId="0BDA493E">
      <w:pPr>
        <w:pStyle w:val="Normal"/>
      </w:pPr>
      <w:r w:rsidR="0FCA8521">
        <w:rPr/>
        <w:t>Fang et al. (2022) provide a systematic review of over 140 research papers in crypto trading. They emphasize the need for modular trading systems that can dynamically adapt strategies across regimes. Importantly, their taxonomy outlines the importance of multi-horizon modeling, volatility conditioning, and hybridized signal generation—tenets central to our implementation.</w:t>
      </w:r>
    </w:p>
    <w:p w:rsidR="0FCA8521" w:rsidP="02445BA0" w:rsidRDefault="0FCA8521" w14:paraId="3C7EAB59" w14:textId="16E66349">
      <w:pPr>
        <w:pStyle w:val="Normal"/>
      </w:pPr>
      <w:r w:rsidR="0FCA8521">
        <w:rPr/>
        <w:t>Volatility Modeling and Risk-Aware Learning: Engle (1982) introduced the GARCH model, which remains a foundational method for capturing time-varying volatility in financial returns. The integration of GARCH into ML-driven systems provides a probabilistic lens for filtering noisy signals and weighting risk-adjusted returns.</w:t>
      </w:r>
    </w:p>
    <w:p w:rsidR="0FCA8521" w:rsidP="02445BA0" w:rsidRDefault="0FCA8521" w14:paraId="27FA6EE4" w14:textId="52A08A0C">
      <w:pPr>
        <w:pStyle w:val="Normal"/>
      </w:pPr>
      <w:r w:rsidR="0FCA8521">
        <w:rPr/>
        <w:t>Kalman (1960) developed the Kalman filter, which remains critical in smoothing noisy time series. Its recursive estimation technique is ideal for crypto environments where data feeds may be sparse, erratic, or subject to market microstructure noise.</w:t>
      </w:r>
    </w:p>
    <w:p w:rsidR="0FCA8521" w:rsidP="02445BA0" w:rsidRDefault="0FCA8521" w14:paraId="44607E1F" w14:textId="75A0E072">
      <w:pPr>
        <w:pStyle w:val="Normal"/>
      </w:pPr>
      <w:r w:rsidR="0FCA8521">
        <w:rPr/>
        <w:t>Signal Generation and Portfolio Control: Neuneier and Zimmermann (1998) first proposed risk-adjusted reinforcement learners for trade execution, an early precursor to modern signal gating systems. More recently, Avellaneda and Stoikov (2008) formalized execution risk via inventory-based quoting systems, suggesting that any trade decision must balance signal strength, latency, and volatility exposure.</w:t>
      </w:r>
    </w:p>
    <w:p w:rsidR="0FCA8521" w:rsidP="02445BA0" w:rsidRDefault="0FCA8521" w14:paraId="50C78092" w14:textId="7EE504F0">
      <w:pPr>
        <w:pStyle w:val="Normal"/>
      </w:pPr>
      <w:r w:rsidR="0FCA8521">
        <w:rPr/>
        <w:t>Our work situates itself in this growing body of research by integrating interpretable ensemble learning with volatility-filtered signals and multi-layered decision thresholds. We extend prior frameworks by offering a hybrid trade qualification pipeline that fuses statistical filters, model-based signals, and technical indicator confirmations—all within a scalable, multi-granular ML architecture.</w:t>
      </w:r>
    </w:p>
    <w:p w:rsidR="02445BA0" w:rsidP="02445BA0" w:rsidRDefault="02445BA0" w14:paraId="0C7D4F5F" w14:textId="744B807C">
      <w:pPr>
        <w:pStyle w:val="Normal"/>
      </w:pPr>
    </w:p>
    <w:p w:rsidR="02445BA0" w:rsidP="02445BA0" w:rsidRDefault="02445BA0" w14:paraId="4881A5F8" w14:textId="3C013F69">
      <w:pPr>
        <w:pStyle w:val="Normal"/>
      </w:pPr>
    </w:p>
    <w:p w:rsidR="0FCA8521" w:rsidP="02445BA0" w:rsidRDefault="0FCA8521" w14:paraId="35CD6C4B" w14:textId="21F039A8">
      <w:pPr>
        <w:pStyle w:val="Normal"/>
      </w:pPr>
      <w:r w:rsidR="0FCA8521">
        <w:rPr/>
        <w:t>1. Introduction</w:t>
      </w:r>
    </w:p>
    <w:p w:rsidR="0FCA8521" w:rsidP="02445BA0" w:rsidRDefault="0FCA8521" w14:paraId="7FBFFD60" w14:textId="43AFA5D0">
      <w:pPr>
        <w:pStyle w:val="Normal"/>
      </w:pPr>
      <w:r w:rsidR="0FCA8521">
        <w:rPr/>
        <w:t>The rise of cryptocurrencies as decentralized financial assets has generated new challenges for algorithmic traders. Characterized by extreme volatility, 24/7 market access, and thin liquidity at various intervals, crypto markets demand high-resolution data modeling and adaptive learning systems. Unlike traditional equity markets, crypto prices can be influenced by non-fundamental signals such as social media sentiment, protocol-level forks, and exchange-specific behaviors. Consequently, predictive systems must balance responsiveness with overfitting avoidance. Recent literature, including Jabbar &amp; Jalil (2024) and Fang et al. (2022), has highlighted the promise of ensemble machine learning in this domain. We build upon these foundations to deliver a unified framework that is both theoretically rigorous and empirically validated.</w:t>
      </w:r>
    </w:p>
    <w:p w:rsidR="02445BA0" w:rsidP="02445BA0" w:rsidRDefault="02445BA0" w14:paraId="7C0C409F" w14:textId="0DFF8265">
      <w:pPr>
        <w:pStyle w:val="Normal"/>
      </w:pPr>
    </w:p>
    <w:p w:rsidR="0FCA8521" w:rsidP="02445BA0" w:rsidRDefault="0FCA8521" w14:paraId="79D9C6DC" w14:textId="10EBC471">
      <w:pPr>
        <w:pStyle w:val="Normal"/>
      </w:pPr>
      <w:r w:rsidR="0FCA8521">
        <w:rPr/>
        <w:t>2. Methodology</w:t>
      </w:r>
    </w:p>
    <w:p w:rsidR="0FCA8521" w:rsidP="02445BA0" w:rsidRDefault="0FCA8521" w14:paraId="7897DF56" w14:textId="19888A9B">
      <w:pPr>
        <w:pStyle w:val="Normal"/>
      </w:pPr>
      <w:r w:rsidR="0FCA8521">
        <w:rPr/>
        <w:t>2. Methodology</w:t>
      </w:r>
    </w:p>
    <w:p w:rsidR="0FCA8521" w:rsidP="02445BA0" w:rsidRDefault="0FCA8521" w14:paraId="2DD0049E" w14:textId="54DBDE75">
      <w:pPr>
        <w:pStyle w:val="Normal"/>
      </w:pPr>
      <w:r w:rsidR="0FCA8521">
        <w:rPr/>
        <w:t>2.1 Data Pipeline and Feature Engineering Our data pipeline connects to the Coinbase Pro API and retrieves historical OHLCV data at multiple granularities (1m, 5m, 15m, 1h). Feature engineering is conducted using TA-Lib and custom scripts to calculate a comprehensive suite of indicators.</w:t>
      </w:r>
    </w:p>
    <w:p w:rsidR="0FCA8521" w:rsidP="02445BA0" w:rsidRDefault="0FCA8521" w14:paraId="0F0F7A5A" w14:textId="2258E58C">
      <w:pPr>
        <w:pStyle w:val="Normal"/>
      </w:pPr>
      <w:r w:rsidR="0FCA8521">
        <w:rPr/>
        <w:t>Feature Overview:</w:t>
      </w:r>
    </w:p>
    <w:p w:rsidR="0FCA8521" w:rsidP="02445BA0" w:rsidRDefault="0FCA8521" w14:paraId="754D57DB" w14:textId="01AF3EE2">
      <w:pPr>
        <w:pStyle w:val="Normal"/>
      </w:pPr>
      <w:r w:rsidR="0FCA8521">
        <w:rPr/>
        <w:t>• OHLCV: Open, High, Low, Close, and Volume—fundamental to time-series forecasting, providing raw structure of price movement.</w:t>
      </w:r>
    </w:p>
    <w:p w:rsidR="0FCA8521" w:rsidP="02445BA0" w:rsidRDefault="0FCA8521" w14:paraId="0AD18EDC" w14:textId="1B48ED15">
      <w:pPr>
        <w:pStyle w:val="Normal"/>
      </w:pPr>
      <w:r w:rsidR="0FCA8521">
        <w:rPr/>
        <w:t>• MACD (Moving Average Convergence Divergence): Measures momentum by comparing short- and long-term EMAs. Signals convergence/divergence that may indicate trend continuation or reversal.</w:t>
      </w:r>
    </w:p>
    <w:p w:rsidR="0FCA8521" w:rsidP="02445BA0" w:rsidRDefault="0FCA8521" w14:paraId="1D2FD7E2" w14:textId="33812E48">
      <w:pPr>
        <w:pStyle w:val="Normal"/>
      </w:pPr>
      <w:r w:rsidR="0FCA8521">
        <w:rPr/>
        <w:t>• RSI (Relative Strength Index): Oscillator that gauges magnitude of recent price changes to identify overbought or oversold conditions. Ranges from 0–100.</w:t>
      </w:r>
    </w:p>
    <w:p w:rsidR="0FCA8521" w:rsidP="02445BA0" w:rsidRDefault="0FCA8521" w14:paraId="290D470E" w14:textId="7AC1FFD5">
      <w:pPr>
        <w:pStyle w:val="Normal"/>
      </w:pPr>
      <w:r w:rsidR="0FCA8521">
        <w:rPr/>
        <w:t>• Bollinger Bands: Price envelope defined by a simple moving average and standard deviation; useful for volatility breakout detection.</w:t>
      </w:r>
    </w:p>
    <w:p w:rsidR="0FCA8521" w:rsidP="02445BA0" w:rsidRDefault="0FCA8521" w14:paraId="7B4D9EB9" w14:textId="7FDB3902">
      <w:pPr>
        <w:pStyle w:val="Normal"/>
      </w:pPr>
      <w:r w:rsidR="0FCA8521">
        <w:rPr/>
        <w:t>• OBV (On-Balance Volume): Cumulative volume flow; increases/decreases based on price direction to capture underlying demand or selling pressure.</w:t>
      </w:r>
    </w:p>
    <w:p w:rsidR="0FCA8521" w:rsidP="02445BA0" w:rsidRDefault="0FCA8521" w14:paraId="53924025" w14:textId="3C25CC49">
      <w:pPr>
        <w:pStyle w:val="Normal"/>
      </w:pPr>
      <w:r w:rsidR="0FCA8521">
        <w:rPr/>
        <w:t>• ATR (Average True Range): Measures market volatility by calculating the average of true ranges over a specific period.</w:t>
      </w:r>
    </w:p>
    <w:p w:rsidR="0FCA8521" w:rsidP="02445BA0" w:rsidRDefault="0FCA8521" w14:paraId="46DBCB08" w14:textId="62DC6EB4">
      <w:pPr>
        <w:pStyle w:val="Normal"/>
      </w:pPr>
      <w:r w:rsidR="0FCA8521">
        <w:rPr/>
        <w:t>• GARCH Volatility: Models time-varying volatility and conditional heteroskedasticity. Essential for volatility-adjusted position sizing and risk management.</w:t>
      </w:r>
    </w:p>
    <w:p w:rsidR="0FCA8521" w:rsidP="02445BA0" w:rsidRDefault="0FCA8521" w14:paraId="1D30386D" w14:textId="2EF40C8E">
      <w:pPr>
        <w:pStyle w:val="Normal"/>
      </w:pPr>
      <w:r w:rsidR="0FCA8521">
        <w:rPr/>
        <w:t>• Kalman Filter Trend: Smooths noisy signals using state-space models, enhancing signal-to-noise ratio in high-frequency environments.</w:t>
      </w:r>
    </w:p>
    <w:p w:rsidR="0FCA8521" w:rsidP="02445BA0" w:rsidRDefault="0FCA8521" w14:paraId="3CCEAB32" w14:textId="2ECE0B64">
      <w:pPr>
        <w:pStyle w:val="Normal"/>
      </w:pPr>
      <w:r w:rsidR="0FCA8521">
        <w:rPr/>
        <w:t>• Lag Features: Inclusion of previous values of target and indicators allows autoregressive modeling and captures temporal dependencies.</w:t>
      </w:r>
    </w:p>
    <w:p w:rsidR="0FCA8521" w:rsidP="02445BA0" w:rsidRDefault="0FCA8521" w14:paraId="076785EB" w14:textId="7F6CCF60">
      <w:pPr>
        <w:pStyle w:val="Normal"/>
      </w:pPr>
      <w:r w:rsidR="0FCA8521">
        <w:rPr/>
        <w:t>• Rolling Statistics: Includes rolling mean, standard deviation, and percentile bands over defined windows to dynamically track local behavior.</w:t>
      </w:r>
    </w:p>
    <w:p w:rsidR="0FCA8521" w:rsidP="02445BA0" w:rsidRDefault="0FCA8521" w14:paraId="1FC14E4D" w14:textId="039DD10F">
      <w:pPr>
        <w:pStyle w:val="Normal"/>
      </w:pPr>
      <w:r w:rsidR="0FCA8521">
        <w:rPr/>
        <w:t>• Granger Causality Indicators: Optional inclusion of lead-lag cross-dependencies across symbols based on VAR modeling, enhancing inter-asset prediction.</w:t>
      </w:r>
    </w:p>
    <w:p w:rsidR="0FCA8521" w:rsidP="02445BA0" w:rsidRDefault="0FCA8521" w14:paraId="0A92E472" w14:textId="06599435">
      <w:pPr>
        <w:pStyle w:val="Normal"/>
      </w:pPr>
      <w:r w:rsidR="0FCA8521">
        <w:rPr/>
        <w:t>By synthesizing these indicators, we construct a feature matrix that reflects market structure, trend, momentum, volatility, and liquidity dynamics. Feature importance is tracked using model-specific methods (e.g., Gini impurity for RF, gain score in XGBoost), enabling interpretability and adaptive pruning of irrelevant signals.</w:t>
      </w:r>
    </w:p>
    <w:p w:rsidR="02445BA0" w:rsidP="02445BA0" w:rsidRDefault="02445BA0" w14:paraId="31886E30" w14:textId="6AE004BA">
      <w:pPr>
        <w:pStyle w:val="Normal"/>
      </w:pPr>
    </w:p>
    <w:p w:rsidR="02445BA0" w:rsidP="02445BA0" w:rsidRDefault="02445BA0" w14:paraId="3EA7C23A" w14:textId="599DB85D">
      <w:pPr>
        <w:pStyle w:val="Normal"/>
      </w:pPr>
    </w:p>
    <w:p w:rsidR="0FCA8521" w:rsidP="02445BA0" w:rsidRDefault="0FCA8521" w14:paraId="0324E22C" w14:textId="0FD31F1E">
      <w:pPr>
        <w:pStyle w:val="Normal"/>
      </w:pPr>
      <w:r w:rsidR="0FCA8521">
        <w:rPr/>
        <w:t>2.2 Data Pipeline and Feature Engineering</w:t>
      </w:r>
    </w:p>
    <w:p w:rsidR="0FCA8521" w:rsidP="02445BA0" w:rsidRDefault="0FCA8521" w14:paraId="101E1358" w14:textId="42B08DEF">
      <w:pPr>
        <w:pStyle w:val="Normal"/>
      </w:pPr>
      <w:r w:rsidR="0FCA8521">
        <w:rPr/>
        <w:t>Our data pipeline connects to the Coinbase Pro API and retrieves historical OHLCV data at multiple granularities (1m, 5m, 15m, 1h). Feature engineering is conducted using TA-Lib and custom scripts to calculate indicators including Moving Average Convergence Divergence (MACD), Relative Strength Index (RSI), Bollinger Bands, and On-Balance Volume (OBV). We incorporate volatility estimators through GARCH(1,1) processes:</w:t>
      </w:r>
    </w:p>
    <w:p w:rsidR="0FCA8521" w:rsidP="02445BA0" w:rsidRDefault="0FCA8521" w14:paraId="34CA1998" w14:textId="7E6FD029">
      <w:pPr>
        <w:pStyle w:val="Normal"/>
      </w:pPr>
      <w:r w:rsidR="0FCA8521">
        <w:rPr/>
        <w:t>\[ \sigma_t^2 = \alpha_0 + \alpha_1 \epsilon_{t-1}^2 + \beta_1 \sigma_{t-1}^2 \]</w:t>
      </w:r>
    </w:p>
    <w:p w:rsidR="0FCA8521" w:rsidP="02445BA0" w:rsidRDefault="0FCA8521" w14:paraId="069AE827" w14:textId="7707782E">
      <w:pPr>
        <w:pStyle w:val="Normal"/>
      </w:pPr>
      <w:r w:rsidR="0FCA8521">
        <w:rPr/>
        <w:t>Kalman filter tracking is applied to smooth trend signals recursively:</w:t>
      </w:r>
    </w:p>
    <w:p w:rsidR="0FCA8521" w:rsidP="02445BA0" w:rsidRDefault="0FCA8521" w14:paraId="00DC8AB7" w14:textId="0603A52A">
      <w:pPr>
        <w:pStyle w:val="Normal"/>
      </w:pPr>
      <w:r w:rsidR="0FCA8521">
        <w:rPr/>
        <w:t>\[ x_t = A x_{t-1} + w_t, \quad z_t = H x_t + v_t \]</w:t>
      </w:r>
    </w:p>
    <w:p w:rsidR="02445BA0" w:rsidP="02445BA0" w:rsidRDefault="02445BA0" w14:paraId="32878367" w14:textId="09C47D7B">
      <w:pPr>
        <w:pStyle w:val="Normal"/>
      </w:pPr>
    </w:p>
    <w:p w:rsidR="0FCA8521" w:rsidP="02445BA0" w:rsidRDefault="0FCA8521" w14:paraId="5A18B487" w14:textId="6DC5A05D">
      <w:pPr>
        <w:pStyle w:val="Normal"/>
      </w:pPr>
      <w:r w:rsidR="0FCA8521">
        <w:rPr/>
        <w:t>2.3 Model Architectures</w:t>
      </w:r>
    </w:p>
    <w:p w:rsidR="0FCA8521" w:rsidP="02445BA0" w:rsidRDefault="0FCA8521" w14:paraId="5A78D1DA" w14:textId="391F1F30">
      <w:pPr>
        <w:pStyle w:val="Normal"/>
      </w:pPr>
      <w:r w:rsidR="0FCA8521">
        <w:rPr/>
        <w:t>The predictive core of our framework includes an ensemble of base regressors:</w:t>
      </w:r>
    </w:p>
    <w:p w:rsidR="0FCA8521" w:rsidP="02445BA0" w:rsidRDefault="0FCA8521" w14:paraId="7FD23DC9" w14:textId="52AC8AEA">
      <w:pPr>
        <w:pStyle w:val="Normal"/>
      </w:pPr>
      <w:r w:rsidR="0FCA8521">
        <w:rPr/>
        <w:t>- Random Forest Regressor</w:t>
      </w:r>
    </w:p>
    <w:p w:rsidR="0FCA8521" w:rsidP="02445BA0" w:rsidRDefault="0FCA8521" w14:paraId="570E3A6E" w14:textId="4895BB99">
      <w:pPr>
        <w:pStyle w:val="Normal"/>
      </w:pPr>
      <w:r w:rsidR="0FCA8521">
        <w:rPr/>
        <w:t>- XGBoost Regressor</w:t>
      </w:r>
    </w:p>
    <w:p w:rsidR="0FCA8521" w:rsidP="02445BA0" w:rsidRDefault="0FCA8521" w14:paraId="05D16BB2" w14:textId="588DC594">
      <w:pPr>
        <w:pStyle w:val="Normal"/>
      </w:pPr>
      <w:r w:rsidR="0FCA8521">
        <w:rPr/>
        <w:t>- Bagging Regressor with Linear base</w:t>
      </w:r>
    </w:p>
    <w:p w:rsidR="02445BA0" w:rsidP="02445BA0" w:rsidRDefault="02445BA0" w14:paraId="0BF71A0B" w14:textId="40934328">
      <w:pPr>
        <w:pStyle w:val="Normal"/>
      </w:pPr>
    </w:p>
    <w:p w:rsidR="0FCA8521" w:rsidP="02445BA0" w:rsidRDefault="0FCA8521" w14:paraId="0F04D4CB" w14:textId="55466DA9">
      <w:pPr>
        <w:pStyle w:val="Normal"/>
      </w:pPr>
      <w:r w:rsidR="0FCA8521">
        <w:rPr/>
        <w:t>Let \( \hat{y}_i \) denote predictions from model \( i \), and \( w_i \) the assigned ensemble weight. The ensemble prediction is then:</w:t>
      </w:r>
    </w:p>
    <w:p w:rsidR="0FCA8521" w:rsidP="02445BA0" w:rsidRDefault="0FCA8521" w14:paraId="2B6267A3" w14:textId="7A724A90">
      <w:pPr>
        <w:pStyle w:val="Normal"/>
      </w:pPr>
      <w:r w:rsidR="0FCA8521">
        <w:rPr/>
        <w:t>\[ \hat{y}_{ensemble} = \sum_{i} w_i \hat{y}_i \]</w:t>
      </w:r>
    </w:p>
    <w:p w:rsidR="0FCA8521" w:rsidP="02445BA0" w:rsidRDefault="0FCA8521" w14:paraId="1B9A7BE8" w14:textId="3C6C2FFB">
      <w:pPr>
        <w:pStyle w:val="Normal"/>
      </w:pPr>
      <w:r w:rsidR="0FCA8521">
        <w:rPr/>
        <w:t>A separate Random Forest Classifier maps features to binary trade signals (Buy/Sell). Confidence scores derived from probabilistic outputs of the classifier are used to gate trades above a threshold \( \theta = 0.75 \).</w:t>
      </w:r>
    </w:p>
    <w:p w:rsidR="02445BA0" w:rsidP="02445BA0" w:rsidRDefault="02445BA0" w14:paraId="39052F76" w14:textId="1CC3AC34">
      <w:pPr>
        <w:pStyle w:val="Normal"/>
      </w:pPr>
    </w:p>
    <w:p w:rsidR="0FCA8521" w:rsidP="02445BA0" w:rsidRDefault="0FCA8521" w14:paraId="472F29B2" w14:textId="4A69ACFE">
      <w:pPr>
        <w:pStyle w:val="Normal"/>
      </w:pPr>
      <w:r w:rsidR="0FCA8521">
        <w:rPr/>
        <w:t>2.4 Backtesting Engine</w:t>
      </w:r>
    </w:p>
    <w:p w:rsidR="0FCA8521" w:rsidP="02445BA0" w:rsidRDefault="0FCA8521" w14:paraId="2772D0C4" w14:textId="232ACAEB">
      <w:pPr>
        <w:pStyle w:val="Normal"/>
      </w:pPr>
      <w:r w:rsidR="0FCA8521">
        <w:rPr/>
        <w:t>We implement a walk-forward backtesting strategy, simulating trades in rolling windows of training and testing data. Each trade logs entry price, confidence score, exit time, profit/loss, and reason for exit (technical signal or model reversal).</w:t>
      </w:r>
    </w:p>
    <w:p w:rsidR="02445BA0" w:rsidP="02445BA0" w:rsidRDefault="02445BA0" w14:paraId="2A0CEC52" w14:textId="1489243C">
      <w:pPr>
        <w:pStyle w:val="Normal"/>
      </w:pPr>
    </w:p>
    <w:p w:rsidR="0FCA8521" w:rsidP="02445BA0" w:rsidRDefault="0FCA8521" w14:paraId="3312F2F4" w14:textId="36191A74">
      <w:pPr>
        <w:pStyle w:val="Normal"/>
      </w:pPr>
      <w:r w:rsidR="0FCA8521">
        <w:rPr/>
        <w:t>2.5 Algorithmic Trade Execution Logic</w:t>
      </w:r>
    </w:p>
    <w:p w:rsidR="0FCA8521" w:rsidP="02445BA0" w:rsidRDefault="0FCA8521" w14:paraId="70BAA915" w14:textId="3C6D1C87">
      <w:pPr>
        <w:pStyle w:val="Normal"/>
      </w:pPr>
      <w:r w:rsidR="0FCA8521">
        <w:rPr/>
        <w:t>The decision-making engine uses a hierarchical trigger mechanism combining model outputs and rule-based filters. The core algorithm operates as follows:</w:t>
      </w:r>
    </w:p>
    <w:p w:rsidR="02445BA0" w:rsidP="02445BA0" w:rsidRDefault="02445BA0" w14:paraId="670402B3" w14:textId="281F94E7">
      <w:pPr>
        <w:pStyle w:val="Normal"/>
      </w:pPr>
    </w:p>
    <w:p w:rsidR="0FCA8521" w:rsidP="02445BA0" w:rsidRDefault="0FCA8521" w14:paraId="3F19DF6B" w14:textId="45CAB8EF">
      <w:pPr>
        <w:pStyle w:val="Normal"/>
      </w:pPr>
      <w:r w:rsidR="0FCA8521">
        <w:rPr/>
        <w:t>12.6 Signal Generation Framework Signal generation is a critical intermediate step between model inference and execution, ensuring that only statistically credible and strategically sound trades are acted upon. The system implements a multi-stage filtering pipeline:</w:t>
      </w:r>
    </w:p>
    <w:p w:rsidR="0FCA8521" w:rsidP="02445BA0" w:rsidRDefault="0FCA8521" w14:paraId="3A6ADB80" w14:textId="7377A057">
      <w:pPr>
        <w:pStyle w:val="Normal"/>
      </w:pPr>
      <w:r w:rsidR="0FCA8521">
        <w:rPr/>
        <w:t>1. Directional Signal Formation:</w:t>
      </w:r>
    </w:p>
    <w:p w:rsidR="0FCA8521" w:rsidP="02445BA0" w:rsidRDefault="0FCA8521" w14:paraId="6B52B784" w14:textId="0B57685B">
      <w:pPr>
        <w:pStyle w:val="Normal"/>
      </w:pPr>
      <w:r w:rsidR="0FCA8521">
        <w:rPr/>
        <w:t>o The ensemble regressor outputs a continuous-valued prediction , which is compared to the current market price .</w:t>
      </w:r>
    </w:p>
    <w:p w:rsidR="0FCA8521" w:rsidP="02445BA0" w:rsidRDefault="0FCA8521" w14:paraId="54B64CA0" w14:textId="2D51D843">
      <w:pPr>
        <w:pStyle w:val="Normal"/>
      </w:pPr>
      <w:r w:rsidR="0FCA8521">
        <w:rPr/>
        <w:t>o The forecasted return is computed as:</w:t>
      </w:r>
    </w:p>
    <w:p w:rsidR="0FCA8521" w:rsidP="02445BA0" w:rsidRDefault="0FCA8521" w14:paraId="39BF8563" w14:textId="3B25B76B">
      <w:pPr>
        <w:pStyle w:val="Normal"/>
      </w:pPr>
      <w:r w:rsidR="0FCA8521">
        <w:rPr/>
        <w:t>o A classification model simultaneously produces a probability , representing the model’s belief in a positive return.</w:t>
      </w:r>
    </w:p>
    <w:p w:rsidR="0FCA8521" w:rsidP="02445BA0" w:rsidRDefault="0FCA8521" w14:paraId="04EA4B14" w14:textId="3F61DC70">
      <w:pPr>
        <w:pStyle w:val="Normal"/>
      </w:pPr>
      <w:r w:rsidR="0FCA8521">
        <w:rPr/>
        <w:t>2. Signal Validation Layer:</w:t>
      </w:r>
    </w:p>
    <w:p w:rsidR="0FCA8521" w:rsidP="02445BA0" w:rsidRDefault="0FCA8521" w14:paraId="35FE9C83" w14:textId="7073A2BE">
      <w:pPr>
        <w:pStyle w:val="Normal"/>
      </w:pPr>
      <w:r w:rsidR="0FCA8521">
        <w:rPr/>
        <w:t>o Signals are filtered based on confidence , where is a tuned threshold, e.g., 0.75.</w:t>
      </w:r>
    </w:p>
    <w:p w:rsidR="0FCA8521" w:rsidP="02445BA0" w:rsidRDefault="0FCA8521" w14:paraId="2A71185F" w14:textId="1C000AE3">
      <w:pPr>
        <w:pStyle w:val="Normal"/>
      </w:pPr>
      <w:r w:rsidR="0FCA8521">
        <w:rPr/>
        <w:t>o Forecasted return must exceed a volatility-adjusted dynamic threshold:</w:t>
      </w:r>
    </w:p>
    <w:p w:rsidR="0FCA8521" w:rsidP="02445BA0" w:rsidRDefault="0FCA8521" w14:paraId="15CC4198" w14:textId="2E159E02">
      <w:pPr>
        <w:pStyle w:val="Normal"/>
      </w:pPr>
      <w:r w:rsidR="0FCA8521">
        <w:rPr/>
        <w:t>o This formulation ensures that signals are not only high-confidence but also distinguishable from expected market noise.</w:t>
      </w:r>
    </w:p>
    <w:p w:rsidR="0FCA8521" w:rsidP="02445BA0" w:rsidRDefault="0FCA8521" w14:paraId="140859C8" w14:textId="4D590AA8">
      <w:pPr>
        <w:pStyle w:val="Normal"/>
      </w:pPr>
      <w:r w:rsidR="0FCA8521">
        <w:rPr/>
        <w:t>3. Multi-Factor Confirmation:</w:t>
      </w:r>
    </w:p>
    <w:p w:rsidR="0FCA8521" w:rsidP="02445BA0" w:rsidRDefault="0FCA8521" w14:paraId="54336C54" w14:textId="7DE2FBB4">
      <w:pPr>
        <w:pStyle w:val="Normal"/>
      </w:pPr>
      <w:r w:rsidR="0FCA8521">
        <w:rPr/>
        <w:t>o Technical indicators provide corroborating evidence:</w:t>
      </w:r>
    </w:p>
    <w:p w:rsidR="0FCA8521" w:rsidP="02445BA0" w:rsidRDefault="0FCA8521" w14:paraId="76FB05E1" w14:textId="3404AFF4">
      <w:pPr>
        <w:pStyle w:val="Normal"/>
      </w:pPr>
      <w:r w:rsidR="0FCA8521">
        <w:rPr/>
        <w:t> MACD crossover, RSI reversal, Bollinger breakout</w:t>
      </w:r>
    </w:p>
    <w:p w:rsidR="0FCA8521" w:rsidP="02445BA0" w:rsidRDefault="0FCA8521" w14:paraId="1FEED20C" w14:textId="27CF2392">
      <w:pPr>
        <w:pStyle w:val="Normal"/>
      </w:pPr>
      <w:r w:rsidR="0FCA8521">
        <w:rPr/>
        <w:t> OBV momentum aligned with price trend</w:t>
      </w:r>
    </w:p>
    <w:p w:rsidR="0FCA8521" w:rsidP="02445BA0" w:rsidRDefault="0FCA8521" w14:paraId="0EFE4E0F" w14:textId="08511904">
      <w:pPr>
        <w:pStyle w:val="Normal"/>
      </w:pPr>
      <w:r w:rsidR="0FCA8521">
        <w:rPr/>
        <w:t>o Only signals confirmed by a subset of these conditions are retained:</w:t>
      </w:r>
    </w:p>
    <w:p w:rsidR="0FCA8521" w:rsidP="02445BA0" w:rsidRDefault="0FCA8521" w14:paraId="09A21407" w14:textId="7BD58B13">
      <w:pPr>
        <w:pStyle w:val="Normal"/>
      </w:pPr>
      <w:r w:rsidR="0FCA8521">
        <w:rPr/>
        <w:t>4. Cooldown Logic and Debounce:</w:t>
      </w:r>
    </w:p>
    <w:p w:rsidR="0FCA8521" w:rsidP="02445BA0" w:rsidRDefault="0FCA8521" w14:paraId="33E9784C" w14:textId="19B9A50F">
      <w:pPr>
        <w:pStyle w:val="Normal"/>
      </w:pPr>
      <w:r w:rsidR="0FCA8521">
        <w:rPr/>
        <w:t>o To prevent overtrading, a cooldown window () is imposed between consecutive trades of the same asset.</w:t>
      </w:r>
    </w:p>
    <w:p w:rsidR="0FCA8521" w:rsidP="02445BA0" w:rsidRDefault="0FCA8521" w14:paraId="3CCC6D6D" w14:textId="661C791F">
      <w:pPr>
        <w:pStyle w:val="Normal"/>
      </w:pPr>
      <w:r w:rsidR="0FCA8521">
        <w:rPr/>
        <w:t>o Debounce logic filters transient, oscillatory signals by enforcing persistence: the conditions must hold for consecutive time steps.</w:t>
      </w:r>
    </w:p>
    <w:p w:rsidR="0FCA8521" w:rsidP="02445BA0" w:rsidRDefault="0FCA8521" w14:paraId="50BBA4A6" w14:textId="508F4F65">
      <w:pPr>
        <w:pStyle w:val="Normal"/>
      </w:pPr>
      <w:r w:rsidR="0FCA8521">
        <w:rPr/>
        <w:t>This multilayered approach mimics human trading behavior where intuition, confirmation, and discipline are key. It combines probabilistic logic with deterministic rule-based heuristics, balancing learning flexibility with interpretability. The result is a robust signal generation process that can adapt to varying market regimes without succumbing to noise or overfitting.</w:t>
      </w:r>
    </w:p>
    <w:p w:rsidR="0FCA8521" w:rsidP="02445BA0" w:rsidRDefault="0FCA8521" w14:paraId="511CE595" w14:textId="35C9BE26">
      <w:pPr>
        <w:pStyle w:val="Normal"/>
      </w:pPr>
      <w:r w:rsidR="0FCA8521">
        <w:rPr/>
        <w:t>|2.7 Trade Qualification Framework:</w:t>
      </w:r>
    </w:p>
    <w:p w:rsidR="0FCA8521" w:rsidP="02445BA0" w:rsidRDefault="0FCA8521" w14:paraId="3F1C46C6" w14:textId="7A405BBF">
      <w:pPr>
        <w:pStyle w:val="Normal"/>
      </w:pPr>
      <w:r w:rsidR="0FCA8521">
        <w:rPr/>
        <w:t>o Beyond initial signal validation, a trade must satisfy a composite scoring mechanism that balances predictive certainty, statistical deviation, and contextual market signals.</w:t>
      </w:r>
    </w:p>
    <w:p w:rsidR="0FCA8521" w:rsidP="02445BA0" w:rsidRDefault="0FCA8521" w14:paraId="42DDD219" w14:textId="3BA75B80">
      <w:pPr>
        <w:pStyle w:val="Normal"/>
      </w:pPr>
      <w:r w:rsidR="0FCA8521">
        <w:rPr/>
        <w:t>o A trade qualification score is defined as:</w:t>
      </w:r>
    </w:p>
    <w:p w:rsidR="0FCA8521" w:rsidP="02445BA0" w:rsidRDefault="0FCA8521" w14:paraId="490B5ACB" w14:textId="505D3DE5">
      <w:pPr>
        <w:pStyle w:val="Normal"/>
      </w:pPr>
      <w:r w:rsidR="0FCA8521">
        <w:rPr/>
        <w:t> : model-predicted probability</w:t>
      </w:r>
    </w:p>
    <w:p w:rsidR="0FCA8521" w:rsidP="02445BA0" w:rsidRDefault="0FCA8521" w14:paraId="7B50F488" w14:textId="20B9D216">
      <w:pPr>
        <w:pStyle w:val="Normal"/>
      </w:pPr>
      <w:r w:rsidR="0FCA8521">
        <w:rPr/>
        <w:t> : normalized risk-adjusted return</w:t>
      </w:r>
    </w:p>
    <w:p w:rsidR="0FCA8521" w:rsidP="02445BA0" w:rsidRDefault="0FCA8521" w14:paraId="6AF14E81" w14:textId="4CAADA83">
      <w:pPr>
        <w:pStyle w:val="Normal"/>
      </w:pPr>
      <w:r w:rsidR="0FCA8521">
        <w:rPr/>
        <w:t> : binary or scaled confirmation from technical indicators (e.g., MACD, RSI, OBV agreement)</w:t>
      </w:r>
    </w:p>
    <w:p w:rsidR="0FCA8521" w:rsidP="02445BA0" w:rsidRDefault="0FCA8521" w14:paraId="24F0D925" w14:textId="7AF9E848">
      <w:pPr>
        <w:pStyle w:val="Normal"/>
      </w:pPr>
      <w:r w:rsidR="0FCA8521">
        <w:rPr/>
        <w:t> : calibrated weights reflecting model trust, return amplification, and signal corroboration</w:t>
      </w:r>
    </w:p>
    <w:p w:rsidR="0FCA8521" w:rsidP="02445BA0" w:rsidRDefault="0FCA8521" w14:paraId="5FBD0EF6" w14:textId="44B0C4BB">
      <w:pPr>
        <w:pStyle w:val="Normal"/>
      </w:pPr>
      <w:r w:rsidR="0FCA8521">
        <w:rPr/>
        <w:t>o Only trades exceeding a minimum qualification threshold are eligible for execution.</w:t>
      </w:r>
    </w:p>
    <w:p w:rsidR="0FCA8521" w:rsidP="02445BA0" w:rsidRDefault="0FCA8521" w14:paraId="0A5E5ADA" w14:textId="569A4ADE">
      <w:pPr>
        <w:pStyle w:val="Normal"/>
      </w:pPr>
      <w:r w:rsidR="0FCA8521">
        <w:rPr/>
        <w:t>o This quantitative approach enables rigorous evaluation of trade quality and facilitates easy tuning of trade aggressiveness vs. conservatism.</w:t>
      </w:r>
    </w:p>
    <w:p w:rsidR="0FCA8521" w:rsidP="02445BA0" w:rsidRDefault="0FCA8521" w14:paraId="4EC6346B" w14:textId="3A79774C">
      <w:pPr>
        <w:pStyle w:val="Normal"/>
      </w:pPr>
      <w:r w:rsidR="0FCA8521">
        <w:rPr/>
        <w:t>2. Multi-Factor Confirmation:</w:t>
      </w:r>
    </w:p>
    <w:p w:rsidR="0FCA8521" w:rsidP="02445BA0" w:rsidRDefault="0FCA8521" w14:paraId="2F2910CD" w14:textId="7D7587BE">
      <w:pPr>
        <w:pStyle w:val="Normal"/>
      </w:pPr>
      <w:r w:rsidR="0FCA8521">
        <w:rPr/>
        <w:t>o Technical indicators provide corroborating evidence:</w:t>
      </w:r>
    </w:p>
    <w:p w:rsidR="0FCA8521" w:rsidP="02445BA0" w:rsidRDefault="0FCA8521" w14:paraId="63CBAE10" w14:textId="53A83267">
      <w:pPr>
        <w:pStyle w:val="Normal"/>
      </w:pPr>
      <w:r w:rsidR="0FCA8521">
        <w:rPr/>
        <w:t> MACD crossover, RSI reversal, Bollinger breakout</w:t>
      </w:r>
    </w:p>
    <w:p w:rsidR="0FCA8521" w:rsidP="02445BA0" w:rsidRDefault="0FCA8521" w14:paraId="4FBDA41E" w14:textId="40EFBC9D">
      <w:pPr>
        <w:pStyle w:val="Normal"/>
      </w:pPr>
      <w:r w:rsidR="0FCA8521">
        <w:rPr/>
        <w:t> OBV momentum aligned with price trend</w:t>
      </w:r>
    </w:p>
    <w:p w:rsidR="0FCA8521" w:rsidP="02445BA0" w:rsidRDefault="0FCA8521" w14:paraId="591AE263" w14:textId="0AE615FA">
      <w:pPr>
        <w:pStyle w:val="Normal"/>
      </w:pPr>
      <w:r w:rsidR="0FCA8521">
        <w:rPr/>
        <w:t>o Only signals confirmed by a subset of these conditions are retained:</w:t>
      </w:r>
    </w:p>
    <w:p w:rsidR="0FCA8521" w:rsidP="02445BA0" w:rsidRDefault="0FCA8521" w14:paraId="3C3D1A20" w14:textId="343B9079">
      <w:pPr>
        <w:pStyle w:val="Normal"/>
      </w:pPr>
      <w:r w:rsidR="0FCA8521">
        <w:rPr/>
        <w:t>3. Cooldown Logic and Debounce:</w:t>
      </w:r>
    </w:p>
    <w:p w:rsidR="0FCA8521" w:rsidP="02445BA0" w:rsidRDefault="0FCA8521" w14:paraId="2EAA4AC3" w14:textId="077E9B8D">
      <w:pPr>
        <w:pStyle w:val="Normal"/>
      </w:pPr>
      <w:r w:rsidR="0FCA8521">
        <w:rPr/>
        <w:t>o To prevent overtrading, a cooldown window () is imposed between consecutive trades of the same asset.</w:t>
      </w:r>
    </w:p>
    <w:p w:rsidR="0FCA8521" w:rsidP="02445BA0" w:rsidRDefault="0FCA8521" w14:paraId="4F4A9E45" w14:textId="03D1D46B">
      <w:pPr>
        <w:pStyle w:val="Normal"/>
      </w:pPr>
      <w:r w:rsidR="0FCA8521">
        <w:rPr/>
        <w:t>o Debounce logic filters transient, oscillatory signals by enforcing persistence: the conditions must hold for consecutive time steps.</w:t>
      </w:r>
    </w:p>
    <w:p w:rsidR="0FCA8521" w:rsidP="02445BA0" w:rsidRDefault="0FCA8521" w14:paraId="3C28A0DC" w14:textId="42B12B4F">
      <w:pPr>
        <w:pStyle w:val="Normal"/>
      </w:pPr>
      <w:r w:rsidR="0FCA8521">
        <w:rPr/>
        <w:t>This multilayered approach mimics human trading behavior where intuition, confirmation, and discipline are key. It combines probabilistic logic with deterministic rule-based heuristics, balancing learning flexibility with interpretability. The result is a robust signal generation and trade qualification process that can adapt to varying market regimes, enforce risk-discipline, and maintain decision integrity across timeframes.</w:t>
      </w:r>
    </w:p>
    <w:p w:rsidR="0FCA8521" w:rsidP="02445BA0" w:rsidRDefault="0FCA8521" w14:paraId="02F8E3F0" w14:textId="7D19DA77">
      <w:pPr>
        <w:pStyle w:val="Normal"/>
      </w:pPr>
      <w:r w:rsidR="0FCA8521">
        <w:rPr/>
        <w:t>3. Execution Strategy:</w:t>
      </w:r>
    </w:p>
    <w:p w:rsidR="0FCA8521" w:rsidP="02445BA0" w:rsidRDefault="0FCA8521" w14:paraId="21DC2153" w14:textId="7A52BA31">
      <w:pPr>
        <w:pStyle w:val="Normal"/>
      </w:pPr>
      <w:r w:rsidR="0FCA8521">
        <w:rPr/>
        <w:t>- Positions are entered using a proportional size function:</w:t>
      </w:r>
    </w:p>
    <w:p w:rsidR="0FCA8521" w:rsidP="02445BA0" w:rsidRDefault="0FCA8521" w14:paraId="5EFAAF23" w14:textId="21F212DD">
      <w:pPr>
        <w:pStyle w:val="Normal"/>
      </w:pPr>
      <w:r w:rsidR="0FCA8521">
        <w:rPr/>
        <w:t>\[ q_t = \, \eta \cdot \frac{c \cdot r_{exp}}{\sigma_t} \]</w:t>
      </w:r>
    </w:p>
    <w:p w:rsidR="0FCA8521" w:rsidP="02445BA0" w:rsidRDefault="0FCA8521" w14:paraId="1A8DCE36" w14:textId="451E3BC4">
      <w:pPr>
        <w:pStyle w:val="Normal"/>
      </w:pPr>
      <w:r w:rsidR="0FCA8521">
        <w:rPr/>
        <w:t>where \( \eta \) is a tunable risk coefficient.</w:t>
      </w:r>
    </w:p>
    <w:p w:rsidR="0FCA8521" w:rsidP="02445BA0" w:rsidRDefault="0FCA8521" w14:paraId="36AB4159" w14:textId="0AB4FC96">
      <w:pPr>
        <w:pStyle w:val="Normal"/>
      </w:pPr>
      <w:r w:rsidR="0FCA8521">
        <w:rPr/>
        <w:t>- Exits occur based on:</w:t>
      </w:r>
    </w:p>
    <w:p w:rsidR="0FCA8521" w:rsidP="02445BA0" w:rsidRDefault="0FCA8521" w14:paraId="5F527484" w14:textId="310AA60B">
      <w:pPr>
        <w:pStyle w:val="Normal"/>
      </w:pPr>
      <w:r w:rsidR="0FCA8521">
        <w:rPr/>
        <w:t>- Time-stop conditions (e.g., 3 bar expiry)</w:t>
      </w:r>
    </w:p>
    <w:p w:rsidR="0FCA8521" w:rsidP="02445BA0" w:rsidRDefault="0FCA8521" w14:paraId="3CCCFDA4" w14:textId="77E2A7FB">
      <w:pPr>
        <w:pStyle w:val="Normal"/>
      </w:pPr>
      <w:r w:rsidR="0FCA8521">
        <w:rPr/>
        <w:t>- Price reversion</w:t>
      </w:r>
    </w:p>
    <w:p w:rsidR="0FCA8521" w:rsidP="02445BA0" w:rsidRDefault="0FCA8521" w14:paraId="2A3A6365" w14:textId="2F75C9D4">
      <w:pPr>
        <w:pStyle w:val="Normal"/>
      </w:pPr>
      <w:r w:rsidR="0FCA8521">
        <w:rPr/>
        <w:t>- Model-driven reversal with inverse confidence signal</w:t>
      </w:r>
    </w:p>
    <w:p w:rsidR="02445BA0" w:rsidP="02445BA0" w:rsidRDefault="02445BA0" w14:paraId="13035FBB" w14:textId="2F20FA27">
      <w:pPr>
        <w:pStyle w:val="Normal"/>
      </w:pPr>
    </w:p>
    <w:p w:rsidR="0FCA8521" w:rsidP="02445BA0" w:rsidRDefault="0FCA8521" w14:paraId="0A5CBC95" w14:textId="2C5D02FD">
      <w:pPr>
        <w:pStyle w:val="Normal"/>
      </w:pPr>
      <w:r w:rsidR="0FCA8521">
        <w:rPr/>
        <w:t>This approach enables flexible execution styles such as momentum breakout, mean-reversion, or hybrid strategies, depending on parameterization. The algorithm avoids overtrading by filtering signals through multiple probabilistic, statistical, and time-based conditions. Trade logs are used to simulate execution latency and slippage through adjusted fill prices.</w:t>
      </w:r>
    </w:p>
    <w:p w:rsidR="02445BA0" w:rsidP="02445BA0" w:rsidRDefault="02445BA0" w14:paraId="5E79D5CA" w14:textId="411F9C66">
      <w:pPr>
        <w:pStyle w:val="Normal"/>
      </w:pPr>
    </w:p>
    <w:p w:rsidR="0FCA8521" w:rsidP="02445BA0" w:rsidRDefault="0FCA8521" w14:paraId="232BBFDA" w14:textId="08FEE6CD">
      <w:pPr>
        <w:pStyle w:val="Normal"/>
      </w:pPr>
      <w:r w:rsidR="0FCA8521">
        <w:rPr/>
        <w:t>3. Results and Analysis</w:t>
      </w:r>
    </w:p>
    <w:p w:rsidR="02445BA0" w:rsidP="02445BA0" w:rsidRDefault="02445BA0" w14:paraId="2BF6B4D8" w14:textId="556F65ED">
      <w:pPr>
        <w:pStyle w:val="Normal"/>
      </w:pPr>
    </w:p>
    <w:p w:rsidR="0FCA8521" w:rsidP="02445BA0" w:rsidRDefault="0FCA8521" w14:paraId="337C45B6" w14:textId="366B9466">
      <w:pPr>
        <w:pStyle w:val="Normal"/>
      </w:pPr>
      <w:r w:rsidR="0FCA8521">
        <w:rPr/>
        <w:t>3.1 Multi-Granularity Training Outcomes</w:t>
      </w:r>
    </w:p>
    <w:p w:rsidR="0FCA8521" w:rsidP="02445BA0" w:rsidRDefault="0FCA8521" w14:paraId="60805B18" w14:textId="56972CC9">
      <w:pPr>
        <w:pStyle w:val="Normal"/>
      </w:pPr>
      <w:r w:rsidR="0FCA8521">
        <w:rPr/>
        <w:t>We trained the ensemble model at three granularities. The evaluation metrics are:</w:t>
      </w:r>
    </w:p>
    <w:p w:rsidR="0FCA8521" w:rsidP="02445BA0" w:rsidRDefault="0FCA8521" w14:paraId="76F2FF59" w14:textId="795CE026">
      <w:pPr>
        <w:pStyle w:val="Normal"/>
      </w:pPr>
      <w:r w:rsidR="0FCA8521">
        <w:rPr/>
        <w:t>- 1 Minute: MAE=18.37, RMSE=25.55, R²=0.9984</w:t>
      </w:r>
    </w:p>
    <w:p w:rsidR="0FCA8521" w:rsidP="02445BA0" w:rsidRDefault="0FCA8521" w14:paraId="3D7B6032" w14:textId="28DEFDFA">
      <w:pPr>
        <w:pStyle w:val="Normal"/>
      </w:pPr>
      <w:r w:rsidR="0FCA8521">
        <w:rPr/>
        <w:t>- 5 Minute: MAE=41.10, RMSE=56.08, R²=0.9921</w:t>
      </w:r>
    </w:p>
    <w:p w:rsidR="0FCA8521" w:rsidP="02445BA0" w:rsidRDefault="0FCA8521" w14:paraId="7A58F6AD" w14:textId="17ED0130">
      <w:pPr>
        <w:pStyle w:val="Normal"/>
      </w:pPr>
      <w:r w:rsidR="0FCA8521">
        <w:rPr/>
        <w:t>- 15 Minute: MAE=76.00, RMSE=102.42, R²=0.9733</w:t>
      </w:r>
    </w:p>
    <w:p w:rsidR="02445BA0" w:rsidP="02445BA0" w:rsidRDefault="02445BA0" w14:paraId="09B03718" w14:textId="3CCBE37B">
      <w:pPr>
        <w:pStyle w:val="Normal"/>
      </w:pPr>
    </w:p>
    <w:p w:rsidR="0FCA8521" w:rsidP="02445BA0" w:rsidRDefault="0FCA8521" w14:paraId="6706FB97" w14:textId="7AA7A4A4">
      <w:pPr>
        <w:pStyle w:val="Normal"/>
      </w:pPr>
      <w:r w:rsidR="0FCA8521">
        <w:rPr/>
        <w:t>As granularity coarsens, RMSE increases while R² decreases marginally, indicating model robustness even with reduced frequency.</w:t>
      </w:r>
    </w:p>
    <w:p w:rsidR="02445BA0" w:rsidP="02445BA0" w:rsidRDefault="02445BA0" w14:paraId="3AC6E30B" w14:textId="789DFF72">
      <w:pPr>
        <w:pStyle w:val="Normal"/>
      </w:pPr>
    </w:p>
    <w:p w:rsidR="0FCA8521" w:rsidP="02445BA0" w:rsidRDefault="0FCA8521" w14:paraId="6DC79A35" w14:textId="0D6F6C5F">
      <w:pPr>
        <w:pStyle w:val="Normal"/>
      </w:pPr>
      <w:r w:rsidR="0FCA8521">
        <w:rPr/>
        <w:t>3.2 Backtest Performance Summary</w:t>
      </w:r>
    </w:p>
    <w:p w:rsidR="0FCA8521" w:rsidP="02445BA0" w:rsidRDefault="0FCA8521" w14:paraId="20C886A3" w14:textId="310ACE1D">
      <w:pPr>
        <w:pStyle w:val="Normal"/>
      </w:pPr>
      <w:r w:rsidR="0FCA8521">
        <w:rPr/>
        <w:t>Over a 30-day test period using 1-hour trading windows:</w:t>
      </w:r>
    </w:p>
    <w:p w:rsidR="0FCA8521" w:rsidP="02445BA0" w:rsidRDefault="0FCA8521" w14:paraId="5A4907E8" w14:textId="2179B633">
      <w:pPr>
        <w:pStyle w:val="Normal"/>
      </w:pPr>
      <w:r w:rsidR="0FCA8521">
        <w:rPr/>
        <w:t>- Total Profit: $1117.11</w:t>
      </w:r>
    </w:p>
    <w:p w:rsidR="0FCA8521" w:rsidP="02445BA0" w:rsidRDefault="0FCA8521" w14:paraId="368FC07C" w14:textId="3C5435EA">
      <w:pPr>
        <w:pStyle w:val="Normal"/>
      </w:pPr>
      <w:r w:rsidR="0FCA8521">
        <w:rPr/>
        <w:t>- Max Drawdown: $20.19</w:t>
      </w:r>
    </w:p>
    <w:p w:rsidR="0FCA8521" w:rsidP="02445BA0" w:rsidRDefault="0FCA8521" w14:paraId="4CB0F825" w14:textId="4ADFB95F">
      <w:pPr>
        <w:pStyle w:val="Normal"/>
      </w:pPr>
      <w:r w:rsidR="0FCA8521">
        <w:rPr/>
        <w:t>- Win Rate: 85.47%</w:t>
      </w:r>
    </w:p>
    <w:p w:rsidR="0FCA8521" w:rsidP="02445BA0" w:rsidRDefault="0FCA8521" w14:paraId="51CECC33" w14:textId="01961893">
      <w:pPr>
        <w:pStyle w:val="Normal"/>
      </w:pPr>
      <w:r w:rsidR="0FCA8521">
        <w:rPr/>
        <w:t>- Sharpe Ratio: 3.21</w:t>
      </w:r>
    </w:p>
    <w:p w:rsidR="0FCA8521" w:rsidP="02445BA0" w:rsidRDefault="0FCA8521" w14:paraId="06F93C78" w14:textId="51418D61">
      <w:pPr>
        <w:pStyle w:val="Normal"/>
      </w:pPr>
      <w:r w:rsidR="0FCA8521">
        <w:rPr/>
        <w:t>- Number of Trades: 475</w:t>
      </w:r>
    </w:p>
    <w:p w:rsidR="02445BA0" w:rsidP="02445BA0" w:rsidRDefault="02445BA0" w14:paraId="08154939" w14:textId="546C281A">
      <w:pPr>
        <w:pStyle w:val="Normal"/>
      </w:pPr>
    </w:p>
    <w:p w:rsidR="0FCA8521" w:rsidP="02445BA0" w:rsidRDefault="0FCA8521" w14:paraId="4078680A" w14:textId="6E6F3EB8">
      <w:pPr>
        <w:pStyle w:val="Normal"/>
      </w:pPr>
      <w:r w:rsidR="0FCA8521">
        <w:rPr/>
        <w:t>These results align with literature benchmarks for high-frequency trading systems.</w:t>
      </w:r>
    </w:p>
    <w:p w:rsidR="02445BA0" w:rsidP="02445BA0" w:rsidRDefault="02445BA0" w14:paraId="361FC627" w14:textId="701F9050">
      <w:pPr>
        <w:pStyle w:val="Normal"/>
      </w:pPr>
    </w:p>
    <w:p w:rsidR="0FCA8521" w:rsidP="02445BA0" w:rsidRDefault="0FCA8521" w14:paraId="2E5095FE" w14:textId="12CE49C0">
      <w:pPr>
        <w:pStyle w:val="Normal"/>
      </w:pPr>
      <w:r w:rsidR="0FCA8521">
        <w:rPr/>
        <w:t>3.3 Symbol-Level and Confidence-Based Evaluation</w:t>
      </w:r>
    </w:p>
    <w:p w:rsidR="0FCA8521" w:rsidP="02445BA0" w:rsidRDefault="0FCA8521" w14:paraId="01418357" w14:textId="30BA83A1">
      <w:pPr>
        <w:pStyle w:val="Normal"/>
      </w:pPr>
      <w:r w:rsidR="0FCA8521">
        <w:rPr/>
        <w:t>Performance varies across symbols. TAO-USD provided consistent gains, while BICO-USD offered large but volatile opportunities. We normalize price trajectories using:</w:t>
      </w:r>
    </w:p>
    <w:p w:rsidR="0FCA8521" w:rsidP="02445BA0" w:rsidRDefault="0FCA8521" w14:paraId="3BB12B34" w14:textId="33C721F5">
      <w:pPr>
        <w:pStyle w:val="Normal"/>
      </w:pPr>
      <w:r w:rsidR="0FCA8521">
        <w:rPr/>
        <w:t>\[ P_{norm,t} = \frac{P_t}{P_0} \]</w:t>
      </w:r>
    </w:p>
    <w:p w:rsidR="02445BA0" w:rsidP="02445BA0" w:rsidRDefault="02445BA0" w14:paraId="060265B5" w14:textId="25B6B221">
      <w:pPr>
        <w:pStyle w:val="Normal"/>
      </w:pPr>
    </w:p>
    <w:p w:rsidR="0FCA8521" w:rsidP="02445BA0" w:rsidRDefault="0FCA8521" w14:paraId="3A9AB821" w14:textId="297A944B">
      <w:pPr>
        <w:pStyle w:val="Normal"/>
      </w:pPr>
      <w:r w:rsidR="0FCA8521">
        <w:rPr/>
        <w:t>Confidence gating improved trade selection. Trades with confidence &gt; 0.75 achieved &gt;90% win rate. We modeled expected return \( \mathbb{E}[r | c] \) as:</w:t>
      </w:r>
    </w:p>
    <w:p w:rsidR="0FCA8521" w:rsidP="02445BA0" w:rsidRDefault="0FCA8521" w14:paraId="32C08B9C" w14:textId="5899DCBC">
      <w:pPr>
        <w:pStyle w:val="Normal"/>
      </w:pPr>
      <w:r w:rsidR="0FCA8521">
        <w:rPr/>
        <w:t>\[ \mathbb{E}[r | c] = p_c \cdot \mu_r \]</w:t>
      </w:r>
    </w:p>
    <w:p w:rsidR="0FCA8521" w:rsidP="02445BA0" w:rsidRDefault="0FCA8521" w14:paraId="2CFF7EE0" w14:textId="251A1D99">
      <w:pPr>
        <w:pStyle w:val="Normal"/>
      </w:pPr>
      <w:r w:rsidR="0FCA8521">
        <w:rPr/>
        <w:t>where \( p_c \) is the probability of success and \( \mu_r \) is the mean return.</w:t>
      </w:r>
    </w:p>
    <w:p w:rsidR="02445BA0" w:rsidP="02445BA0" w:rsidRDefault="02445BA0" w14:paraId="0272781C" w14:textId="31B0602E">
      <w:pPr>
        <w:pStyle w:val="Normal"/>
      </w:pPr>
    </w:p>
    <w:p w:rsidR="0FCA8521" w:rsidP="02445BA0" w:rsidRDefault="0FCA8521" w14:paraId="139D244F" w14:textId="1F8A5A17">
      <w:pPr>
        <w:pStyle w:val="Normal"/>
      </w:pPr>
      <w:r w:rsidR="0FCA8521">
        <w:rPr/>
        <w:t>4. Discussion</w:t>
      </w:r>
    </w:p>
    <w:p w:rsidR="0FCA8521" w:rsidP="02445BA0" w:rsidRDefault="0FCA8521" w14:paraId="7D9FEA09" w14:textId="412ABB04">
      <w:pPr>
        <w:pStyle w:val="Normal"/>
      </w:pPr>
      <w:r w:rsidR="0FCA8521">
        <w:rPr/>
        <w:t>Statistical models such as GARCH captured regime-dependent volatility. Kalman filtering helped smooth out noisy movements and generated usable directional signals. Granger causality tests provided insight into inter-symbol price dependencies, offering avenues for future pair-trading strategies. Our ensemble’s high R² values suggest the dominant price determinants are captured by our selected features, even without sentiment or order book data.</w:t>
      </w:r>
    </w:p>
    <w:p w:rsidR="02445BA0" w:rsidP="02445BA0" w:rsidRDefault="02445BA0" w14:paraId="35AB6D5B" w14:textId="6DF23433">
      <w:pPr>
        <w:pStyle w:val="Normal"/>
      </w:pPr>
    </w:p>
    <w:p w:rsidR="0FCA8521" w:rsidP="02445BA0" w:rsidRDefault="0FCA8521" w14:paraId="7A1815CF" w14:textId="59CDC9D0">
      <w:pPr>
        <w:pStyle w:val="Normal"/>
      </w:pPr>
      <w:r w:rsidR="0FCA8521">
        <w:rPr/>
        <w:t>5. Conclusion and Future Work</w:t>
      </w:r>
    </w:p>
    <w:p w:rsidR="0FCA8521" w:rsidP="02445BA0" w:rsidRDefault="0FCA8521" w14:paraId="174F86D3" w14:textId="649211E7">
      <w:pPr>
        <w:pStyle w:val="Normal"/>
      </w:pPr>
      <w:r w:rsidR="0FCA8521">
        <w:rPr/>
        <w:t>This work contributes a fully implemented and reproducible ML-trading pipeline that merges financial statistics and modern ensemble learning. The models generalize across granularities and symbols, yielding profitable trades with low drawdowns. In future work, we aim to extend the framework to include:</w:t>
      </w:r>
    </w:p>
    <w:p w:rsidR="0FCA8521" w:rsidP="02445BA0" w:rsidRDefault="0FCA8521" w14:paraId="2A0BCF3F" w14:textId="3FBA9B3F">
      <w:pPr>
        <w:pStyle w:val="Normal"/>
      </w:pPr>
      <w:r w:rsidR="0FCA8521">
        <w:rPr/>
        <w:t>- Sentiment-based LSTM modules</w:t>
      </w:r>
    </w:p>
    <w:p w:rsidR="0FCA8521" w:rsidP="02445BA0" w:rsidRDefault="0FCA8521" w14:paraId="0B5A9642" w14:textId="5BF3562B">
      <w:pPr>
        <w:pStyle w:val="Normal"/>
      </w:pPr>
      <w:r w:rsidR="0FCA8521">
        <w:rPr/>
        <w:t>- Reinforcement learning agents for optimal execution</w:t>
      </w:r>
    </w:p>
    <w:p w:rsidR="0FCA8521" w:rsidP="02445BA0" w:rsidRDefault="0FCA8521" w14:paraId="7E112F57" w14:textId="58A1296D">
      <w:pPr>
        <w:pStyle w:val="Normal"/>
      </w:pPr>
      <w:r w:rsidR="0FCA8521">
        <w:rPr/>
        <w:t>- Multi-asset portfolio optimization and allocation dynamics</w:t>
      </w:r>
    </w:p>
    <w:p w:rsidR="02445BA0" w:rsidP="02445BA0" w:rsidRDefault="02445BA0" w14:paraId="1001E588" w14:textId="67CD0E5F">
      <w:pPr>
        <w:pStyle w:val="Normal"/>
      </w:pPr>
    </w:p>
    <w:p w:rsidR="0FCA8521" w:rsidP="02445BA0" w:rsidRDefault="0FCA8521" w14:paraId="01327CAD" w14:textId="3305C3B6">
      <w:pPr>
        <w:pStyle w:val="Normal"/>
      </w:pPr>
      <w:r w:rsidR="0FCA8521">
        <w:rPr/>
        <w:t>References</w:t>
      </w:r>
    </w:p>
    <w:p w:rsidR="0FCA8521" w:rsidP="02445BA0" w:rsidRDefault="0FCA8521" w14:paraId="4BE7DF8A" w14:textId="76DF9D93">
      <w:pPr>
        <w:pStyle w:val="Normal"/>
      </w:pPr>
      <w:r w:rsidR="0FCA8521">
        <w:rPr/>
        <w:t>1. Jabbar, A., &amp; Jalil, S. Q. (2024). *A Comprehensive Analysis of Machine Learning Models for Algorithmic Trading of Bitcoin*. arXiv:2407.18334.</w:t>
      </w:r>
    </w:p>
    <w:p w:rsidR="0FCA8521" w:rsidP="02445BA0" w:rsidRDefault="0FCA8521" w14:paraId="634F9EC3" w14:textId="4E36F8B4">
      <w:pPr>
        <w:pStyle w:val="Normal"/>
      </w:pPr>
      <w:r w:rsidR="0FCA8521">
        <w:rPr/>
        <w:t>2. Fang, F., et al. (2022). *Cryptocurrency Trading: A Comprehensive Survey*. arXiv:2003.11352.</w:t>
      </w:r>
    </w:p>
    <w:p w:rsidR="0FCA8521" w:rsidP="02445BA0" w:rsidRDefault="0FCA8521" w14:paraId="00CD8199" w14:textId="7C4AD336">
      <w:pPr>
        <w:pStyle w:val="Normal"/>
      </w:pPr>
      <w:r w:rsidR="0FCA8521">
        <w:rPr/>
        <w:t>3. Engle, R. (1982). *Autoregressive Conditional Heteroskedasticity with Estimates of the Variance of UK Inflation*. Econometrica.</w:t>
      </w:r>
    </w:p>
    <w:p w:rsidR="0FCA8521" w:rsidP="02445BA0" w:rsidRDefault="0FCA8521" w14:paraId="6E15D182" w14:textId="1DC23FAD">
      <w:pPr>
        <w:pStyle w:val="Normal"/>
      </w:pPr>
      <w:r w:rsidR="0FCA8521">
        <w:rPr/>
        <w:t>4. Kalman, R. E. (1960). *A New Approach to Linear Filtering and Prediction Problems*. Journal of Basic Engineering.</w:t>
      </w:r>
    </w:p>
    <w:p w:rsidR="0FCA8521" w:rsidP="02445BA0" w:rsidRDefault="0FCA8521" w14:paraId="0195A469" w14:textId="1C185310">
      <w:pPr>
        <w:pStyle w:val="Normal"/>
      </w:pPr>
      <w:r w:rsidR="0FCA8521">
        <w:rPr/>
        <w:t>5. Granger, C. W. J. (1969). *Investigating Causal Relations by Econometric Models and Cross-spectral Methods*. Econometrica.</w:t>
      </w:r>
    </w:p>
    <w:p w:rsidR="02445BA0" w:rsidP="02445BA0" w:rsidRDefault="02445BA0" w14:paraId="7DFC84E8" w14:textId="15A37EE9">
      <w:pPr>
        <w:pStyle w:val="Normal"/>
      </w:pPr>
    </w:p>
    <w:p w:rsidR="02445BA0" w:rsidP="02445BA0" w:rsidRDefault="02445BA0" w14:paraId="0782F84C" w14:textId="6604EDAD">
      <w:pPr>
        <w:pStyle w:val="Normal"/>
      </w:pPr>
    </w:p>
    <w:p w:rsidR="02445BA0" w:rsidRDefault="02445BA0" w14:paraId="139C831A" w14:textId="1C7803E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f64b8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eecc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180"/>
      </w:pPr>
      <w:rPr>
        <w:rFonts w:hint="default" w:ascii="Symbol" w:hAnsi="Symbo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2472e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11BFE7"/>
    <w:rsid w:val="02445BA0"/>
    <w:rsid w:val="0811BFE7"/>
    <w:rsid w:val="0D84E75C"/>
    <w:rsid w:val="0FCA8521"/>
    <w:rsid w:val="580B40BE"/>
    <w:rsid w:val="5B1ABD93"/>
    <w:rsid w:val="7FE54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F129F"/>
  <w15:chartTrackingRefBased/>
  <w15:docId w15:val="{5A4CE82F-64C4-4CA8-BED7-703C089DFE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2445BA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a225250101e4fb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2025-04-18T21:14:00.5649813Z</dcterms:created>
  <dcterms:modified xsi:type="dcterms:W3CDTF">2025-04-18T21:17:40.1918412Z</dcterms:modified>
  <dc:creator>Sineshaw Tesfaye</dc:creator>
  <lastModifiedBy>Sineshaw Tesfaye</lastModifiedBy>
</coreProperties>
</file>