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ourier New" w:cs="Courier New" w:eastAsia="Courier New" w:hAnsi="Courier New"/>
          <w:color w:val="666666"/>
          <w:sz w:val="20"/>
          <w:szCs w:val="20"/>
        </w:rPr>
        <w:t xml:space="preserve">2026-04-11</w:t>
      </w:r>
    </w:p>
    <w:p>
      <w:pPr>
        <w:spacing w:after="80" w:before="0"/>
      </w:pPr>
      <w:r>
        <w:rPr>
          <w:rFonts w:ascii="Arial" w:cs="Arial" w:eastAsia="Arial" w:hAnsi="Arial"/>
          <w:b/>
          <w:bCs/>
          <w:color w:val="1A5C32"/>
          <w:sz w:val="48"/>
          <w:szCs w:val="48"/>
        </w:rPr>
        <w:t xml:space="preserve">GLAM — Market Opportunity Blind Spots</w:t>
      </w:r>
    </w:p>
    <w:p>
      <w:pPr>
        <w:spacing w:after="400" w:before="0"/>
      </w:pPr>
      <w:r>
        <w:rPr>
          <w:rFonts w:ascii="Arial" w:cs="Arial" w:eastAsia="Arial" w:hAnsi="Arial"/>
          <w:color w:val="666666"/>
          <w:sz w:val="24"/>
          <w:szCs w:val="24"/>
        </w:rPr>
        <w:t xml:space="preserve">What you're missing as a would-be entrepreneur</w:t>
      </w:r>
    </w:p>
    <w:p>
      <w:pPr>
        <w:pBdr>
          <w:bottom w:val="single" w:color="C0392B" w:sz="5" w:space="3"/>
        </w:pBdr>
        <w:spacing w:after="120" w:before="440"/>
      </w:pPr>
      <w:r>
        <w:rPr>
          <w:rFonts w:ascii="Arial" w:cs="Arial" w:eastAsia="Arial" w:hAnsi="Arial"/>
          <w:b/>
          <w:bCs/>
          <w:color w:val="C0392B"/>
          <w:spacing w:val="100"/>
          <w:sz w:val="16"/>
          <w:szCs w:val="16"/>
        </w:rPr>
        <w:t xml:space="preserve">THE 8 BLIND SPOTS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1</w:t>
            </w:r>
          </w:p>
        </w:tc>
        <w:tc>
          <w:tcPr>
            <w:tcW w:type="dxa" w:w="8960"/>
            <w:tcBorders>
              <w:top w:val="none" w:color="FFFFFF" w:sz="0"/>
              <w:left w:val="none" w:color="FFFFFF" w:sz="0"/>
              <w:bottom w:val="none" w:color="FFFFFF" w:sz="0"/>
              <w:right w:val="none" w:color="FFFFFF" w:sz="0"/>
            </w:tcBorders>
            <w:shd w:fill="FEF0F0" w:val="clear"/>
            <w:tcMar>
              <w:top w:type="dxa" w:w="200"/>
              <w:left w:type="dxa" w:w="260"/>
              <w:bottom w:type="dxa" w:w="200"/>
              <w:right w:type="dxa" w:w="260"/>
            </w:tcMar>
          </w:tcPr>
          <w:p>
            <w:pPr>
              <w:spacing w:after="100" w:before="0"/>
            </w:pPr>
            <w:r>
              <w:rPr>
                <w:rFonts w:ascii="Arial" w:cs="Arial" w:eastAsia="Arial" w:hAnsi="Arial"/>
                <w:b/>
                <w:bCs/>
                <w:color w:val="C0392B"/>
                <w:sz w:val="24"/>
                <w:szCs w:val="24"/>
              </w:rPr>
              <w:t xml:space="preserve">No business model yet</w:t>
            </w:r>
          </w:p>
          <w:p>
            <w:pPr>
              <w:spacing w:after="0" w:before="0"/>
            </w:pPr>
            <w:r>
              <w:rPr>
                <w:rFonts w:ascii="Arial" w:cs="Arial" w:eastAsia="Arial" w:hAnsi="Arial"/>
                <w:color w:val="333333"/>
                <w:sz w:val="21"/>
                <w:szCs w:val="21"/>
              </w:rPr>
              <w:t xml:space="preserve">GLAM is a non-profit movement — correct and important. But movements need money to survive. Mozilla has Firefox. Wikipedia has donations. Linux has IBM and Red Hat. What is GLAM's revenue engine? Open Collective gets you through the launch. It doesn't get you through 2027. You need an answer to "how does GLAM sustain itself" before a funder asks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2</w:t>
            </w:r>
          </w:p>
        </w:tc>
        <w:tc>
          <w:tcPr>
            <w:tcW w:type="dxa" w:w="8960"/>
            <w:tcBorders>
              <w:top w:val="none" w:color="FFFFFF" w:sz="0"/>
              <w:left w:val="none" w:color="FFFFFF" w:sz="0"/>
              <w:bottom w:val="none" w:color="FFFFFF" w:sz="0"/>
              <w:right w:val="none" w:color="FFFFFF" w:sz="0"/>
            </w:tcBorders>
            <w:shd w:fill="FEF0F0" w:val="clear"/>
            <w:tcMar>
              <w:top w:type="dxa" w:w="200"/>
              <w:left w:type="dxa" w:w="260"/>
              <w:bottom w:type="dxa" w:w="200"/>
              <w:right w:type="dxa" w:w="260"/>
            </w:tcMar>
          </w:tcPr>
          <w:p>
            <w:pPr>
              <w:spacing w:after="100" w:before="0"/>
            </w:pPr>
            <w:r>
              <w:rPr>
                <w:rFonts w:ascii="Arial" w:cs="Arial" w:eastAsia="Arial" w:hAnsi="Arial"/>
                <w:b/>
                <w:bCs/>
                <w:color w:val="C0392B"/>
                <w:sz w:val="24"/>
                <w:szCs w:val="24"/>
              </w:rPr>
              <w:t xml:space="preserve">White Mirror is your actual business — and you're underselling it</w:t>
            </w:r>
          </w:p>
          <w:p>
            <w:pPr>
              <w:spacing w:after="0" w:before="0"/>
            </w:pPr>
            <w:r>
              <w:rPr>
                <w:rFonts w:ascii="Arial" w:cs="Arial" w:eastAsia="Arial" w:hAnsi="Arial"/>
                <w:color w:val="333333"/>
                <w:sz w:val="21"/>
                <w:szCs w:val="21"/>
              </w:rPr>
              <w:t xml:space="preserve">An offline personal AI with persistent memory, trained on psychology corpora, that belongs entirely to you — that is a product people will pay for. The privacy angle alone is worth hundreds of dollars a year to the right customer. Replika exists. Pi exists. What does White Mirror do that they don't? You have a stealth for-profit sitting next to a non-profit and haven't pressure-tested the market size, pricing, or competitive landscape.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3</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The enterprise market is wide open and you're ignoring it</w:t>
            </w:r>
          </w:p>
          <w:p>
            <w:pPr>
              <w:spacing w:after="0" w:before="0"/>
            </w:pPr>
            <w:r>
              <w:rPr>
                <w:rFonts w:ascii="Arial" w:cs="Arial" w:eastAsia="Arial" w:hAnsi="Arial"/>
                <w:color w:val="333333"/>
                <w:sz w:val="21"/>
                <w:szCs w:val="21"/>
              </w:rPr>
              <w:t xml:space="preserve">Healthcare, legal, finance — industries where data cannot leave the premises by law. A local AI solution for a hospital system or law firm is a million-dollar contract, not a consumer subscription. GLAM's open source tools could be the foundation. You haven't looked left at this market at 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4</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The Global South is your biggest untapped market</w:t>
            </w:r>
          </w:p>
          <w:p>
            <w:pPr>
              <w:spacing w:after="0" w:before="0"/>
            </w:pPr>
            <w:r>
              <w:rPr>
                <w:rFonts w:ascii="Arial" w:cs="Arial" w:eastAsia="Arial" w:hAnsi="Arial"/>
                <w:color w:val="333333"/>
                <w:sz w:val="21"/>
                <w:szCs w:val="21"/>
              </w:rPr>
              <w:t xml:space="preserve">Cloud AI subscriptions cost $20-200 a month. In most of the world that's a week's salary. Local AI on affordable hardware with no subscription is not just a climate solution — it's an access solution. Two billion people will never afford ChatGPT but could run a local model on a $200 device in 2027. Nobody is building for them explicitly. GLAM could be.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5</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Education is a massive uncontested lane</w:t>
            </w:r>
          </w:p>
          <w:p>
            <w:pPr>
              <w:spacing w:after="0" w:before="0"/>
            </w:pPr>
            <w:r>
              <w:rPr>
                <w:rFonts w:ascii="Arial" w:cs="Arial" w:eastAsia="Arial" w:hAnsi="Arial"/>
                <w:color w:val="333333"/>
                <w:sz w:val="21"/>
                <w:szCs w:val="21"/>
              </w:rPr>
              <w:t xml:space="preserve">Schools and universities cannot send student data to OpenAI's servers. GDPR, FERPA, COPPA — the legal exposure alone makes every school district in the world interested in local AI. A GLAM-certified local AI toolkit for educators is a product, a movement win, and a distribution channel simultaneously. You haven't touched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6</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The query router is your most monetisable product — and it's shelved</w:t>
            </w:r>
          </w:p>
          <w:p>
            <w:pPr>
              <w:spacing w:after="0" w:before="0"/>
            </w:pPr>
            <w:r>
              <w:rPr>
                <w:rFonts w:ascii="Arial" w:cs="Arial" w:eastAsia="Arial" w:hAnsi="Arial"/>
                <w:color w:val="333333"/>
                <w:sz w:val="21"/>
                <w:szCs w:val="21"/>
              </w:rPr>
              <w:t xml:space="preserve">A router that decides which queries go local and which go cloud, minimising energy and cost. That is a SaaS product. Enterprises would pay for it. Developers would build on it. It's the Cloudflare of AI infrastructure. Currently sitting in your notes as a footnote.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7</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You don't know your beachhead customer yet</w:t>
            </w:r>
          </w:p>
          <w:p>
            <w:pPr>
              <w:spacing w:after="0" w:before="0"/>
            </w:pPr>
            <w:r>
              <w:rPr>
                <w:rFonts w:ascii="Arial" w:cs="Arial" w:eastAsia="Arial" w:hAnsi="Arial"/>
                <w:color w:val="333333"/>
                <w:sz w:val="21"/>
                <w:szCs w:val="21"/>
              </w:rPr>
              <w:t xml:space="preserve">Who is the first 1,000 Glammers? Privacy-conscious developers? Climate activists? Global South educators? Each is a different go-to-market, message, and acquisition channel. GLAM currently speaks to all of them equally — which means it speaks to none of them with maximum force. Pick one beachhead customer and own that lane first.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880A"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8</w:t>
            </w:r>
          </w:p>
        </w:tc>
        <w:tc>
          <w:tcPr>
            <w:tcW w:type="dxa" w:w="8960"/>
            <w:tcBorders>
              <w:top w:val="none" w:color="FFFFFF" w:sz="0"/>
              <w:left w:val="none" w:color="FFFFFF" w:sz="0"/>
              <w:bottom w:val="none" w:color="FFFFFF" w:sz="0"/>
              <w:right w:val="none" w:color="FFFFFF" w:sz="0"/>
            </w:tcBorders>
            <w:shd w:fill="FFFBE6" w:val="clear"/>
            <w:tcMar>
              <w:top w:type="dxa" w:w="200"/>
              <w:left w:type="dxa" w:w="260"/>
              <w:bottom w:type="dxa" w:w="200"/>
              <w:right w:type="dxa" w:w="260"/>
            </w:tcMar>
          </w:tcPr>
          <w:p>
            <w:pPr>
              <w:spacing w:after="100" w:before="0"/>
            </w:pPr>
            <w:r>
              <w:rPr>
                <w:rFonts w:ascii="Arial" w:cs="Arial" w:eastAsia="Arial" w:hAnsi="Arial"/>
                <w:b/>
                <w:bCs/>
                <w:color w:val="D4880A"/>
                <w:sz w:val="24"/>
                <w:szCs w:val="24"/>
              </w:rPr>
              <w:t xml:space="preserve">Grant funding is sitting on the table unclaimed</w:t>
            </w:r>
          </w:p>
          <w:p>
            <w:pPr>
              <w:spacing w:after="0" w:before="0"/>
            </w:pPr>
            <w:r>
              <w:rPr>
                <w:rFonts w:ascii="Arial" w:cs="Arial" w:eastAsia="Arial" w:hAnsi="Arial"/>
                <w:color w:val="333333"/>
                <w:sz w:val="21"/>
                <w:szCs w:val="21"/>
              </w:rPr>
              <w:t xml:space="preserve">Mozilla Foundation, Shuttleworth Foundation, Open Technology Fund, Schmidt Futures, Wellcome Trust digital health grants, USAID digital development funds — all fund exactly what GLAM is building. None approached yet. A $50k-$500k grant doesn't require a revenue model. It requires a mission, a team, and a demo. You have all three in 11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2" w:sz="16"/>
              <w:bottom w:val="none" w:color="FFFFFF" w:sz="0"/>
              <w:right w:val="none" w:color="FFFFFF" w:sz="0"/>
            </w:tcBorders>
            <w:shd w:fill="E8F5EC" w:val="clear"/>
            <w:tcMar>
              <w:top w:type="dxa" w:w="220"/>
              <w:left w:type="dxa" w:w="320"/>
              <w:bottom w:type="dxa" w:w="220"/>
              <w:right w:type="dxa" w:w="320"/>
            </w:tcMar>
          </w:tcPr>
          <w:p>
            <w:pPr>
              <w:spacing w:after="100"/>
            </w:pPr>
            <w:r>
              <w:rPr>
                <w:rFonts w:ascii="Arial" w:cs="Arial" w:eastAsia="Arial" w:hAnsi="Arial"/>
                <w:b/>
                <w:bCs/>
                <w:color w:val="1A5C32"/>
                <w:sz w:val="22"/>
                <w:szCs w:val="22"/>
              </w:rPr>
              <w:t xml:space="preserve">The Meta Blind Spot</w:t>
            </w:r>
          </w:p>
          <w:p>
            <w:r>
              <w:rPr>
                <w:rFonts w:ascii="Arial" w:cs="Arial" w:eastAsia="Arial" w:hAnsi="Arial"/>
                <w:color w:val="333333"/>
                <w:sz w:val="22"/>
                <w:szCs w:val="22"/>
              </w:rPr>
              <w:t xml:space="preserve">You're thinking like a movement founder — right for April 22. But you haven't yet thought like a market strategist. The two aren't in conflict. The movement builds credibility and distribution. The products and grants build sustainability. You need both maps in your head simultaneously.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6"/>
        <w:szCs w:val="16"/>
      </w:rPr>
      <w:t xml:space="preserve">2026-04-11  ·  GLAM Market Opportunity Blind Spots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2026-04-12T00:45:08.500Z</dcterms:created>
  <dcterms:modified xsi:type="dcterms:W3CDTF">2026-04-12T00:45:08.500Z</dcterms:modified>
</cp:coreProperties>
</file>

<file path=docProps/custom.xml><?xml version="1.0" encoding="utf-8"?>
<Properties xmlns="http://schemas.openxmlformats.org/officeDocument/2006/custom-properties" xmlns:vt="http://schemas.openxmlformats.org/officeDocument/2006/docPropsVTypes"/>
</file>