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4a24" w:val="clear"/>
            <w:tcMar>
              <w:top w:type="dxa" w:w="400"/>
              <w:left w:type="dxa" w:w="400"/>
              <w:bottom w:type="dxa" w:w="400"/>
              <w:right w:type="dxa" w:w="400"/>
            </w:tcMar>
          </w:tcPr>
          <w:p>
            <w:pPr>
              <w:spacing w:after="80" w:before="0"/>
            </w:pPr>
            <w:r>
              <w:rPr>
                <w:rFonts w:ascii="Courier New" w:cs="Courier New" w:eastAsia="Courier New" w:hAnsi="Courier New"/>
                <w:b/>
                <w:bCs/>
                <w:color w:val="3ddc84"/>
                <w:sz w:val="20"/>
                <w:szCs w:val="20"/>
              </w:rPr>
              <w:t xml:space="preserve">GLAM — Global Local AI Movement</w:t>
            </w:r>
          </w:p>
          <w:p>
            <w:pPr>
              <w:spacing w:after="200" w:before="0"/>
            </w:pPr>
            <w:r>
              <w:rPr>
                <w:rFonts w:ascii="Arial" w:cs="Arial" w:eastAsia="Arial" w:hAnsi="Arial"/>
                <w:b w:val="false"/>
                <w:bCs w:val="false"/>
                <w:color w:val="aaccaa"/>
                <w:sz w:val="18"/>
                <w:szCs w:val="18"/>
              </w:rPr>
              <w:t xml:space="preserve">Research Compendium · Compiled April 2026</w:t>
            </w:r>
          </w:p>
          <w:p>
            <w:pPr>
              <w:spacing w:after="120" w:before="0"/>
            </w:pPr>
            <w:r>
              <w:rPr>
                <w:rFonts w:ascii="Arial" w:cs="Arial" w:eastAsia="Arial" w:hAnsi="Arial"/>
                <w:b/>
                <w:bCs/>
                <w:color w:val="FFFFFF"/>
                <w:sz w:val="52"/>
                <w:szCs w:val="52"/>
              </w:rPr>
              <w:t xml:space="preserve">Local AI as a Climate &amp;</w:t>
            </w:r>
          </w:p>
          <w:p>
            <w:pPr>
              <w:spacing w:after="120" w:before="0"/>
            </w:pPr>
            <w:r>
              <w:rPr>
                <w:rFonts w:ascii="Arial" w:cs="Arial" w:eastAsia="Arial" w:hAnsi="Arial"/>
                <w:b/>
                <w:bCs/>
                <w:color w:val="FFFFFF"/>
                <w:sz w:val="52"/>
                <w:szCs w:val="52"/>
              </w:rPr>
              <w:t xml:space="preserve">Sovereignty Solution</w:t>
            </w:r>
          </w:p>
          <w:p>
            <w:pPr>
              <w:spacing w:after="0" w:before="200"/>
            </w:pPr>
            <w:r>
              <w:rPr>
                <w:rFonts w:ascii="Arial" w:cs="Arial" w:eastAsia="Arial" w:hAnsi="Arial"/>
                <w:b w:val="false"/>
                <w:bCs w:val="false"/>
                <w:color w:val="aaccaa"/>
                <w:sz w:val="20"/>
                <w:szCs w:val="20"/>
              </w:rPr>
              <w:t xml:space="preserve">Every published source. Every key statistic. Fully cited.</w:t>
            </w:r>
          </w:p>
        </w:tc>
      </w:tr>
    </w:tbl>
    <w:p>
      <w:pPr>
        <w:spacing w:after="60" w:before="0"/>
        <w:jc w:val="left"/>
      </w:pPr>
      <w:r>
        <w:rPr>
          <w:rFonts w:ascii="Arial" w:cs="Arial" w:eastAsia="Arial" w:hAnsi="Arial"/>
          <w:b w:val="false"/>
          <w:bCs w:val="false"/>
          <w:color w:val="1a1a1a"/>
          <w:sz w:val="22"/>
          <w:szCs w:val="22"/>
        </w:rPr>
        <w:t xml:space="preserve"/>
      </w:r>
    </w:p>
    <w:p>
      <w:pPr>
        <w:spacing w:after="60" w:before="0"/>
        <w:jc w:val="left"/>
      </w:pPr>
      <w:r>
        <w:rPr>
          <w:rFonts w:ascii="Arial" w:cs="Arial" w:eastAsia="Arial" w:hAnsi="Arial"/>
          <w:b w:val="false"/>
          <w:bCs w:val="false"/>
          <w:color w:val="1a1a1a"/>
          <w:sz w:val="22"/>
          <w:szCs w:val="22"/>
        </w:rPr>
        <w:t xml:space="preserve"/>
      </w:r>
    </w:p>
    <w:p>
      <w:pPr>
        <w:spacing w:after="120" w:before="0"/>
        <w:jc w:val="left"/>
      </w:pPr>
      <w:r>
        <w:rPr>
          <w:rFonts w:ascii="Arial" w:cs="Arial" w:eastAsia="Arial" w:hAnsi="Arial"/>
          <w:b w:val="false"/>
          <w:bCs w:val="false"/>
          <w:color w:val="444444"/>
          <w:sz w:val="22"/>
          <w:szCs w:val="22"/>
        </w:rPr>
        <w:t xml:space="preserve">This document compiles every significant published source on local AI as an environmental, privacy, and sovereignty solution. It is structured for use in speeches, media pitches, ESG briefings, validator outreach, and government conversations. Sources are tiered by credibility — cite Tier 1 first.</w:t>
      </w:r>
    </w:p>
    <w:p>
      <w:pPr>
        <w:spacing w:after="60" w:before="0"/>
        <w:jc w:val="left"/>
      </w:pPr>
      <w:r>
        <w:rPr>
          <w:rFonts w:ascii="Arial" w:cs="Arial" w:eastAsia="Arial" w:hAnsi="Arial"/>
          <w:b w:val="false"/>
          <w:bCs w:val="false"/>
          <w:color w:val="1a1a1a"/>
          <w:sz w:val="22"/>
          <w:szCs w:val="22"/>
        </w:rPr>
        <w:t xml:space="preserve"/>
      </w:r>
    </w:p>
    <w:p>
      <w:pPr>
        <w:spacing w:after="80" w:before="0"/>
      </w:pPr>
      <w:r>
        <w:rPr>
          <w:rFonts w:ascii="Courier New" w:cs="Courier New" w:eastAsia="Courier New" w:hAnsi="Courier New"/>
          <w:b/>
          <w:bCs/>
          <w:color w:val="3ddc84"/>
          <w:sz w:val="17"/>
          <w:szCs w:val="17"/>
        </w:rPr>
        <w:t xml:space="preserve">— AT A GLANCE —</w:t>
      </w:r>
    </w:p>
    <w:p>
      <w:pPr>
        <w:pBdr>
          <w:bottom w:val="single" w:color="3ddc84" w:sz="10" w:space="6"/>
        </w:pBdr>
        <w:spacing w:after="120" w:before="400"/>
      </w:pPr>
      <w:r>
        <w:rPr>
          <w:rFonts w:ascii="Arial" w:cs="Arial" w:eastAsia="Arial" w:hAnsi="Arial"/>
          <w:b/>
          <w:bCs/>
          <w:color w:val="1a4a24"/>
          <w:sz w:val="30"/>
          <w:szCs w:val="30"/>
        </w:rPr>
        <w:t xml:space="preserve">Key Statistics — Ready to Use</w:t>
      </w:r>
    </w:p>
    <w:p>
      <w:pPr>
        <w:spacing w:after="100" w:before="280"/>
      </w:pPr>
      <w:r>
        <w:rPr>
          <w:rFonts w:ascii="Arial" w:cs="Arial" w:eastAsia="Arial" w:hAnsi="Arial"/>
          <w:b/>
          <w:bCs/>
          <w:color w:val="2d7a47"/>
          <w:sz w:val="26"/>
          <w:szCs w:val="26"/>
        </w:rPr>
        <w:t xml:space="preserve">The Problem: Cloud AI Environmental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fdf0f0" w:val="clear"/>
            <w:tcMar>
              <w:top w:type="dxa" w:w="120"/>
              <w:left w:type="dxa" w:w="160"/>
              <w:bottom w:type="dxa" w:w="120"/>
              <w:right w:type="dxa" w:w="160"/>
            </w:tcMar>
          </w:tcPr>
          <w:p>
            <w:pPr>
              <w:spacing w:after="60" w:before="0"/>
            </w:pPr>
            <w:r>
              <w:rPr>
                <w:rFonts w:ascii="Arial" w:cs="Arial" w:eastAsia="Arial" w:hAnsi="Arial"/>
                <w:b/>
                <w:bCs/>
                <w:color w:val="8b1a1a"/>
                <w:sz w:val="36"/>
                <w:szCs w:val="36"/>
              </w:rPr>
              <w:t xml:space="preserve">415 TWh</w:t>
            </w:r>
          </w:p>
          <w:p>
            <w:pPr>
              <w:spacing w:after="60" w:before="0"/>
            </w:pPr>
            <w:r>
              <w:rPr>
                <w:rFonts w:ascii="Arial" w:cs="Arial" w:eastAsia="Arial" w:hAnsi="Arial"/>
                <w:b w:val="false"/>
                <w:bCs w:val="false"/>
                <w:color w:val="1a1a1a"/>
                <w:sz w:val="19"/>
                <w:szCs w:val="19"/>
              </w:rPr>
              <w:t xml:space="preserve">Global data center electricity 2024 — equivalent to Japan's entire annual demand</w:t>
            </w:r>
          </w:p>
          <w:p>
            <w:pPr>
              <w:spacing w:after="0" w:before="0"/>
            </w:pPr>
            <w:r>
              <w:rPr>
                <w:rFonts w:ascii="Arial" w:cs="Arial" w:eastAsia="Arial" w:hAnsi="Arial"/>
                <w:b w:val="false"/>
                <w:bCs w:val="false"/>
                <w:color w:val="888888"/>
                <w:sz w:val="17"/>
                <w:szCs w:val="17"/>
              </w:rPr>
              <w:t xml:space="preserve">IEA Energy &amp; AI 2025</w:t>
            </w:r>
          </w:p>
        </w:tc>
        <w:tc>
          <w:tcPr>
            <w:tcW w:type="dxa" w:w="3120"/>
            <w:tcBorders>
              <w:top w:val="single" w:color="dddddd" w:sz="1"/>
              <w:left w:val="single" w:color="dddddd" w:sz="1"/>
              <w:bottom w:val="single" w:color="dddddd" w:sz="1"/>
              <w:right w:val="single" w:color="dddddd" w:sz="1"/>
            </w:tcBorders>
            <w:shd w:fill="fdf0f0" w:val="clear"/>
            <w:tcMar>
              <w:top w:type="dxa" w:w="120"/>
              <w:left w:type="dxa" w:w="160"/>
              <w:bottom w:type="dxa" w:w="120"/>
              <w:right w:type="dxa" w:w="160"/>
            </w:tcMar>
          </w:tcPr>
          <w:p>
            <w:pPr>
              <w:spacing w:after="60" w:before="0"/>
            </w:pPr>
            <w:r>
              <w:rPr>
                <w:rFonts w:ascii="Arial" w:cs="Arial" w:eastAsia="Arial" w:hAnsi="Arial"/>
                <w:b/>
                <w:bCs/>
                <w:color w:val="8b1a1a"/>
                <w:sz w:val="36"/>
                <w:szCs w:val="36"/>
              </w:rPr>
              <w:t xml:space="preserve">945 TWh</w:t>
            </w:r>
          </w:p>
          <w:p>
            <w:pPr>
              <w:spacing w:after="60" w:before="0"/>
            </w:pPr>
            <w:r>
              <w:rPr>
                <w:rFonts w:ascii="Arial" w:cs="Arial" w:eastAsia="Arial" w:hAnsi="Arial"/>
                <w:b w:val="false"/>
                <w:bCs w:val="false"/>
                <w:color w:val="1a1a1a"/>
                <w:sz w:val="19"/>
                <w:szCs w:val="19"/>
              </w:rPr>
              <w:t xml:space="preserve">Projected by 2030 — doubling in 6 years, growing 15%/yr, 4× faster than all other sectors</w:t>
            </w:r>
          </w:p>
          <w:p>
            <w:pPr>
              <w:spacing w:after="0" w:before="0"/>
            </w:pPr>
            <w:r>
              <w:rPr>
                <w:rFonts w:ascii="Arial" w:cs="Arial" w:eastAsia="Arial" w:hAnsi="Arial"/>
                <w:b w:val="false"/>
                <w:bCs w:val="false"/>
                <w:color w:val="888888"/>
                <w:sz w:val="17"/>
                <w:szCs w:val="17"/>
              </w:rPr>
              <w:t xml:space="preserve">IEA 2025</w:t>
            </w:r>
          </w:p>
        </w:tc>
        <w:tc>
          <w:tcPr>
            <w:tcW w:type="dxa" w:w="3120"/>
            <w:tcBorders>
              <w:top w:val="single" w:color="dddddd" w:sz="1"/>
              <w:left w:val="single" w:color="dddddd" w:sz="1"/>
              <w:bottom w:val="single" w:color="dddddd" w:sz="1"/>
              <w:right w:val="single" w:color="dddddd" w:sz="1"/>
            </w:tcBorders>
            <w:shd w:fill="fdf0f0" w:val="clear"/>
            <w:tcMar>
              <w:top w:type="dxa" w:w="120"/>
              <w:left w:type="dxa" w:w="160"/>
              <w:bottom w:type="dxa" w:w="120"/>
              <w:right w:type="dxa" w:w="160"/>
            </w:tcMar>
          </w:tcPr>
          <w:p>
            <w:pPr>
              <w:spacing w:after="60" w:before="0"/>
            </w:pPr>
            <w:r>
              <w:rPr>
                <w:rFonts w:ascii="Arial" w:cs="Arial" w:eastAsia="Arial" w:hAnsi="Arial"/>
                <w:b/>
                <w:bCs/>
                <w:color w:val="8b1a1a"/>
                <w:sz w:val="36"/>
                <w:szCs w:val="36"/>
              </w:rPr>
              <w:t xml:space="preserve">17B gal</w:t>
            </w:r>
          </w:p>
          <w:p>
            <w:pPr>
              <w:spacing w:after="60" w:before="0"/>
            </w:pPr>
            <w:r>
              <w:rPr>
                <w:rFonts w:ascii="Arial" w:cs="Arial" w:eastAsia="Arial" w:hAnsi="Arial"/>
                <w:b w:val="false"/>
                <w:bCs w:val="false"/>
                <w:color w:val="1a1a1a"/>
                <w:sz w:val="19"/>
                <w:szCs w:val="19"/>
              </w:rPr>
              <w:t xml:space="preserve">US data center cooling water consumed in 2023 alone — rising to 33B gal by 2028</w:t>
            </w:r>
          </w:p>
          <w:p>
            <w:pPr>
              <w:spacing w:after="0" w:before="0"/>
            </w:pPr>
            <w:r>
              <w:rPr>
                <w:rFonts w:ascii="Arial" w:cs="Arial" w:eastAsia="Arial" w:hAnsi="Arial"/>
                <w:b w:val="false"/>
                <w:bCs w:val="false"/>
                <w:color w:val="888888"/>
                <w:sz w:val="17"/>
                <w:szCs w:val="17"/>
              </w:rPr>
              <w:t xml:space="preserve">Berkeley Lab / DOE 2024</w:t>
            </w:r>
          </w:p>
        </w:tc>
      </w:tr>
    </w:tbl>
    <w:p>
      <w:pPr>
        <w:spacing w:after="60" w:before="0"/>
        <w:jc w:val="left"/>
      </w:pPr>
      <w:r>
        <w:rPr>
          <w:rFonts w:ascii="Arial" w:cs="Arial" w:eastAsia="Arial" w:hAnsi="Arial"/>
          <w:b w:val="false"/>
          <w:bCs w:val="false"/>
          <w:color w:val="1a1a1a"/>
          <w:sz w:val="22"/>
          <w:szCs w:val="22"/>
        </w:rPr>
        <w:t xml:space="preserve"/>
      </w:r>
    </w:p>
    <w:p>
      <w:pPr>
        <w:spacing w:after="100" w:before="280"/>
      </w:pPr>
      <w:r>
        <w:rPr>
          <w:rFonts w:ascii="Arial" w:cs="Arial" w:eastAsia="Arial" w:hAnsi="Arial"/>
          <w:b/>
          <w:bCs/>
          <w:color w:val="2d7a47"/>
          <w:sz w:val="26"/>
          <w:szCs w:val="26"/>
        </w:rPr>
        <w:t xml:space="preserve">The Solution: Local AI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e8f5ee" w:val="clear"/>
            <w:tcMar>
              <w:top w:type="dxa" w:w="120"/>
              <w:left w:type="dxa" w:w="160"/>
              <w:bottom w:type="dxa" w:w="120"/>
              <w:right w:type="dxa" w:w="160"/>
            </w:tcMar>
          </w:tcPr>
          <w:p>
            <w:pPr>
              <w:spacing w:after="60" w:before="0"/>
            </w:pPr>
            <w:r>
              <w:rPr>
                <w:rFonts w:ascii="Arial" w:cs="Arial" w:eastAsia="Arial" w:hAnsi="Arial"/>
                <w:b/>
                <w:bCs/>
                <w:color w:val="2d7a47"/>
                <w:sz w:val="36"/>
                <w:szCs w:val="36"/>
              </w:rPr>
              <w:t xml:space="preserve">88.7%</w:t>
            </w:r>
          </w:p>
          <w:p>
            <w:pPr>
              <w:spacing w:after="60" w:before="0"/>
            </w:pPr>
            <w:r>
              <w:rPr>
                <w:rFonts w:ascii="Arial" w:cs="Arial" w:eastAsia="Arial" w:hAnsi="Arial"/>
                <w:b w:val="false"/>
                <w:bCs w:val="false"/>
                <w:color w:val="1a1a1a"/>
                <w:sz w:val="19"/>
                <w:szCs w:val="19"/>
              </w:rPr>
              <w:t xml:space="preserve">Of everyday AI queries handled accurately by local models right now</w:t>
            </w:r>
          </w:p>
          <w:p>
            <w:pPr>
              <w:spacing w:after="0" w:before="0"/>
            </w:pPr>
            <w:r>
              <w:rPr>
                <w:rFonts w:ascii="Arial" w:cs="Arial" w:eastAsia="Arial" w:hAnsi="Arial"/>
                <w:b w:val="false"/>
                <w:bCs w:val="false"/>
                <w:color w:val="888888"/>
                <w:sz w:val="17"/>
                <w:szCs w:val="17"/>
              </w:rPr>
              <w:t xml:space="preserve">Stanford / Hazy Research Nov 2025</w:t>
            </w:r>
          </w:p>
        </w:tc>
        <w:tc>
          <w:tcPr>
            <w:tcW w:type="dxa" w:w="3120"/>
            <w:tcBorders>
              <w:top w:val="single" w:color="dddddd" w:sz="1"/>
              <w:left w:val="single" w:color="dddddd" w:sz="1"/>
              <w:bottom w:val="single" w:color="dddddd" w:sz="1"/>
              <w:right w:val="single" w:color="dddddd" w:sz="1"/>
            </w:tcBorders>
            <w:shd w:fill="e8f5ee" w:val="clear"/>
            <w:tcMar>
              <w:top w:type="dxa" w:w="120"/>
              <w:left w:type="dxa" w:w="160"/>
              <w:bottom w:type="dxa" w:w="120"/>
              <w:right w:type="dxa" w:w="160"/>
            </w:tcMar>
          </w:tcPr>
          <w:p>
            <w:pPr>
              <w:spacing w:after="60" w:before="0"/>
            </w:pPr>
            <w:r>
              <w:rPr>
                <w:rFonts w:ascii="Arial" w:cs="Arial" w:eastAsia="Arial" w:hAnsi="Arial"/>
                <w:b/>
                <w:bCs/>
                <w:color w:val="2d7a47"/>
                <w:sz w:val="36"/>
                <w:szCs w:val="36"/>
              </w:rPr>
              <w:t xml:space="preserve">90%</w:t>
            </w:r>
          </w:p>
          <w:p>
            <w:pPr>
              <w:spacing w:after="60" w:before="0"/>
            </w:pPr>
            <w:r>
              <w:rPr>
                <w:rFonts w:ascii="Arial" w:cs="Arial" w:eastAsia="Arial" w:hAnsi="Arial"/>
                <w:b w:val="false"/>
                <w:bCs w:val="false"/>
                <w:color w:val="1a1a1a"/>
                <w:sz w:val="19"/>
                <w:szCs w:val="19"/>
              </w:rPr>
              <w:t xml:space="preserve">Energy reduction achievable with smaller task-specific local models — without loss of accuracy</w:t>
            </w:r>
          </w:p>
          <w:p>
            <w:pPr>
              <w:spacing w:after="0" w:before="0"/>
            </w:pPr>
            <w:r>
              <w:rPr>
                <w:rFonts w:ascii="Arial" w:cs="Arial" w:eastAsia="Arial" w:hAnsi="Arial"/>
                <w:b w:val="false"/>
                <w:bCs w:val="false"/>
                <w:color w:val="888888"/>
                <w:sz w:val="17"/>
                <w:szCs w:val="17"/>
              </w:rPr>
              <w:t xml:space="preserve">UNESCO / UCL July 2025</w:t>
            </w:r>
          </w:p>
        </w:tc>
        <w:tc>
          <w:tcPr>
            <w:tcW w:type="dxa" w:w="3120"/>
            <w:tcBorders>
              <w:top w:val="single" w:color="dddddd" w:sz="1"/>
              <w:left w:val="single" w:color="dddddd" w:sz="1"/>
              <w:bottom w:val="single" w:color="dddddd" w:sz="1"/>
              <w:right w:val="single" w:color="dddddd" w:sz="1"/>
            </w:tcBorders>
            <w:shd w:fill="e8f5ee" w:val="clear"/>
            <w:tcMar>
              <w:top w:type="dxa" w:w="120"/>
              <w:left w:type="dxa" w:w="160"/>
              <w:bottom w:type="dxa" w:w="120"/>
              <w:right w:type="dxa" w:w="160"/>
            </w:tcMar>
          </w:tcPr>
          <w:p>
            <w:pPr>
              <w:spacing w:after="60" w:before="0"/>
            </w:pPr>
            <w:r>
              <w:rPr>
                <w:rFonts w:ascii="Arial" w:cs="Arial" w:eastAsia="Arial" w:hAnsi="Arial"/>
                <w:b/>
                <w:bCs/>
                <w:color w:val="2d7a47"/>
                <w:sz w:val="36"/>
                <w:szCs w:val="36"/>
              </w:rPr>
              <w:t xml:space="preserve">5.3×</w:t>
            </w:r>
          </w:p>
          <w:p>
            <w:pPr>
              <w:spacing w:after="60" w:before="0"/>
            </w:pPr>
            <w:r>
              <w:rPr>
                <w:rFonts w:ascii="Arial" w:cs="Arial" w:eastAsia="Arial" w:hAnsi="Arial"/>
                <w:b w:val="false"/>
                <w:bCs w:val="false"/>
                <w:color w:val="1a1a1a"/>
                <w:sz w:val="19"/>
                <w:szCs w:val="19"/>
              </w:rPr>
              <w:t xml:space="preserve">Improvement in local AI intelligence-per-watt efficiency from 2023 to 2025</w:t>
            </w:r>
          </w:p>
          <w:p>
            <w:pPr>
              <w:spacing w:after="0" w:before="0"/>
            </w:pPr>
            <w:r>
              <w:rPr>
                <w:rFonts w:ascii="Arial" w:cs="Arial" w:eastAsia="Arial" w:hAnsi="Arial"/>
                <w:b w:val="false"/>
                <w:bCs w:val="false"/>
                <w:color w:val="888888"/>
                <w:sz w:val="17"/>
                <w:szCs w:val="17"/>
              </w:rPr>
              <w:t xml:space="preserve">Stanford / Hazy Research Nov 2025</w:t>
            </w:r>
          </w:p>
        </w:tc>
      </w:tr>
    </w:tbl>
    <w:p>
      <w:pPr>
        <w:spacing w:after="60" w:before="0"/>
        <w:jc w:val="left"/>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e8f5ee" w:val="clear"/>
            <w:tcMar>
              <w:top w:type="dxa" w:w="120"/>
              <w:left w:type="dxa" w:w="160"/>
              <w:bottom w:type="dxa" w:w="120"/>
              <w:right w:type="dxa" w:w="160"/>
            </w:tcMar>
          </w:tcPr>
          <w:p>
            <w:pPr>
              <w:spacing w:after="60" w:before="0"/>
            </w:pPr>
            <w:r>
              <w:rPr>
                <w:rFonts w:ascii="Arial" w:cs="Arial" w:eastAsia="Arial" w:hAnsi="Arial"/>
                <w:b/>
                <w:bCs/>
                <w:color w:val="2d7a47"/>
                <w:sz w:val="36"/>
                <w:szCs w:val="36"/>
              </w:rPr>
              <w:t xml:space="preserve">75%</w:t>
            </w:r>
          </w:p>
          <w:p>
            <w:pPr>
              <w:spacing w:after="60" w:before="0"/>
            </w:pPr>
            <w:r>
              <w:rPr>
                <w:rFonts w:ascii="Arial" w:cs="Arial" w:eastAsia="Arial" w:hAnsi="Arial"/>
                <w:b w:val="false"/>
                <w:bCs w:val="false"/>
                <w:color w:val="1a1a1a"/>
                <w:sz w:val="19"/>
                <w:szCs w:val="19"/>
              </w:rPr>
              <w:t xml:space="preserve">Max energy savings from local/hybrid AI vs pure cloud for agentic workloads</w:t>
            </w:r>
          </w:p>
          <w:p>
            <w:pPr>
              <w:spacing w:after="0" w:before="0"/>
            </w:pPr>
            <w:r>
              <w:rPr>
                <w:rFonts w:ascii="Arial" w:cs="Arial" w:eastAsia="Arial" w:hAnsi="Arial"/>
                <w:b w:val="false"/>
                <w:bCs w:val="false"/>
                <w:color w:val="888888"/>
                <w:sz w:val="17"/>
                <w:szCs w:val="17"/>
              </w:rPr>
              <w:t xml:space="preserve">ArXiv Hybrid Edge-Cloud Jan 2025</w:t>
            </w:r>
          </w:p>
        </w:tc>
        <w:tc>
          <w:tcPr>
            <w:tcW w:type="dxa" w:w="3120"/>
            <w:tcBorders>
              <w:top w:val="single" w:color="dddddd" w:sz="1"/>
              <w:left w:val="single" w:color="dddddd" w:sz="1"/>
              <w:bottom w:val="single" w:color="dddddd" w:sz="1"/>
              <w:right w:val="single" w:color="dddddd" w:sz="1"/>
            </w:tcBorders>
            <w:shd w:fill="e8f5ee" w:val="clear"/>
            <w:tcMar>
              <w:top w:type="dxa" w:w="120"/>
              <w:left w:type="dxa" w:w="160"/>
              <w:bottom w:type="dxa" w:w="120"/>
              <w:right w:type="dxa" w:w="160"/>
            </w:tcMar>
          </w:tcPr>
          <w:p>
            <w:pPr>
              <w:spacing w:after="60" w:before="0"/>
            </w:pPr>
            <w:r>
              <w:rPr>
                <w:rFonts w:ascii="Arial" w:cs="Arial" w:eastAsia="Arial" w:hAnsi="Arial"/>
                <w:b/>
                <w:bCs/>
                <w:color w:val="2d7a47"/>
                <w:sz w:val="36"/>
                <w:szCs w:val="36"/>
              </w:rPr>
              <w:t xml:space="preserve">52%</w:t>
            </w:r>
          </w:p>
          <w:p>
            <w:pPr>
              <w:spacing w:after="60" w:before="0"/>
            </w:pPr>
            <w:r>
              <w:rPr>
                <w:rFonts w:ascii="Arial" w:cs="Arial" w:eastAsia="Arial" w:hAnsi="Arial"/>
                <w:b w:val="false"/>
                <w:bCs w:val="false"/>
                <w:color w:val="1a1a1a"/>
                <w:sz w:val="19"/>
                <w:szCs w:val="19"/>
              </w:rPr>
              <w:t xml:space="preserve">Of cloud AI energy is network overhead — before inference even begins</w:t>
            </w:r>
          </w:p>
          <w:p>
            <w:pPr>
              <w:spacing w:after="0" w:before="0"/>
            </w:pPr>
            <w:r>
              <w:rPr>
                <w:rFonts w:ascii="Arial" w:cs="Arial" w:eastAsia="Arial" w:hAnsi="Arial"/>
                <w:b w:val="false"/>
                <w:bCs w:val="false"/>
                <w:color w:val="888888"/>
                <w:sz w:val="17"/>
                <w:szCs w:val="17"/>
              </w:rPr>
              <w:t xml:space="preserve">ArXiv Hybrid Edge-Cloud Jan 2025</w:t>
            </w:r>
          </w:p>
        </w:tc>
        <w:tc>
          <w:tcPr>
            <w:tcW w:type="dxa" w:w="3120"/>
            <w:tcBorders>
              <w:top w:val="single" w:color="dddddd" w:sz="1"/>
              <w:left w:val="single" w:color="dddddd" w:sz="1"/>
              <w:bottom w:val="single" w:color="dddddd" w:sz="1"/>
              <w:right w:val="single" w:color="dddddd" w:sz="1"/>
            </w:tcBorders>
            <w:shd w:fill="e8f5ee" w:val="clear"/>
            <w:tcMar>
              <w:top w:type="dxa" w:w="120"/>
              <w:left w:type="dxa" w:w="160"/>
              <w:bottom w:type="dxa" w:w="120"/>
              <w:right w:type="dxa" w:w="160"/>
            </w:tcMar>
          </w:tcPr>
          <w:p>
            <w:pPr>
              <w:spacing w:after="60" w:before="0"/>
            </w:pPr>
            <w:r>
              <w:rPr>
                <w:rFonts w:ascii="Arial" w:cs="Arial" w:eastAsia="Arial" w:hAnsi="Arial"/>
                <w:b/>
                <w:bCs/>
                <w:color w:val="2d7a47"/>
                <w:sz w:val="36"/>
                <w:szCs w:val="36"/>
              </w:rPr>
              <w:t xml:space="preserve">106 TWh</w:t>
            </w:r>
          </w:p>
          <w:p>
            <w:pPr>
              <w:spacing w:after="60" w:before="0"/>
            </w:pPr>
            <w:r>
              <w:rPr>
                <w:rFonts w:ascii="Arial" w:cs="Arial" w:eastAsia="Arial" w:hAnsi="Arial"/>
                <w:b w:val="false"/>
                <w:bCs w:val="false"/>
                <w:color w:val="1a1a1a"/>
                <w:sz w:val="19"/>
                <w:szCs w:val="19"/>
              </w:rPr>
              <w:t xml:space="preserve">Global energy savings by 2028 from smart model selection alone — 17 nuclear reactors' output</w:t>
            </w:r>
          </w:p>
          <w:p>
            <w:pPr>
              <w:spacing w:after="0" w:before="0"/>
            </w:pPr>
            <w:r>
              <w:rPr>
                <w:rFonts w:ascii="Arial" w:cs="Arial" w:eastAsia="Arial" w:hAnsi="Arial"/>
                <w:b w:val="false"/>
                <w:bCs w:val="false"/>
                <w:color w:val="888888"/>
                <w:sz w:val="17"/>
                <w:szCs w:val="17"/>
              </w:rPr>
              <w:t xml:space="preserve">ArXiv 'Small is Sufficient' Oct 2025</w:t>
            </w:r>
          </w:p>
        </w:tc>
      </w:tr>
    </w:tbl>
    <w:p>
      <w:pPr>
        <w:spacing w:after="60" w:before="0"/>
        <w:jc w:val="left"/>
      </w:pPr>
      <w:r>
        <w:rPr>
          <w:rFonts w:ascii="Arial" w:cs="Arial" w:eastAsia="Arial" w:hAnsi="Arial"/>
          <w:b w:val="false"/>
          <w:bCs w:val="false"/>
          <w:color w:val="1a1a1a"/>
          <w:sz w:val="22"/>
          <w:szCs w:val="22"/>
        </w:rPr>
        <w:t xml:space="preserve"/>
      </w:r>
    </w:p>
    <w:p>
      <w:pPr>
        <w:spacing w:after="60" w:before="0"/>
        <w:jc w:val="left"/>
      </w:pPr>
      <w:r>
        <w:rPr>
          <w:rFonts w:ascii="Arial" w:cs="Arial" w:eastAsia="Arial" w:hAnsi="Arial"/>
          <w:b w:val="false"/>
          <w:bCs w:val="false"/>
          <w:color w:val="1a1a1a"/>
          <w:sz w:val="22"/>
          <w:szCs w:val="22"/>
        </w:rPr>
        <w:t xml:space="preserve"/>
      </w:r>
    </w:p>
    <w:p>
      <w:r>
        <w:br w:type="page"/>
      </w:r>
    </w:p>
    <w:p>
      <w:pPr>
        <w:spacing w:after="80" w:before="0"/>
      </w:pPr>
      <w:r>
        <w:rPr>
          <w:rFonts w:ascii="Courier New" w:cs="Courier New" w:eastAsia="Courier New" w:hAnsi="Courier New"/>
          <w:b/>
          <w:bCs/>
          <w:color w:val="3ddc84"/>
          <w:sz w:val="17"/>
          <w:szCs w:val="17"/>
        </w:rPr>
        <w:t xml:space="preserve">— TIER 1 — PRIMARY INSTITUTIONAL SOURCES —</w:t>
      </w:r>
    </w:p>
    <w:p>
      <w:pPr>
        <w:pBdr>
          <w:bottom w:val="single" w:color="3ddc84" w:sz="10" w:space="6"/>
        </w:pBdr>
        <w:spacing w:after="120" w:before="400"/>
      </w:pPr>
      <w:r>
        <w:rPr>
          <w:rFonts w:ascii="Arial" w:cs="Arial" w:eastAsia="Arial" w:hAnsi="Arial"/>
          <w:b/>
          <w:bCs/>
          <w:color w:val="1a4a24"/>
          <w:sz w:val="30"/>
          <w:szCs w:val="30"/>
        </w:rPr>
        <w:t xml:space="preserve">Cite These First</w:t>
      </w:r>
    </w:p>
    <w:p>
      <w:pPr>
        <w:spacing w:after="120" w:before="0"/>
        <w:jc w:val="left"/>
      </w:pPr>
      <w:r>
        <w:rPr>
          <w:rFonts w:ascii="Arial" w:cs="Arial" w:eastAsia="Arial" w:hAnsi="Arial"/>
          <w:b w:val="false"/>
          <w:bCs w:val="false"/>
          <w:color w:val="444444"/>
          <w:sz w:val="22"/>
          <w:szCs w:val="22"/>
        </w:rPr>
        <w:t xml:space="preserve">Highest credibility for media, policy, ESG, and government audiences. These are peer-reviewed, UN-backed, or from the world's leading energy institutions.</w:t>
      </w:r>
    </w:p>
    <w:p>
      <w:pPr>
        <w:spacing w:after="60" w:before="0"/>
        <w:jc w:val="left"/>
      </w:pPr>
      <w:r>
        <w:rPr>
          <w:rFonts w:ascii="Arial" w:cs="Arial" w:eastAsia="Arial" w:hAnsi="Arial"/>
          <w:b w:val="false"/>
          <w:bCs w:val="false"/>
          <w:color w:val="1a1a1a"/>
          <w:sz w:val="22"/>
          <w:szCs w:val="22"/>
        </w:rPr>
        <w:t xml:space="preserve"/>
      </w:r>
    </w:p>
    <w:p>
      <w:pPr>
        <w:spacing w:after="100" w:before="280"/>
      </w:pPr>
      <w:r>
        <w:rPr>
          <w:rFonts w:ascii="Arial" w:cs="Arial" w:eastAsia="Arial" w:hAnsi="Arial"/>
          <w:b/>
          <w:bCs/>
          <w:color w:val="2d7a47"/>
          <w:sz w:val="26"/>
          <w:szCs w:val="26"/>
        </w:rPr>
        <w:t xml:space="preserve">1. IEA — Energy and AI Report, 2025</w:t>
      </w:r>
    </w:p>
    <w:p>
      <w:pPr>
        <w:spacing w:after="120" w:before="0"/>
        <w:jc w:val="left"/>
      </w:pPr>
      <w:r>
        <w:rPr>
          <w:rFonts w:ascii="Arial" w:cs="Arial" w:eastAsia="Arial" w:hAnsi="Arial"/>
          <w:b w:val="false"/>
          <w:bCs w:val="false"/>
          <w:color w:val="888888"/>
          <w:sz w:val="19"/>
          <w:szCs w:val="19"/>
        </w:rPr>
        <w:t xml:space="preserve">International Energy Agency  ·  iea.org/reports/energy-and-ai</w:t>
      </w:r>
    </w:p>
    <w:p>
      <w:pPr>
        <w:pStyle w:val="ListParagraph"/>
        <w:numPr>
          <w:ilvl w:val="0"/>
          <w:numId w:val="2"/>
        </w:numPr>
        <w:spacing w:after="40" w:before="40"/>
      </w:pPr>
      <w:r>
        <w:rPr>
          <w:rFonts w:ascii="Arial" w:cs="Arial" w:eastAsia="Arial" w:hAnsi="Arial"/>
          <w:b w:val="false"/>
          <w:bCs w:val="false"/>
          <w:color w:val="444444"/>
          <w:sz w:val="22"/>
          <w:szCs w:val="22"/>
        </w:rPr>
        <w:t xml:space="preserve">Global data center electricity: 415 TWh in 2024, doubling to 945 TWh by 2030</w:t>
      </w:r>
    </w:p>
    <w:p>
      <w:pPr>
        <w:pStyle w:val="ListParagraph"/>
        <w:numPr>
          <w:ilvl w:val="0"/>
          <w:numId w:val="2"/>
        </w:numPr>
        <w:spacing w:after="40" w:before="40"/>
      </w:pPr>
      <w:r>
        <w:rPr>
          <w:rFonts w:ascii="Arial" w:cs="Arial" w:eastAsia="Arial" w:hAnsi="Arial"/>
          <w:b w:val="false"/>
          <w:bCs w:val="false"/>
          <w:color w:val="444444"/>
          <w:sz w:val="22"/>
          <w:szCs w:val="22"/>
        </w:rPr>
        <w:t xml:space="preserve">Growth rate: 15% per year — more than 4× faster than all other sectors combined</w:t>
      </w:r>
    </w:p>
    <w:p>
      <w:pPr>
        <w:pStyle w:val="ListParagraph"/>
        <w:numPr>
          <w:ilvl w:val="0"/>
          <w:numId w:val="2"/>
        </w:numPr>
        <w:spacing w:after="40" w:before="40"/>
      </w:pPr>
      <w:r>
        <w:rPr>
          <w:rFonts w:ascii="Arial" w:cs="Arial" w:eastAsia="Arial" w:hAnsi="Arial"/>
          <w:b w:val="false"/>
          <w:bCs w:val="false"/>
          <w:color w:val="444444"/>
          <w:sz w:val="22"/>
          <w:szCs w:val="22"/>
        </w:rPr>
        <w:t xml:space="preserve">AI-accelerated servers growing at 30% annually</w:t>
      </w:r>
    </w:p>
    <w:p>
      <w:pPr>
        <w:pStyle w:val="ListParagraph"/>
        <w:numPr>
          <w:ilvl w:val="0"/>
          <w:numId w:val="2"/>
        </w:numPr>
        <w:spacing w:after="40" w:before="40"/>
      </w:pPr>
      <w:r>
        <w:rPr>
          <w:rFonts w:ascii="Arial" w:cs="Arial" w:eastAsia="Arial" w:hAnsi="Arial"/>
          <w:b w:val="false"/>
          <w:bCs w:val="false"/>
          <w:color w:val="444444"/>
          <w:sz w:val="22"/>
          <w:szCs w:val="22"/>
        </w:rPr>
        <w:t xml:space="preserve">US data centers will consume more electricity than all energy-intensive manufacturing combined by 2030 — aluminium, steel, cement and chemicals</w:t>
      </w:r>
    </w:p>
    <w:p>
      <w:pPr>
        <w:pStyle w:val="ListParagraph"/>
        <w:numPr>
          <w:ilvl w:val="0"/>
          <w:numId w:val="2"/>
        </w:numPr>
        <w:spacing w:after="40" w:before="40"/>
      </w:pPr>
      <w:r>
        <w:rPr>
          <w:rFonts w:ascii="Arial" w:cs="Arial" w:eastAsia="Arial" w:hAnsi="Arial"/>
          <w:b w:val="false"/>
          <w:bCs w:val="false"/>
          <w:color w:val="444444"/>
          <w:sz w:val="22"/>
          <w:szCs w:val="22"/>
        </w:rPr>
        <w:t xml:space="preserve">Data centers to drive almost half of US electricity demand growth to 2030</w:t>
      </w:r>
    </w:p>
    <w:p>
      <w:pPr>
        <w:pStyle w:val="ListParagraph"/>
        <w:numPr>
          <w:ilvl w:val="0"/>
          <w:numId w:val="2"/>
        </w:numPr>
        <w:spacing w:after="40" w:before="40"/>
      </w:pPr>
      <w:r>
        <w:rPr>
          <w:rFonts w:ascii="Arial" w:cs="Arial" w:eastAsia="Arial" w:hAnsi="Arial"/>
          <w:b w:val="false"/>
          <w:bCs w:val="false"/>
          <w:color w:val="444444"/>
          <w:sz w:val="22"/>
          <w:szCs w:val="22"/>
        </w:rPr>
        <w:t xml:space="preserve">Renewable energy must grow by 450+ TWh just to meet data center demand by 2035</w:t>
      </w:r>
    </w:p>
    <w:p>
      <w:pPr>
        <w:pBdr>
          <w:left w:val="single" w:color="3ddc84" w:sz="18" w:space="14"/>
        </w:pBdr>
        <w:shd w:fill="e8f5ee" w:val="clear"/>
        <w:spacing w:after="160" w:before="160"/>
        <w:ind w:left="240"/>
      </w:pPr>
      <w:r>
        <w:rPr>
          <w:rFonts w:ascii="Arial" w:cs="Arial" w:eastAsia="Arial" w:hAnsi="Arial"/>
          <w:b w:val="false"/>
          <w:bCs w:val="false"/>
          <w:color w:val="1a1a1a"/>
          <w:sz w:val="21"/>
          <w:szCs w:val="21"/>
        </w:rPr>
        <w:t xml:space="preserve">Best for: Opening statistics in any speech or pitch. The IEA is the undisputed gold standard for energy data globally.</w:t>
      </w:r>
    </w:p>
    <w:p>
      <w:pPr>
        <w:spacing w:after="60" w:before="0"/>
        <w:jc w:val="left"/>
      </w:pPr>
      <w:r>
        <w:rPr>
          <w:rFonts w:ascii="Arial" w:cs="Arial" w:eastAsia="Arial" w:hAnsi="Arial"/>
          <w:b w:val="false"/>
          <w:bCs w:val="false"/>
          <w:color w:val="1a1a1a"/>
          <w:sz w:val="22"/>
          <w:szCs w:val="22"/>
        </w:rPr>
        <w:t xml:space="preserve"/>
      </w:r>
    </w:p>
    <w:p>
      <w:pPr>
        <w:spacing w:after="100" w:before="280"/>
      </w:pPr>
      <w:r>
        <w:rPr>
          <w:rFonts w:ascii="Arial" w:cs="Arial" w:eastAsia="Arial" w:hAnsi="Arial"/>
          <w:b/>
          <w:bCs/>
          <w:color w:val="2d7a47"/>
          <w:sz w:val="26"/>
          <w:szCs w:val="26"/>
        </w:rPr>
        <w:t xml:space="preserve">2. UNESCO / UCL — "Smarter, Smaller, Stronger," July 2025</w:t>
      </w:r>
    </w:p>
    <w:p>
      <w:pPr>
        <w:spacing w:after="120" w:before="0"/>
        <w:jc w:val="left"/>
      </w:pPr>
      <w:r>
        <w:rPr>
          <w:rFonts w:ascii="Arial" w:cs="Arial" w:eastAsia="Arial" w:hAnsi="Arial"/>
          <w:b w:val="false"/>
          <w:bCs w:val="false"/>
          <w:color w:val="888888"/>
          <w:sz w:val="19"/>
          <w:szCs w:val="19"/>
        </w:rPr>
        <w:t xml:space="preserve">UNESCO &amp; University College London  ·  unesco.org/en/articles/ai-large-language-models-new-report-shows-small-changes-can-reduce-energy-use-90</w:t>
      </w:r>
    </w:p>
    <w:p>
      <w:pPr>
        <w:pStyle w:val="ListParagraph"/>
        <w:numPr>
          <w:ilvl w:val="0"/>
          <w:numId w:val="2"/>
        </w:numPr>
        <w:spacing w:after="40" w:before="40"/>
      </w:pPr>
      <w:r>
        <w:rPr>
          <w:rFonts w:ascii="Arial" w:cs="Arial" w:eastAsia="Arial" w:hAnsi="Arial"/>
          <w:b w:val="false"/>
          <w:bCs w:val="false"/>
          <w:color w:val="444444"/>
          <w:sz w:val="22"/>
          <w:szCs w:val="22"/>
        </w:rPr>
        <w:t xml:space="preserve">Small, task-specific AI models reduce energy consumption by up to 90% without loss of accuracy</w:t>
      </w:r>
    </w:p>
    <w:p>
      <w:pPr>
        <w:pStyle w:val="ListParagraph"/>
        <w:numPr>
          <w:ilvl w:val="0"/>
          <w:numId w:val="2"/>
        </w:numPr>
        <w:spacing w:after="40" w:before="40"/>
      </w:pPr>
      <w:r>
        <w:rPr>
          <w:rFonts w:ascii="Arial" w:cs="Arial" w:eastAsia="Arial" w:hAnsi="Arial"/>
          <w:b w:val="false"/>
          <w:bCs w:val="false"/>
          <w:color w:val="444444"/>
          <w:sz w:val="22"/>
          <w:szCs w:val="22"/>
        </w:rPr>
        <w:t xml:space="preserve">Each generative AI prompt uses approximately 0.34 watt-hours — totalling 310 GWh/year globally</w:t>
      </w:r>
    </w:p>
    <w:p>
      <w:pPr>
        <w:pStyle w:val="ListParagraph"/>
        <w:numPr>
          <w:ilvl w:val="0"/>
          <w:numId w:val="2"/>
        </w:numPr>
        <w:spacing w:after="40" w:before="40"/>
      </w:pPr>
      <w:r>
        <w:rPr>
          <w:rFonts w:ascii="Arial" w:cs="Arial" w:eastAsia="Arial" w:hAnsi="Arial"/>
          <w:b w:val="false"/>
          <w:bCs w:val="false"/>
          <w:color w:val="444444"/>
          <w:sz w:val="22"/>
          <w:szCs w:val="22"/>
        </w:rPr>
        <w:t xml:space="preserve">Generative AI's annual energy footprint already equivalent to a low-income country's entire consumption</w:t>
      </w:r>
    </w:p>
    <w:p>
      <w:pPr>
        <w:pStyle w:val="ListParagraph"/>
        <w:numPr>
          <w:ilvl w:val="0"/>
          <w:numId w:val="2"/>
        </w:numPr>
        <w:spacing w:after="40" w:before="40"/>
      </w:pPr>
      <w:r>
        <w:rPr>
          <w:rFonts w:ascii="Arial" w:cs="Arial" w:eastAsia="Arial" w:hAnsi="Arial"/>
          <w:b w:val="false"/>
          <w:bCs w:val="false"/>
          <w:color w:val="444444"/>
          <w:sz w:val="22"/>
          <w:szCs w:val="22"/>
        </w:rPr>
        <w:t xml:space="preserve">Three proven strategies: smaller models (−90%), shorter prompts (−50%+), quantization (−44%)</w:t>
      </w:r>
    </w:p>
    <w:p>
      <w:pPr>
        <w:pStyle w:val="ListParagraph"/>
        <w:numPr>
          <w:ilvl w:val="0"/>
          <w:numId w:val="2"/>
        </w:numPr>
        <w:spacing w:after="40" w:before="40"/>
      </w:pPr>
      <w:r>
        <w:rPr>
          <w:rFonts w:ascii="Arial" w:cs="Arial" w:eastAsia="Arial" w:hAnsi="Arial"/>
          <w:b w:val="false"/>
          <w:bCs w:val="false"/>
          <w:color w:val="444444"/>
          <w:sz w:val="22"/>
          <w:szCs w:val="22"/>
        </w:rPr>
        <w:t xml:space="preserve">'Mixture of experts' architecture: only necessary modules activated — reducing energy per query</w:t>
      </w:r>
    </w:p>
    <w:p>
      <w:pPr>
        <w:pStyle w:val="ListParagraph"/>
        <w:numPr>
          <w:ilvl w:val="0"/>
          <w:numId w:val="2"/>
        </w:numPr>
        <w:spacing w:after="40" w:before="40"/>
      </w:pPr>
      <w:r>
        <w:rPr>
          <w:rFonts w:ascii="Arial" w:cs="Arial" w:eastAsia="Arial" w:hAnsi="Arial"/>
          <w:b w:val="false"/>
          <w:bCs w:val="false"/>
          <w:color w:val="444444"/>
          <w:sz w:val="22"/>
          <w:szCs w:val="22"/>
        </w:rPr>
        <w:t xml:space="preserve">UNESCO: "Generative AI's annual energy footprint is already equivalent to that of a low-income country, and it is growing exponentially"</w:t>
      </w:r>
    </w:p>
    <w:p>
      <w:pPr>
        <w:pStyle w:val="ListParagraph"/>
        <w:numPr>
          <w:ilvl w:val="0"/>
          <w:numId w:val="2"/>
        </w:numPr>
        <w:spacing w:after="40" w:before="40"/>
      </w:pPr>
      <w:r>
        <w:rPr>
          <w:rFonts w:ascii="Arial" w:cs="Arial" w:eastAsia="Arial" w:hAnsi="Arial"/>
          <w:b w:val="false"/>
          <w:bCs w:val="false"/>
          <w:color w:val="444444"/>
          <w:sz w:val="22"/>
          <w:szCs w:val="22"/>
        </w:rPr>
        <w:t xml:space="preserve">UCL: "Too often, users rely on oversized AI models for simple tasks — it's like using a fire hose to water a house plant"</w:t>
      </w:r>
    </w:p>
    <w:p>
      <w:pPr>
        <w:pBdr>
          <w:left w:val="single" w:color="3ddc84" w:sz="18" w:space="14"/>
        </w:pBdr>
        <w:shd w:fill="e8f5ee" w:val="clear"/>
        <w:spacing w:after="160" w:before="160"/>
        <w:ind w:left="240"/>
      </w:pPr>
      <w:r>
        <w:rPr>
          <w:rFonts w:ascii="Arial" w:cs="Arial" w:eastAsia="Arial" w:hAnsi="Arial"/>
          <w:b w:val="false"/>
          <w:bCs w:val="false"/>
          <w:color w:val="1a1a1a"/>
          <w:sz w:val="21"/>
          <w:szCs w:val="21"/>
        </w:rPr>
        <w:t xml:space="preserve">Best for: Tania's criticism that the energy thesis is 'unvalidated.' This is UNESCO, published July 2025, peer-reviewed UCL science, 90% reduction confirmed. The thesis is validated.</w:t>
      </w:r>
    </w:p>
    <w:p>
      <w:pPr>
        <w:spacing w:after="60" w:before="0"/>
        <w:jc w:val="left"/>
      </w:pPr>
      <w:r>
        <w:rPr>
          <w:rFonts w:ascii="Arial" w:cs="Arial" w:eastAsia="Arial" w:hAnsi="Arial"/>
          <w:b w:val="false"/>
          <w:bCs w:val="false"/>
          <w:color w:val="1a1a1a"/>
          <w:sz w:val="22"/>
          <w:szCs w:val="22"/>
        </w:rPr>
        <w:t xml:space="preserve"/>
      </w:r>
    </w:p>
    <w:p>
      <w:pPr>
        <w:spacing w:after="100" w:before="280"/>
      </w:pPr>
      <w:r>
        <w:rPr>
          <w:rFonts w:ascii="Arial" w:cs="Arial" w:eastAsia="Arial" w:hAnsi="Arial"/>
          <w:b/>
          <w:bCs/>
          <w:color w:val="2d7a47"/>
          <w:sz w:val="26"/>
          <w:szCs w:val="26"/>
        </w:rPr>
        <w:t xml:space="preserve">3. Berkeley Lab / US DOE — US Data Center Energy Usage Report, December 2024</w:t>
      </w:r>
    </w:p>
    <w:p>
      <w:pPr>
        <w:spacing w:after="120" w:before="0"/>
        <w:jc w:val="left"/>
      </w:pPr>
      <w:r>
        <w:rPr>
          <w:rFonts w:ascii="Arial" w:cs="Arial" w:eastAsia="Arial" w:hAnsi="Arial"/>
          <w:b w:val="false"/>
          <w:bCs w:val="false"/>
          <w:color w:val="888888"/>
          <w:sz w:val="19"/>
          <w:szCs w:val="19"/>
        </w:rPr>
        <w:t xml:space="preserve">Lawrence Berkeley National Laboratory  ·  eta-publications.lbl.gov</w:t>
      </w:r>
    </w:p>
    <w:p>
      <w:pPr>
        <w:pStyle w:val="ListParagraph"/>
        <w:numPr>
          <w:ilvl w:val="0"/>
          <w:numId w:val="2"/>
        </w:numPr>
        <w:spacing w:after="40" w:before="40"/>
      </w:pPr>
      <w:r>
        <w:rPr>
          <w:rFonts w:ascii="Arial" w:cs="Arial" w:eastAsia="Arial" w:hAnsi="Arial"/>
          <w:b w:val="false"/>
          <w:bCs w:val="false"/>
          <w:color w:val="444444"/>
          <w:sz w:val="22"/>
          <w:szCs w:val="22"/>
        </w:rPr>
        <w:t xml:space="preserve">AI-specific servers used 53–76 TWh in the US in 2024 alone</w:t>
      </w:r>
    </w:p>
    <w:p>
      <w:pPr>
        <w:pStyle w:val="ListParagraph"/>
        <w:numPr>
          <w:ilvl w:val="0"/>
          <w:numId w:val="2"/>
        </w:numPr>
        <w:spacing w:after="40" w:before="40"/>
      </w:pPr>
      <w:r>
        <w:rPr>
          <w:rFonts w:ascii="Arial" w:cs="Arial" w:eastAsia="Arial" w:hAnsi="Arial"/>
          <w:b w:val="false"/>
          <w:bCs w:val="false"/>
          <w:color w:val="444444"/>
          <w:sz w:val="22"/>
          <w:szCs w:val="22"/>
        </w:rPr>
        <w:t xml:space="preserve">Projected to reach 165–326 TWh by 2028</w:t>
      </w:r>
    </w:p>
    <w:p>
      <w:pPr>
        <w:pStyle w:val="ListParagraph"/>
        <w:numPr>
          <w:ilvl w:val="0"/>
          <w:numId w:val="2"/>
        </w:numPr>
        <w:spacing w:after="40" w:before="40"/>
      </w:pPr>
      <w:r>
        <w:rPr>
          <w:rFonts w:ascii="Arial" w:cs="Arial" w:eastAsia="Arial" w:hAnsi="Arial"/>
          <w:b w:val="false"/>
          <w:bCs w:val="false"/>
          <w:color w:val="444444"/>
          <w:sz w:val="22"/>
          <w:szCs w:val="22"/>
        </w:rPr>
        <w:t xml:space="preserve">US data centers consumed 17 billion gallons of water for cooling in 2023</w:t>
      </w:r>
    </w:p>
    <w:p>
      <w:pPr>
        <w:pStyle w:val="ListParagraph"/>
        <w:numPr>
          <w:ilvl w:val="0"/>
          <w:numId w:val="2"/>
        </w:numPr>
        <w:spacing w:after="40" w:before="40"/>
      </w:pPr>
      <w:r>
        <w:rPr>
          <w:rFonts w:ascii="Arial" w:cs="Arial" w:eastAsia="Arial" w:hAnsi="Arial"/>
          <w:b w:val="false"/>
          <w:bCs w:val="false"/>
          <w:color w:val="444444"/>
          <w:sz w:val="22"/>
          <w:szCs w:val="22"/>
        </w:rPr>
        <w:t xml:space="preserve">Hyperscale facilities projected to consume 16–33 billion gallons annually by 2028</w:t>
      </w:r>
    </w:p>
    <w:p>
      <w:pPr>
        <w:pStyle w:val="ListParagraph"/>
        <w:numPr>
          <w:ilvl w:val="0"/>
          <w:numId w:val="2"/>
        </w:numPr>
        <w:spacing w:after="40" w:before="40"/>
      </w:pPr>
      <w:r>
        <w:rPr>
          <w:rFonts w:ascii="Arial" w:cs="Arial" w:eastAsia="Arial" w:hAnsi="Arial"/>
          <w:b w:val="false"/>
          <w:bCs w:val="false"/>
          <w:color w:val="444444"/>
          <w:sz w:val="22"/>
          <w:szCs w:val="22"/>
        </w:rPr>
        <w:t xml:space="preserve">Data center electricity carbon intensity is 48% higher than the US average</w:t>
      </w:r>
    </w:p>
    <w:p>
      <w:pPr>
        <w:pBdr>
          <w:left w:val="single" w:color="3ddc84" w:sz="18" w:space="14"/>
        </w:pBdr>
        <w:shd w:fill="e8f5ee" w:val="clear"/>
        <w:spacing w:after="160" w:before="160"/>
        <w:ind w:left="240"/>
      </w:pPr>
      <w:r>
        <w:rPr>
          <w:rFonts w:ascii="Arial" w:cs="Arial" w:eastAsia="Arial" w:hAnsi="Arial"/>
          <w:b w:val="false"/>
          <w:bCs w:val="false"/>
          <w:color w:val="1a1a1a"/>
          <w:sz w:val="21"/>
          <w:szCs w:val="21"/>
        </w:rPr>
        <w:t xml:space="preserve">Best for: Water statistics — your strongest environmental card. Zero water for local AI vs billions of gallons for cloud. Completely undeniable.</w:t>
      </w:r>
    </w:p>
    <w:p>
      <w:pPr>
        <w:spacing w:after="60" w:before="0"/>
        <w:jc w:val="left"/>
      </w:pPr>
      <w:r>
        <w:rPr>
          <w:rFonts w:ascii="Arial" w:cs="Arial" w:eastAsia="Arial" w:hAnsi="Arial"/>
          <w:b w:val="false"/>
          <w:bCs w:val="false"/>
          <w:color w:val="1a1a1a"/>
          <w:sz w:val="22"/>
          <w:szCs w:val="22"/>
        </w:rPr>
        <w:t xml:space="preserve"/>
      </w:r>
    </w:p>
    <w:p>
      <w:pPr>
        <w:spacing w:after="100" w:before="280"/>
      </w:pPr>
      <w:r>
        <w:rPr>
          <w:rFonts w:ascii="Arial" w:cs="Arial" w:eastAsia="Arial" w:hAnsi="Arial"/>
          <w:b/>
          <w:bCs/>
          <w:color w:val="2d7a47"/>
          <w:sz w:val="26"/>
          <w:szCs w:val="26"/>
        </w:rPr>
        <w:t xml:space="preserve">4. Stanford / Hazy Research — Intelligence Per Watt, November 2025</w:t>
      </w:r>
    </w:p>
    <w:p>
      <w:pPr>
        <w:spacing w:after="120" w:before="0"/>
        <w:jc w:val="left"/>
      </w:pPr>
      <w:r>
        <w:rPr>
          <w:rFonts w:ascii="Arial" w:cs="Arial" w:eastAsia="Arial" w:hAnsi="Arial"/>
          <w:b w:val="false"/>
          <w:bCs w:val="false"/>
          <w:color w:val="888888"/>
          <w:sz w:val="19"/>
          <w:szCs w:val="19"/>
        </w:rPr>
        <w:t xml:space="preserve">Hazy Research, Stanford University  ·  hazyresearch.stanford.edu/blog/2025-11-11-ipw  ·  arxiv.org/pdf/2511.07885</w:t>
      </w:r>
    </w:p>
    <w:p>
      <w:pPr>
        <w:pStyle w:val="ListParagraph"/>
        <w:numPr>
          <w:ilvl w:val="0"/>
          <w:numId w:val="2"/>
        </w:numPr>
        <w:spacing w:after="40" w:before="40"/>
      </w:pPr>
      <w:r>
        <w:rPr>
          <w:rFonts w:ascii="Arial" w:cs="Arial" w:eastAsia="Arial" w:hAnsi="Arial"/>
          <w:b w:val="false"/>
          <w:bCs w:val="false"/>
          <w:color w:val="444444"/>
          <w:sz w:val="22"/>
          <w:szCs w:val="22"/>
        </w:rPr>
        <w:t xml:space="preserve">Based on 1 million real-world queries — largest study of its kind</w:t>
      </w:r>
    </w:p>
    <w:p>
      <w:pPr>
        <w:pStyle w:val="ListParagraph"/>
        <w:numPr>
          <w:ilvl w:val="0"/>
          <w:numId w:val="2"/>
        </w:numPr>
        <w:spacing w:after="40" w:before="40"/>
      </w:pPr>
      <w:r>
        <w:rPr>
          <w:rFonts w:ascii="Arial" w:cs="Arial" w:eastAsia="Arial" w:hAnsi="Arial"/>
          <w:b w:val="false"/>
          <w:bCs w:val="false"/>
          <w:color w:val="444444"/>
          <w:sz w:val="22"/>
          <w:szCs w:val="22"/>
        </w:rPr>
        <w:t xml:space="preserve">Local models accurately handle 88.7% of single-turn chat and reasoning queries</w:t>
      </w:r>
    </w:p>
    <w:p>
      <w:pPr>
        <w:pStyle w:val="ListParagraph"/>
        <w:numPr>
          <w:ilvl w:val="0"/>
          <w:numId w:val="2"/>
        </w:numPr>
        <w:spacing w:after="40" w:before="40"/>
      </w:pPr>
      <w:r>
        <w:rPr>
          <w:rFonts w:ascii="Arial" w:cs="Arial" w:eastAsia="Arial" w:hAnsi="Arial"/>
          <w:b w:val="false"/>
          <w:bCs w:val="false"/>
          <w:color w:val="444444"/>
          <w:sz w:val="22"/>
          <w:szCs w:val="22"/>
        </w:rPr>
        <w:t xml:space="preserve">Accuracy improved 3.1× from 2023–2025</w:t>
      </w:r>
    </w:p>
    <w:p>
      <w:pPr>
        <w:pStyle w:val="ListParagraph"/>
        <w:numPr>
          <w:ilvl w:val="0"/>
          <w:numId w:val="2"/>
        </w:numPr>
        <w:spacing w:after="40" w:before="40"/>
      </w:pPr>
      <w:r>
        <w:rPr>
          <w:rFonts w:ascii="Arial" w:cs="Arial" w:eastAsia="Arial" w:hAnsi="Arial"/>
          <w:b w:val="false"/>
          <w:bCs w:val="false"/>
          <w:color w:val="444444"/>
          <w:sz w:val="22"/>
          <w:szCs w:val="22"/>
        </w:rPr>
        <w:t xml:space="preserve">Local intelligence efficiency improved 5.3× (3.1× model improvements + 1.7× hardware)</w:t>
      </w:r>
    </w:p>
    <w:p>
      <w:pPr>
        <w:pStyle w:val="ListParagraph"/>
        <w:numPr>
          <w:ilvl w:val="0"/>
          <w:numId w:val="2"/>
        </w:numPr>
        <w:spacing w:after="40" w:before="40"/>
      </w:pPr>
      <w:r>
        <w:rPr>
          <w:rFonts w:ascii="Arial" w:cs="Arial" w:eastAsia="Arial" w:hAnsi="Arial"/>
          <w:b w:val="false"/>
          <w:bCs w:val="false"/>
          <w:color w:val="444444"/>
          <w:sz w:val="22"/>
          <w:szCs w:val="22"/>
        </w:rPr>
        <w:t xml:space="preserve">Consumer laptops with 128GB unified memory now run models approaching 200B parameters</w:t>
      </w:r>
    </w:p>
    <w:p>
      <w:pPr>
        <w:pStyle w:val="ListParagraph"/>
        <w:numPr>
          <w:ilvl w:val="0"/>
          <w:numId w:val="2"/>
        </w:numPr>
        <w:spacing w:after="40" w:before="40"/>
      </w:pPr>
      <w:r>
        <w:rPr>
          <w:rFonts w:ascii="Arial" w:cs="Arial" w:eastAsia="Arial" w:hAnsi="Arial"/>
          <w:b w:val="false"/>
          <w:bCs w:val="false"/>
          <w:color w:val="444444"/>
          <w:sz w:val="22"/>
          <w:szCs w:val="22"/>
        </w:rPr>
        <w:t xml:space="preserve">Desktop GPUs enable 200B parameter models with quantization; smartphones run 7B models at 8+ tokens/second</w:t>
      </w:r>
    </w:p>
    <w:p>
      <w:pPr>
        <w:pStyle w:val="ListParagraph"/>
        <w:numPr>
          <w:ilvl w:val="0"/>
          <w:numId w:val="2"/>
        </w:numPr>
        <w:spacing w:after="40" w:before="40"/>
      </w:pPr>
      <w:r>
        <w:rPr>
          <w:rFonts w:ascii="Arial" w:cs="Arial" w:eastAsia="Arial" w:hAnsi="Arial"/>
          <w:b w:val="false"/>
          <w:bCs w:val="false"/>
          <w:color w:val="444444"/>
          <w:sz w:val="22"/>
          <w:szCs w:val="22"/>
        </w:rPr>
        <w:t xml:space="preserve">Gap vs enterprise accelerators is narrowing: Qwen3-32B on M4 Max vs NVIDIA B200 — 1.5× difference and closing</w:t>
      </w:r>
    </w:p>
    <w:p>
      <w:pPr>
        <w:pBdr>
          <w:left w:val="single" w:color="3ddc84" w:sz="18" w:space="14"/>
        </w:pBdr>
        <w:shd w:fill="e8f5ee" w:val="clear"/>
        <w:spacing w:after="160" w:before="160"/>
        <w:ind w:left="240"/>
      </w:pPr>
      <w:r>
        <w:rPr>
          <w:rFonts w:ascii="Arial" w:cs="Arial" w:eastAsia="Arial" w:hAnsi="Arial"/>
          <w:b w:val="false"/>
          <w:bCs w:val="false"/>
          <w:color w:val="1a1a1a"/>
          <w:sz w:val="21"/>
          <w:szCs w:val="21"/>
        </w:rPr>
        <w:t xml:space="preserve">Best for: Technical credibility anchor. 1 million queries tested. Peer-reviewed. The 88.7% and 5.3× figures are bulletproof.</w:t>
      </w:r>
    </w:p>
    <w:p>
      <w:pPr>
        <w:spacing w:after="60" w:before="0"/>
        <w:jc w:val="left"/>
      </w:pPr>
      <w:r>
        <w:rPr>
          <w:rFonts w:ascii="Arial" w:cs="Arial" w:eastAsia="Arial" w:hAnsi="Arial"/>
          <w:b w:val="false"/>
          <w:bCs w:val="false"/>
          <w:color w:val="1a1a1a"/>
          <w:sz w:val="22"/>
          <w:szCs w:val="22"/>
        </w:rPr>
        <w:t xml:space="preserve"/>
      </w:r>
    </w:p>
    <w:p>
      <w:pPr>
        <w:spacing w:after="100" w:before="280"/>
      </w:pPr>
      <w:r>
        <w:rPr>
          <w:rFonts w:ascii="Arial" w:cs="Arial" w:eastAsia="Arial" w:hAnsi="Arial"/>
          <w:b/>
          <w:bCs/>
          <w:color w:val="2d7a47"/>
          <w:sz w:val="26"/>
          <w:szCs w:val="26"/>
        </w:rPr>
        <w:t xml:space="preserve">5. ArXiv — Quantifying Energy and Cost Benefits of Hybrid Edge Cloud, January 2025</w:t>
      </w:r>
    </w:p>
    <w:p>
      <w:pPr>
        <w:spacing w:after="120" w:before="0"/>
        <w:jc w:val="left"/>
      </w:pPr>
      <w:r>
        <w:rPr>
          <w:rFonts w:ascii="Arial" w:cs="Arial" w:eastAsia="Arial" w:hAnsi="Arial"/>
          <w:b w:val="false"/>
          <w:bCs w:val="false"/>
          <w:color w:val="888888"/>
          <w:sz w:val="19"/>
          <w:szCs w:val="19"/>
        </w:rPr>
        <w:t xml:space="preserve">Siavash Alamouti et al.  ·  arxiv.org (search: Quantifying Energy Cost Benefits Hybrid Edge Cloud 2025)</w:t>
      </w:r>
    </w:p>
    <w:p>
      <w:pPr>
        <w:pStyle w:val="ListParagraph"/>
        <w:numPr>
          <w:ilvl w:val="0"/>
          <w:numId w:val="2"/>
        </w:numPr>
        <w:spacing w:after="40" w:before="40"/>
      </w:pPr>
      <w:r>
        <w:rPr>
          <w:rFonts w:ascii="Arial" w:cs="Arial" w:eastAsia="Arial" w:hAnsi="Arial"/>
          <w:b w:val="false"/>
          <w:bCs w:val="false"/>
          <w:color w:val="444444"/>
          <w:sz w:val="22"/>
          <w:szCs w:val="22"/>
        </w:rPr>
        <w:t xml:space="preserve">Hybrid local-edge AI vs pure cloud: energy savings up to 75%, cost reductions exceeding 80%</w:t>
      </w:r>
    </w:p>
    <w:p>
      <w:pPr>
        <w:pStyle w:val="ListParagraph"/>
        <w:numPr>
          <w:ilvl w:val="0"/>
          <w:numId w:val="2"/>
        </w:numPr>
        <w:spacing w:after="40" w:before="40"/>
      </w:pPr>
      <w:r>
        <w:rPr>
          <w:rFonts w:ascii="Arial" w:cs="Arial" w:eastAsia="Arial" w:hAnsi="Arial"/>
          <w:b w:val="false"/>
          <w:bCs w:val="false"/>
          <w:color w:val="444444"/>
          <w:sz w:val="22"/>
          <w:szCs w:val="22"/>
        </w:rPr>
        <w:t xml:space="preserve">Network and orchestration overhead accounts for 37–52% of total energy in cloud AI requests — more than the model inference itself</w:t>
      </w:r>
    </w:p>
    <w:p>
      <w:pPr>
        <w:pStyle w:val="ListParagraph"/>
        <w:numPr>
          <w:ilvl w:val="0"/>
          <w:numId w:val="2"/>
        </w:numPr>
        <w:spacing w:after="40" w:before="40"/>
      </w:pPr>
      <w:r>
        <w:rPr>
          <w:rFonts w:ascii="Arial" w:cs="Arial" w:eastAsia="Arial" w:hAnsi="Arial"/>
          <w:b w:val="false"/>
          <w:bCs w:val="false"/>
          <w:color w:val="444444"/>
          <w:sz w:val="22"/>
          <w:szCs w:val="22"/>
        </w:rPr>
        <w:t xml:space="preserve">"Edge processing directly utilises the local context to minimise computational complexity and avoids these cloud-scale energy demands"</w:t>
      </w:r>
    </w:p>
    <w:p>
      <w:pPr>
        <w:pBdr>
          <w:left w:val="single" w:color="3ddc84" w:sz="18" w:space="14"/>
        </w:pBdr>
        <w:shd w:fill="e8f5ee" w:val="clear"/>
        <w:spacing w:after="160" w:before="160"/>
        <w:ind w:left="240"/>
      </w:pPr>
      <w:r>
        <w:rPr>
          <w:rFonts w:ascii="Arial" w:cs="Arial" w:eastAsia="Arial" w:hAnsi="Arial"/>
          <w:b w:val="false"/>
          <w:bCs w:val="false"/>
          <w:color w:val="1a1a1a"/>
          <w:sz w:val="21"/>
          <w:szCs w:val="21"/>
        </w:rPr>
        <w:t xml:space="preserve">Best for: The network overhead stat is the most counterintuitive and compelling — more than half the energy of a cloud AI query is just moving data around before the model even runs.</w:t>
      </w:r>
    </w:p>
    <w:p>
      <w:pPr>
        <w:spacing w:after="60" w:before="0"/>
        <w:jc w:val="left"/>
      </w:pPr>
      <w:r>
        <w:rPr>
          <w:rFonts w:ascii="Arial" w:cs="Arial" w:eastAsia="Arial" w:hAnsi="Arial"/>
          <w:b w:val="false"/>
          <w:bCs w:val="false"/>
          <w:color w:val="1a1a1a"/>
          <w:sz w:val="22"/>
          <w:szCs w:val="22"/>
        </w:rPr>
        <w:t xml:space="preserve"/>
      </w:r>
    </w:p>
    <w:p>
      <w:pPr>
        <w:spacing w:after="100" w:before="280"/>
      </w:pPr>
      <w:r>
        <w:rPr>
          <w:rFonts w:ascii="Arial" w:cs="Arial" w:eastAsia="Arial" w:hAnsi="Arial"/>
          <w:b/>
          <w:bCs/>
          <w:color w:val="2d7a47"/>
          <w:sz w:val="26"/>
          <w:szCs w:val="26"/>
        </w:rPr>
        <w:t xml:space="preserve">6. ArXiv — "Small is Sufficient," October 2025</w:t>
      </w:r>
    </w:p>
    <w:p>
      <w:pPr>
        <w:spacing w:after="120" w:before="0"/>
        <w:jc w:val="left"/>
      </w:pPr>
      <w:r>
        <w:rPr>
          <w:rFonts w:ascii="Arial" w:cs="Arial" w:eastAsia="Arial" w:hAnsi="Arial"/>
          <w:b w:val="false"/>
          <w:bCs w:val="false"/>
          <w:color w:val="888888"/>
          <w:sz w:val="19"/>
          <w:szCs w:val="19"/>
        </w:rPr>
        <w:t xml:space="preserve">arxiv.org/html/2510.01889v1</w:t>
      </w:r>
    </w:p>
    <w:p>
      <w:pPr>
        <w:pStyle w:val="ListParagraph"/>
        <w:numPr>
          <w:ilvl w:val="0"/>
          <w:numId w:val="2"/>
        </w:numPr>
        <w:spacing w:after="40" w:before="40"/>
      </w:pPr>
      <w:r>
        <w:rPr>
          <w:rFonts w:ascii="Arial" w:cs="Arial" w:eastAsia="Arial" w:hAnsi="Arial"/>
          <w:b w:val="false"/>
          <w:bCs w:val="false"/>
          <w:color w:val="444444"/>
          <w:sz w:val="22"/>
          <w:szCs w:val="22"/>
        </w:rPr>
        <w:t xml:space="preserve">Smart model selection alone could save 16.25 TWh in the US in 2025 — two nuclear reactors' annual output</w:t>
      </w:r>
    </w:p>
    <w:p>
      <w:pPr>
        <w:pStyle w:val="ListParagraph"/>
        <w:numPr>
          <w:ilvl w:val="0"/>
          <w:numId w:val="2"/>
        </w:numPr>
        <w:spacing w:after="40" w:before="40"/>
      </w:pPr>
      <w:r>
        <w:rPr>
          <w:rFonts w:ascii="Arial" w:cs="Arial" w:eastAsia="Arial" w:hAnsi="Arial"/>
          <w:b w:val="false"/>
          <w:bCs w:val="false"/>
          <w:color w:val="444444"/>
          <w:sz w:val="22"/>
          <w:szCs w:val="22"/>
        </w:rPr>
        <w:t xml:space="preserve">By 2028, global savings from model selection could reach 106 TWh — equivalent to 5–17 nuclear reactors</w:t>
      </w:r>
    </w:p>
    <w:p>
      <w:pPr>
        <w:pStyle w:val="ListParagraph"/>
        <w:numPr>
          <w:ilvl w:val="0"/>
          <w:numId w:val="2"/>
        </w:numPr>
        <w:spacing w:after="40" w:before="40"/>
      </w:pPr>
      <w:r>
        <w:rPr>
          <w:rFonts w:ascii="Arial" w:cs="Arial" w:eastAsia="Arial" w:hAnsi="Arial"/>
          <w:b w:val="false"/>
          <w:bCs w:val="false"/>
          <w:color w:val="444444"/>
          <w:sz w:val="22"/>
          <w:szCs w:val="22"/>
        </w:rPr>
        <w:t xml:space="preserve">Three modelled scenarios: business as usual / sobriety via model selection / best-performing model on appropriate hardware</w:t>
      </w:r>
    </w:p>
    <w:p>
      <w:pPr>
        <w:pBdr>
          <w:left w:val="single" w:color="3ddc84" w:sz="18" w:space="14"/>
        </w:pBdr>
        <w:shd w:fill="e8f5ee" w:val="clear"/>
        <w:spacing w:after="160" w:before="160"/>
        <w:ind w:left="240"/>
      </w:pPr>
      <w:r>
        <w:rPr>
          <w:rFonts w:ascii="Arial" w:cs="Arial" w:eastAsia="Arial" w:hAnsi="Arial"/>
          <w:b w:val="false"/>
          <w:bCs w:val="false"/>
          <w:color w:val="1a1a1a"/>
          <w:sz w:val="21"/>
          <w:szCs w:val="21"/>
        </w:rPr>
        <w:t xml:space="preserve">Best for: The nuclear reactor equivalency is viscerally compelling for climate audiences and devastating for the 'it doesn't matter' counterargument.</w:t>
      </w:r>
    </w:p>
    <w:p>
      <w:pPr>
        <w:spacing w:after="60" w:before="0"/>
        <w:jc w:val="left"/>
      </w:pPr>
      <w:r>
        <w:rPr>
          <w:rFonts w:ascii="Arial" w:cs="Arial" w:eastAsia="Arial" w:hAnsi="Arial"/>
          <w:b w:val="false"/>
          <w:bCs w:val="false"/>
          <w:color w:val="1a1a1a"/>
          <w:sz w:val="22"/>
          <w:szCs w:val="22"/>
        </w:rPr>
        <w:t xml:space="preserve"/>
      </w:r>
    </w:p>
    <w:p>
      <w:pPr>
        <w:spacing w:after="100" w:before="280"/>
      </w:pPr>
      <w:r>
        <w:rPr>
          <w:rFonts w:ascii="Arial" w:cs="Arial" w:eastAsia="Arial" w:hAnsi="Arial"/>
          <w:b/>
          <w:bCs/>
          <w:color w:val="2d7a47"/>
          <w:sz w:val="26"/>
          <w:szCs w:val="26"/>
        </w:rPr>
        <w:t xml:space="preserve">7. MIT — AI Infrastructure Sovereignty, February 2026</w:t>
      </w:r>
    </w:p>
    <w:p>
      <w:pPr>
        <w:spacing w:after="120" w:before="0"/>
        <w:jc w:val="left"/>
      </w:pPr>
      <w:r>
        <w:rPr>
          <w:rFonts w:ascii="Arial" w:cs="Arial" w:eastAsia="Arial" w:hAnsi="Arial"/>
          <w:b w:val="false"/>
          <w:bCs w:val="false"/>
          <w:color w:val="888888"/>
          <w:sz w:val="19"/>
          <w:szCs w:val="19"/>
        </w:rPr>
        <w:t xml:space="preserve">arxiv.org/html/2602.10900v1</w:t>
      </w:r>
    </w:p>
    <w:p>
      <w:pPr>
        <w:pStyle w:val="ListParagraph"/>
        <w:numPr>
          <w:ilvl w:val="0"/>
          <w:numId w:val="2"/>
        </w:numPr>
        <w:spacing w:after="40" w:before="40"/>
      </w:pPr>
      <w:r>
        <w:rPr>
          <w:rFonts w:ascii="Arial" w:cs="Arial" w:eastAsia="Arial" w:hAnsi="Arial"/>
          <w:b w:val="false"/>
          <w:bCs w:val="false"/>
          <w:color w:val="444444"/>
          <w:sz w:val="22"/>
          <w:szCs w:val="22"/>
        </w:rPr>
        <w:t xml:space="preserve">Sovereignty now depends on physical access to electricity, water, land, fibre infrastructure — not just data localization</w:t>
      </w:r>
    </w:p>
    <w:p>
      <w:pPr>
        <w:pStyle w:val="ListParagraph"/>
        <w:numPr>
          <w:ilvl w:val="0"/>
          <w:numId w:val="2"/>
        </w:numPr>
        <w:spacing w:after="40" w:before="40"/>
      </w:pPr>
      <w:r>
        <w:rPr>
          <w:rFonts w:ascii="Arial" w:cs="Arial" w:eastAsia="Arial" w:hAnsi="Arial"/>
          <w:b w:val="false"/>
          <w:bCs w:val="false"/>
          <w:color w:val="444444"/>
          <w:sz w:val="22"/>
          <w:szCs w:val="22"/>
        </w:rPr>
        <w:t xml:space="preserve">Export controls, sanctions, and platform concentration can constrain access to compute, models, and infrastructure by political decision</w:t>
      </w:r>
    </w:p>
    <w:p>
      <w:pPr>
        <w:pStyle w:val="ListParagraph"/>
        <w:numPr>
          <w:ilvl w:val="0"/>
          <w:numId w:val="2"/>
        </w:numPr>
        <w:spacing w:after="40" w:before="40"/>
      </w:pPr>
      <w:r>
        <w:rPr>
          <w:rFonts w:ascii="Arial" w:cs="Arial" w:eastAsia="Arial" w:hAnsi="Arial"/>
          <w:b w:val="false"/>
          <w:bCs w:val="false"/>
          <w:color w:val="444444"/>
          <w:sz w:val="22"/>
          <w:szCs w:val="22"/>
        </w:rPr>
        <w:t xml:space="preserve">As AI becomes critical to national security, regions are seeking sovereign AI that reduces exposure to unilateral disruption</w:t>
      </w:r>
    </w:p>
    <w:p>
      <w:pPr>
        <w:pStyle w:val="ListParagraph"/>
        <w:numPr>
          <w:ilvl w:val="0"/>
          <w:numId w:val="2"/>
        </w:numPr>
        <w:spacing w:after="40" w:before="40"/>
      </w:pPr>
      <w:r>
        <w:rPr>
          <w:rFonts w:ascii="Arial" w:cs="Arial" w:eastAsia="Arial" w:hAnsi="Arial"/>
          <w:b w:val="false"/>
          <w:bCs w:val="false"/>
          <w:color w:val="444444"/>
          <w:sz w:val="22"/>
          <w:szCs w:val="22"/>
        </w:rPr>
        <w:t xml:space="preserve">Existing frameworks (data localization, privacy regulation) are insufficient — infrastructure sovereignty is the real dependency</w:t>
      </w:r>
    </w:p>
    <w:p>
      <w:pPr>
        <w:pBdr>
          <w:left w:val="single" w:color="3ddc84" w:sz="18" w:space="14"/>
        </w:pBdr>
        <w:shd w:fill="e8f5ee" w:val="clear"/>
        <w:spacing w:after="160" w:before="160"/>
        <w:ind w:left="240"/>
      </w:pPr>
      <w:r>
        <w:rPr>
          <w:rFonts w:ascii="Arial" w:cs="Arial" w:eastAsia="Arial" w:hAnsi="Arial"/>
          <w:b w:val="false"/>
          <w:bCs w:val="false"/>
          <w:color w:val="1a1a1a"/>
          <w:sz w:val="21"/>
          <w:szCs w:val="21"/>
        </w:rPr>
        <w:t xml:space="preserve">Best for: Government, multilateral, and national security audiences. The geopolitical framing elevates local AI from a tech choice to a strategic necessity.</w:t>
      </w:r>
    </w:p>
    <w:p>
      <w:pPr>
        <w:spacing w:after="60" w:before="0"/>
        <w:jc w:val="left"/>
      </w:pPr>
      <w:r>
        <w:rPr>
          <w:rFonts w:ascii="Arial" w:cs="Arial" w:eastAsia="Arial" w:hAnsi="Arial"/>
          <w:b w:val="false"/>
          <w:bCs w:val="false"/>
          <w:color w:val="1a1a1a"/>
          <w:sz w:val="22"/>
          <w:szCs w:val="22"/>
        </w:rPr>
        <w:t xml:space="preserve"/>
      </w:r>
    </w:p>
    <w:p>
      <w:pPr>
        <w:spacing w:after="100" w:before="280"/>
      </w:pPr>
      <w:r>
        <w:rPr>
          <w:rFonts w:ascii="Arial" w:cs="Arial" w:eastAsia="Arial" w:hAnsi="Arial"/>
          <w:b/>
          <w:bCs/>
          <w:color w:val="2d7a47"/>
          <w:sz w:val="26"/>
          <w:szCs w:val="26"/>
        </w:rPr>
        <w:t xml:space="preserve">8. MIT — Securing Intelligence: Air-Gapped AI Systems, February 2026</w:t>
      </w:r>
    </w:p>
    <w:p>
      <w:pPr>
        <w:spacing w:after="120" w:before="0"/>
        <w:jc w:val="left"/>
      </w:pPr>
      <w:r>
        <w:rPr>
          <w:rFonts w:ascii="Arial" w:cs="Arial" w:eastAsia="Arial" w:hAnsi="Arial"/>
          <w:b w:val="false"/>
          <w:bCs w:val="false"/>
          <w:color w:val="888888"/>
          <w:sz w:val="19"/>
          <w:szCs w:val="19"/>
        </w:rPr>
        <w:t xml:space="preserve">dspace.mit.edu/handle/1721.1/164901</w:t>
      </w:r>
    </w:p>
    <w:p>
      <w:pPr>
        <w:pStyle w:val="ListParagraph"/>
        <w:numPr>
          <w:ilvl w:val="0"/>
          <w:numId w:val="2"/>
        </w:numPr>
        <w:spacing w:after="40" w:before="40"/>
      </w:pPr>
      <w:r>
        <w:rPr>
          <w:rFonts w:ascii="Arial" w:cs="Arial" w:eastAsia="Arial" w:hAnsi="Arial"/>
          <w:b w:val="false"/>
          <w:bCs w:val="false"/>
          <w:color w:val="444444"/>
          <w:sz w:val="22"/>
          <w:szCs w:val="22"/>
        </w:rPr>
        <w:t xml:space="preserve">Documents the Samsung source code leak via ChatGPT — landmark real-world data exfiltration case</w:t>
      </w:r>
    </w:p>
    <w:p>
      <w:pPr>
        <w:pStyle w:val="ListParagraph"/>
        <w:numPr>
          <w:ilvl w:val="0"/>
          <w:numId w:val="2"/>
        </w:numPr>
        <w:spacing w:after="40" w:before="40"/>
      </w:pPr>
      <w:r>
        <w:rPr>
          <w:rFonts w:ascii="Arial" w:cs="Arial" w:eastAsia="Arial" w:hAnsi="Arial"/>
          <w:b w:val="false"/>
          <w:bCs w:val="false"/>
          <w:color w:val="444444"/>
          <w:sz w:val="22"/>
          <w:szCs w:val="22"/>
        </w:rPr>
        <w:t xml:space="preserve">Cloud-based API models pose significant risks: training data exposure, prompt injection attacks, hidden biases</w:t>
      </w:r>
    </w:p>
    <w:p>
      <w:pPr>
        <w:pStyle w:val="ListParagraph"/>
        <w:numPr>
          <w:ilvl w:val="0"/>
          <w:numId w:val="2"/>
        </w:numPr>
        <w:spacing w:after="40" w:before="40"/>
      </w:pPr>
      <w:r>
        <w:rPr>
          <w:rFonts w:ascii="Arial" w:cs="Arial" w:eastAsia="Arial" w:hAnsi="Arial"/>
          <w:b w:val="false"/>
          <w:bCs w:val="false"/>
          <w:color w:val="444444"/>
          <w:sz w:val="22"/>
          <w:szCs w:val="22"/>
        </w:rPr>
        <w:t xml:space="preserve">GDPR and data localization laws make cloud AI legally non-compliant for many sensitive workloads</w:t>
      </w:r>
    </w:p>
    <w:p>
      <w:pPr>
        <w:pStyle w:val="ListParagraph"/>
        <w:numPr>
          <w:ilvl w:val="0"/>
          <w:numId w:val="2"/>
        </w:numPr>
        <w:spacing w:after="40" w:before="40"/>
      </w:pPr>
      <w:r>
        <w:rPr>
          <w:rFonts w:ascii="Arial" w:cs="Arial" w:eastAsia="Arial" w:hAnsi="Arial"/>
          <w:b w:val="false"/>
          <w:bCs w:val="false"/>
          <w:color w:val="444444"/>
          <w:sz w:val="22"/>
          <w:szCs w:val="22"/>
        </w:rPr>
        <w:t xml:space="preserve">Air-gapped LLMs formally recommended for national security, defence, and intelligence contexts</w:t>
      </w:r>
    </w:p>
    <w:p>
      <w:pPr>
        <w:pBdr>
          <w:left w:val="single" w:color="3ddc84" w:sz="18" w:space="14"/>
        </w:pBdr>
        <w:shd w:fill="e8f5ee" w:val="clear"/>
        <w:spacing w:after="160" w:before="160"/>
        <w:ind w:left="240"/>
      </w:pPr>
      <w:r>
        <w:rPr>
          <w:rFonts w:ascii="Arial" w:cs="Arial" w:eastAsia="Arial" w:hAnsi="Arial"/>
          <w:b w:val="false"/>
          <w:bCs w:val="false"/>
          <w:color w:val="1a1a1a"/>
          <w:sz w:val="21"/>
          <w:szCs w:val="21"/>
        </w:rPr>
        <w:t xml:space="preserve">Best for: The Samsung incident is a named, real, documented example. Use it to make the security argument concrete rather than hypothetical.</w:t>
      </w:r>
    </w:p>
    <w:p>
      <w:pPr>
        <w:spacing w:after="60" w:before="0"/>
        <w:jc w:val="left"/>
      </w:pPr>
      <w:r>
        <w:rPr>
          <w:rFonts w:ascii="Arial" w:cs="Arial" w:eastAsia="Arial" w:hAnsi="Arial"/>
          <w:b w:val="false"/>
          <w:bCs w:val="false"/>
          <w:color w:val="1a1a1a"/>
          <w:sz w:val="22"/>
          <w:szCs w:val="22"/>
        </w:rPr>
        <w:t xml:space="preserve"/>
      </w:r>
    </w:p>
    <w:p>
      <w:pPr>
        <w:spacing w:after="60" w:before="0"/>
        <w:jc w:val="left"/>
      </w:pPr>
      <w:r>
        <w:rPr>
          <w:rFonts w:ascii="Arial" w:cs="Arial" w:eastAsia="Arial" w:hAnsi="Arial"/>
          <w:b w:val="false"/>
          <w:bCs w:val="false"/>
          <w:color w:val="1a1a1a"/>
          <w:sz w:val="22"/>
          <w:szCs w:val="22"/>
        </w:rPr>
        <w:t xml:space="preserve"/>
      </w:r>
    </w:p>
    <w:p>
      <w:r>
        <w:br w:type="page"/>
      </w:r>
    </w:p>
    <w:p>
      <w:pPr>
        <w:spacing w:after="80" w:before="0"/>
      </w:pPr>
      <w:r>
        <w:rPr>
          <w:rFonts w:ascii="Courier New" w:cs="Courier New" w:eastAsia="Courier New" w:hAnsi="Courier New"/>
          <w:b/>
          <w:bCs/>
          <w:color w:val="3ddc84"/>
          <w:sz w:val="17"/>
          <w:szCs w:val="17"/>
        </w:rPr>
        <w:t xml:space="preserve">— TIER 2 — HIGH-QUALITY SUPPORTING SOURCES —</w:t>
      </w:r>
    </w:p>
    <w:p>
      <w:pPr>
        <w:pBdr>
          <w:bottom w:val="single" w:color="3ddc84" w:sz="10" w:space="6"/>
        </w:pBdr>
        <w:spacing w:after="120" w:before="400"/>
      </w:pPr>
      <w:r>
        <w:rPr>
          <w:rFonts w:ascii="Arial" w:cs="Arial" w:eastAsia="Arial" w:hAnsi="Arial"/>
          <w:b/>
          <w:bCs/>
          <w:color w:val="1a4a24"/>
          <w:sz w:val="30"/>
          <w:szCs w:val="30"/>
        </w:rPr>
        <w:t xml:space="preserve">Strong Institutional Backing</w:t>
      </w:r>
    </w:p>
    <w:p>
      <w:pPr>
        <w:spacing w:after="60" w:before="0"/>
        <w:jc w:val="left"/>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60"/>
              <w:left w:type="dxa" w:w="200"/>
              <w:bottom w:type="dxa" w:w="160"/>
              <w:right w:type="dxa" w:w="200"/>
            </w:tcMar>
          </w:tcPr>
          <w:p>
            <w:pPr>
              <w:spacing w:after="60" w:before="0"/>
            </w:pPr>
            <w:r>
              <w:rPr>
                <w:rFonts w:ascii="Arial" w:cs="Arial" w:eastAsia="Arial" w:hAnsi="Arial"/>
                <w:b/>
                <w:bCs/>
                <w:color w:val="1a4a24"/>
                <w:sz w:val="22"/>
                <w:szCs w:val="22"/>
              </w:rPr>
              <w:t xml:space="preserve">Brookings Institution — Global Energy Demands Within the AI Regulatory Landscape, April 2026</w:t>
            </w:r>
          </w:p>
          <w:p>
            <w:pPr>
              <w:spacing w:after="100" w:before="0"/>
            </w:pPr>
            <w:r>
              <w:rPr>
                <w:rFonts w:ascii="Arial" w:cs="Arial" w:eastAsia="Arial" w:hAnsi="Arial"/>
                <w:b w:val="false"/>
                <w:bCs w:val="false"/>
                <w:color w:val="888888"/>
                <w:sz w:val="17"/>
                <w:szCs w:val="17"/>
              </w:rPr>
              <w:t xml:space="preserve">brookings.edu/articles/global-energy-demands-within-the-ai-regulatory-landscape/</w:t>
            </w:r>
          </w:p>
          <w:p>
            <w:pPr>
              <w:pStyle w:val="ListParagraph"/>
              <w:numPr>
                <w:ilvl w:val="0"/>
                <w:numId w:val="2"/>
              </w:numPr>
              <w:spacing w:after="30" w:before="30"/>
            </w:pPr>
            <w:r>
              <w:rPr>
                <w:rFonts w:ascii="Arial" w:cs="Arial" w:eastAsia="Arial" w:hAnsi="Arial"/>
                <w:b w:val="false"/>
                <w:bCs w:val="false"/>
                <w:color w:val="444444"/>
                <w:sz w:val="20"/>
                <w:szCs w:val="20"/>
              </w:rPr>
              <w:t xml:space="preserve">Google reduced data center emissions 12% through clean energy — but absolute electricity consumption grew 27% year-over-year</w:t>
            </w:r>
          </w:p>
          <w:p>
            <w:pPr>
              <w:pStyle w:val="ListParagraph"/>
              <w:numPr>
                <w:ilvl w:val="0"/>
                <w:numId w:val="2"/>
              </w:numPr>
              <w:spacing w:after="30" w:before="30"/>
            </w:pPr>
            <w:r>
              <w:rPr>
                <w:rFonts w:ascii="Arial" w:cs="Arial" w:eastAsia="Arial" w:hAnsi="Arial"/>
                <w:b w:val="false"/>
                <w:bCs w:val="false"/>
                <w:color w:val="444444"/>
                <w:sz w:val="20"/>
                <w:szCs w:val="20"/>
              </w:rPr>
              <w:t xml:space="preserve">IEA projects 945 TWh by 2030, 1,200 TWh by 2035</w:t>
            </w:r>
          </w:p>
          <w:p>
            <w:pPr>
              <w:pStyle w:val="ListParagraph"/>
              <w:numPr>
                <w:ilvl w:val="0"/>
                <w:numId w:val="2"/>
              </w:numPr>
              <w:spacing w:after="30" w:before="30"/>
            </w:pPr>
            <w:r>
              <w:rPr>
                <w:rFonts w:ascii="Arial" w:cs="Arial" w:eastAsia="Arial" w:hAnsi="Arial"/>
                <w:b w:val="false"/>
                <w:bCs w:val="false"/>
                <w:color w:val="444444"/>
                <w:sz w:val="20"/>
                <w:szCs w:val="20"/>
              </w:rPr>
              <w:t xml:space="preserve">"The efficiency paradox": efficiency gains slowing since 2020 while model complexity and query volume grow faster</w:t>
            </w:r>
          </w:p>
          <w:p>
            <w:pPr>
              <w:pStyle w:val="ListParagraph"/>
              <w:numPr>
                <w:ilvl w:val="0"/>
                <w:numId w:val="2"/>
              </w:numPr>
              <w:spacing w:after="30" w:before="30"/>
            </w:pPr>
            <w:r>
              <w:rPr>
                <w:rFonts w:ascii="Arial" w:cs="Arial" w:eastAsia="Arial" w:hAnsi="Arial"/>
                <w:b w:val="false"/>
                <w:bCs w:val="false"/>
                <w:color w:val="444444"/>
                <w:sz w:val="20"/>
                <w:szCs w:val="20"/>
              </w:rPr>
              <w:t xml:space="preserve">China: 500+ data center projects announced 2023–2024; 150+ running by end of 2024</w:t>
            </w:r>
          </w:p>
          <w:p>
            <w:pPr>
              <w:pStyle w:val="ListParagraph"/>
              <w:numPr>
                <w:ilvl w:val="0"/>
                <w:numId w:val="2"/>
              </w:numPr>
              <w:spacing w:after="30" w:before="30"/>
            </w:pPr>
            <w:r>
              <w:rPr>
                <w:rFonts w:ascii="Arial" w:cs="Arial" w:eastAsia="Arial" w:hAnsi="Arial"/>
                <w:b w:val="false"/>
                <w:bCs w:val="false"/>
                <w:color w:val="444444"/>
                <w:sz w:val="20"/>
                <w:szCs w:val="20"/>
              </w:rPr>
              <w:t xml:space="preserve">BEST FOR: The Google rebound effect stat. Demolishes the 'we're going renewable' counterargument completely.</w:t>
            </w:r>
          </w:p>
        </w:tc>
      </w:tr>
    </w:tbl>
    <w:p>
      <w:pPr>
        <w:spacing w:after="60" w:before="0"/>
        <w:jc w:val="left"/>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60"/>
              <w:left w:type="dxa" w:w="200"/>
              <w:bottom w:type="dxa" w:w="160"/>
              <w:right w:type="dxa" w:w="200"/>
            </w:tcMar>
          </w:tcPr>
          <w:p>
            <w:pPr>
              <w:spacing w:after="60" w:before="0"/>
            </w:pPr>
            <w:r>
              <w:rPr>
                <w:rFonts w:ascii="Arial" w:cs="Arial" w:eastAsia="Arial" w:hAnsi="Arial"/>
                <w:b/>
                <w:bCs/>
                <w:color w:val="1a4a24"/>
                <w:sz w:val="22"/>
                <w:szCs w:val="22"/>
              </w:rPr>
              <w:t xml:space="preserve">World Economic Forum — How Data Centres Can Avoid Doubling Their Energy Use by 2030, December 2025</w:t>
            </w:r>
          </w:p>
          <w:p>
            <w:pPr>
              <w:spacing w:after="100" w:before="0"/>
            </w:pPr>
            <w:r>
              <w:rPr>
                <w:rFonts w:ascii="Arial" w:cs="Arial" w:eastAsia="Arial" w:hAnsi="Arial"/>
                <w:b w:val="false"/>
                <w:bCs w:val="false"/>
                <w:color w:val="888888"/>
                <w:sz w:val="17"/>
                <w:szCs w:val="17"/>
              </w:rPr>
              <w:t xml:space="preserve">weforum.org/stories/2025/12/data-centres-and-energy-demand/</w:t>
            </w:r>
          </w:p>
          <w:p>
            <w:pPr>
              <w:pStyle w:val="ListParagraph"/>
              <w:numPr>
                <w:ilvl w:val="0"/>
                <w:numId w:val="2"/>
              </w:numPr>
              <w:spacing w:after="30" w:before="30"/>
            </w:pPr>
            <w:r>
              <w:rPr>
                <w:rFonts w:ascii="Arial" w:cs="Arial" w:eastAsia="Arial" w:hAnsi="Arial"/>
                <w:b w:val="false"/>
                <w:bCs w:val="false"/>
                <w:color w:val="444444"/>
                <w:sz w:val="20"/>
                <w:szCs w:val="20"/>
              </w:rPr>
              <w:t xml:space="preserve">Training ChatGPT generated an estimated 552 tonnes of CO₂ — equivalent to 121 US households' annual footprint</w:t>
            </w:r>
          </w:p>
          <w:p>
            <w:pPr>
              <w:pStyle w:val="ListParagraph"/>
              <w:numPr>
                <w:ilvl w:val="0"/>
                <w:numId w:val="2"/>
              </w:numPr>
              <w:spacing w:after="30" w:before="30"/>
            </w:pPr>
            <w:r>
              <w:rPr>
                <w:rFonts w:ascii="Arial" w:cs="Arial" w:eastAsia="Arial" w:hAnsi="Arial"/>
                <w:b w:val="false"/>
                <w:bCs w:val="false"/>
                <w:color w:val="444444"/>
                <w:sz w:val="20"/>
                <w:szCs w:val="20"/>
              </w:rPr>
              <w:t xml:space="preserve">Data centers consumed 415 TWh in 2024, doubling to 945 TWh by 2030 — equivalent to Japan's total annual electricity</w:t>
            </w:r>
          </w:p>
          <w:p>
            <w:pPr>
              <w:pStyle w:val="ListParagraph"/>
              <w:numPr>
                <w:ilvl w:val="0"/>
                <w:numId w:val="2"/>
              </w:numPr>
              <w:spacing w:after="30" w:before="30"/>
            </w:pPr>
            <w:r>
              <w:rPr>
                <w:rFonts w:ascii="Arial" w:cs="Arial" w:eastAsia="Arial" w:hAnsi="Arial"/>
                <w:b w:val="false"/>
                <w:bCs w:val="false"/>
                <w:color w:val="444444"/>
                <w:sz w:val="20"/>
                <w:szCs w:val="20"/>
              </w:rPr>
              <w:t xml:space="preserve">BEST FOR: The ChatGPT training CO₂ figure. Puts a human face on abstract infrastructure numbers.</w:t>
            </w:r>
          </w:p>
        </w:tc>
      </w:tr>
    </w:tbl>
    <w:p>
      <w:pPr>
        <w:spacing w:after="60" w:before="0"/>
        <w:jc w:val="left"/>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60"/>
              <w:left w:type="dxa" w:w="200"/>
              <w:bottom w:type="dxa" w:w="160"/>
              <w:right w:type="dxa" w:w="200"/>
            </w:tcMar>
          </w:tcPr>
          <w:p>
            <w:pPr>
              <w:spacing w:after="60" w:before="0"/>
            </w:pPr>
            <w:r>
              <w:rPr>
                <w:rFonts w:ascii="Arial" w:cs="Arial" w:eastAsia="Arial" w:hAnsi="Arial"/>
                <w:b/>
                <w:bCs/>
                <w:color w:val="1a4a24"/>
                <w:sz w:val="22"/>
                <w:szCs w:val="22"/>
              </w:rPr>
              <w:t xml:space="preserve">McKinsey — Sovereign AI: Ecosystems for Strategic Resilience, March 2026</w:t>
            </w:r>
          </w:p>
          <w:p>
            <w:pPr>
              <w:spacing w:after="100" w:before="0"/>
            </w:pPr>
            <w:r>
              <w:rPr>
                <w:rFonts w:ascii="Arial" w:cs="Arial" w:eastAsia="Arial" w:hAnsi="Arial"/>
                <w:b w:val="false"/>
                <w:bCs w:val="false"/>
                <w:color w:val="888888"/>
                <w:sz w:val="17"/>
                <w:szCs w:val="17"/>
              </w:rPr>
              <w:t xml:space="preserve">mckinsey.com/industries/technology-media-and-telecommunications/our-insights/sovereign-ai-building-ecosystems-for-strategic-resilience-and-impact</w:t>
            </w:r>
          </w:p>
          <w:p>
            <w:pPr>
              <w:pStyle w:val="ListParagraph"/>
              <w:numPr>
                <w:ilvl w:val="0"/>
                <w:numId w:val="2"/>
              </w:numPr>
              <w:spacing w:after="30" w:before="30"/>
            </w:pPr>
            <w:r>
              <w:rPr>
                <w:rFonts w:ascii="Arial" w:cs="Arial" w:eastAsia="Arial" w:hAnsi="Arial"/>
                <w:b w:val="false"/>
                <w:bCs w:val="false"/>
                <w:color w:val="444444"/>
                <w:sz w:val="20"/>
                <w:szCs w:val="20"/>
              </w:rPr>
              <w:t xml:space="preserve">Global survey: enterprises, providers, governments, and investors on sovereign AI</w:t>
            </w:r>
          </w:p>
          <w:p>
            <w:pPr>
              <w:pStyle w:val="ListParagraph"/>
              <w:numPr>
                <w:ilvl w:val="0"/>
                <w:numId w:val="2"/>
              </w:numPr>
              <w:spacing w:after="30" w:before="30"/>
            </w:pPr>
            <w:r>
              <w:rPr>
                <w:rFonts w:ascii="Arial" w:cs="Arial" w:eastAsia="Arial" w:hAnsi="Arial"/>
                <w:b w:val="false"/>
                <w:bCs w:val="false"/>
                <w:color w:val="444444"/>
                <w:sz w:val="20"/>
                <w:szCs w:val="20"/>
              </w:rPr>
              <w:t xml:space="preserve">Many sovereign AI initiatives are stalling — failing to translate intent into scaled adoption</w:t>
            </w:r>
          </w:p>
          <w:p>
            <w:pPr>
              <w:pStyle w:val="ListParagraph"/>
              <w:numPr>
                <w:ilvl w:val="0"/>
                <w:numId w:val="2"/>
              </w:numPr>
              <w:spacing w:after="30" w:before="30"/>
            </w:pPr>
            <w:r>
              <w:rPr>
                <w:rFonts w:ascii="Arial" w:cs="Arial" w:eastAsia="Arial" w:hAnsi="Arial"/>
                <w:b w:val="false"/>
                <w:bCs w:val="false"/>
                <w:color w:val="444444"/>
                <w:sz w:val="20"/>
                <w:szCs w:val="20"/>
              </w:rPr>
              <w:t xml:space="preserve">Sovereign AI = a nation's/organisation's ability to develop and control its own AI capabilities</w:t>
            </w:r>
          </w:p>
          <w:p>
            <w:pPr>
              <w:pStyle w:val="ListParagraph"/>
              <w:numPr>
                <w:ilvl w:val="0"/>
                <w:numId w:val="2"/>
              </w:numPr>
              <w:spacing w:after="30" w:before="30"/>
            </w:pPr>
            <w:r>
              <w:rPr>
                <w:rFonts w:ascii="Arial" w:cs="Arial" w:eastAsia="Arial" w:hAnsi="Arial"/>
                <w:b w:val="false"/>
                <w:bCs w:val="false"/>
                <w:color w:val="444444"/>
                <w:sz w:val="20"/>
                <w:szCs w:val="20"/>
              </w:rPr>
              <w:t xml:space="preserve">BEST FOR: C-suite and government audiences. McKinsey's brand makes the sovereignty argument credible to conservative institutional clients.</w:t>
            </w:r>
          </w:p>
        </w:tc>
      </w:tr>
    </w:tbl>
    <w:p>
      <w:pPr>
        <w:spacing w:after="60" w:before="0"/>
        <w:jc w:val="left"/>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60"/>
              <w:left w:type="dxa" w:w="200"/>
              <w:bottom w:type="dxa" w:w="160"/>
              <w:right w:type="dxa" w:w="200"/>
            </w:tcMar>
          </w:tcPr>
          <w:p>
            <w:pPr>
              <w:spacing w:after="60" w:before="0"/>
            </w:pPr>
            <w:r>
              <w:rPr>
                <w:rFonts w:ascii="Arial" w:cs="Arial" w:eastAsia="Arial" w:hAnsi="Arial"/>
                <w:b/>
                <w:bCs/>
                <w:color w:val="1a4a24"/>
                <w:sz w:val="22"/>
                <w:szCs w:val="22"/>
              </w:rPr>
              <w:t xml:space="preserve">IBM — What is AI Sovereignty? February 2026</w:t>
            </w:r>
          </w:p>
          <w:p>
            <w:pPr>
              <w:spacing w:after="100" w:before="0"/>
            </w:pPr>
            <w:r>
              <w:rPr>
                <w:rFonts w:ascii="Arial" w:cs="Arial" w:eastAsia="Arial" w:hAnsi="Arial"/>
                <w:b w:val="false"/>
                <w:bCs w:val="false"/>
                <w:color w:val="888888"/>
                <w:sz w:val="17"/>
                <w:szCs w:val="17"/>
              </w:rPr>
              <w:t xml:space="preserve">ibm.com/think/topics/ai-sovereignty</w:t>
            </w:r>
          </w:p>
          <w:p>
            <w:pPr>
              <w:pStyle w:val="ListParagraph"/>
              <w:numPr>
                <w:ilvl w:val="0"/>
                <w:numId w:val="2"/>
              </w:numPr>
              <w:spacing w:after="30" w:before="30"/>
            </w:pPr>
            <w:r>
              <w:rPr>
                <w:rFonts w:ascii="Arial" w:cs="Arial" w:eastAsia="Arial" w:hAnsi="Arial"/>
                <w:b w:val="false"/>
                <w:bCs w:val="false"/>
                <w:color w:val="444444"/>
                <w:sz w:val="20"/>
                <w:szCs w:val="20"/>
              </w:rPr>
              <w:t xml:space="preserve">IBM 2025 CEO Study: leaders prioritising AI sovereignty strategies alongside cloud</w:t>
            </w:r>
          </w:p>
          <w:p>
            <w:pPr>
              <w:pStyle w:val="ListParagraph"/>
              <w:numPr>
                <w:ilvl w:val="0"/>
                <w:numId w:val="2"/>
              </w:numPr>
              <w:spacing w:after="30" w:before="30"/>
            </w:pPr>
            <w:r>
              <w:rPr>
                <w:rFonts w:ascii="Arial" w:cs="Arial" w:eastAsia="Arial" w:hAnsi="Arial"/>
                <w:b w:val="false"/>
                <w:bCs w:val="false"/>
                <w:color w:val="444444"/>
                <w:sz w:val="20"/>
                <w:szCs w:val="20"/>
              </w:rPr>
              <w:t xml:space="preserve">79% of executives believe AI will positively impact revenue by 2030 — but rapid adoption creates new dependencies and compliance risks</w:t>
            </w:r>
          </w:p>
          <w:p>
            <w:pPr>
              <w:pStyle w:val="ListParagraph"/>
              <w:numPr>
                <w:ilvl w:val="0"/>
                <w:numId w:val="2"/>
              </w:numPr>
              <w:spacing w:after="30" w:before="30"/>
            </w:pPr>
            <w:r>
              <w:rPr>
                <w:rFonts w:ascii="Arial" w:cs="Arial" w:eastAsia="Arial" w:hAnsi="Arial"/>
                <w:b w:val="false"/>
                <w:bCs w:val="false"/>
                <w:color w:val="444444"/>
                <w:sz w:val="20"/>
                <w:szCs w:val="20"/>
              </w:rPr>
              <w:t xml:space="preserve">10,000+ enterprises/year committing to sovereign AI and data platforms</w:t>
            </w:r>
          </w:p>
          <w:p>
            <w:pPr>
              <w:pStyle w:val="ListParagraph"/>
              <w:numPr>
                <w:ilvl w:val="0"/>
                <w:numId w:val="2"/>
              </w:numPr>
              <w:spacing w:after="30" w:before="30"/>
            </w:pPr>
            <w:r>
              <w:rPr>
                <w:rFonts w:ascii="Arial" w:cs="Arial" w:eastAsia="Arial" w:hAnsi="Arial"/>
                <w:b w:val="false"/>
                <w:bCs w:val="false"/>
                <w:color w:val="444444"/>
                <w:sz w:val="20"/>
                <w:szCs w:val="20"/>
              </w:rPr>
              <w:t xml:space="preserve">BEST FOR: Enterprise C-suite. IBM's framing legitimises sovereignty for corporate decision-makers.</w:t>
            </w:r>
          </w:p>
        </w:tc>
      </w:tr>
    </w:tbl>
    <w:p>
      <w:pPr>
        <w:spacing w:after="60" w:before="0"/>
        <w:jc w:val="left"/>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60"/>
              <w:left w:type="dxa" w:w="200"/>
              <w:bottom w:type="dxa" w:w="160"/>
              <w:right w:type="dxa" w:w="200"/>
            </w:tcMar>
          </w:tcPr>
          <w:p>
            <w:pPr>
              <w:spacing w:after="60" w:before="0"/>
            </w:pPr>
            <w:r>
              <w:rPr>
                <w:rFonts w:ascii="Arial" w:cs="Arial" w:eastAsia="Arial" w:hAnsi="Arial"/>
                <w:b/>
                <w:bCs/>
                <w:color w:val="1a4a24"/>
                <w:sz w:val="22"/>
                <w:szCs w:val="22"/>
              </w:rPr>
              <w:t xml:space="preserve">Deloitte — Global C-suite Sustainability Report 2025</w:t>
            </w:r>
          </w:p>
          <w:p>
            <w:pPr>
              <w:spacing w:after="100" w:before="0"/>
            </w:pPr>
            <w:r>
              <w:rPr>
                <w:rFonts w:ascii="Arial" w:cs="Arial" w:eastAsia="Arial" w:hAnsi="Arial"/>
                <w:b w:val="false"/>
                <w:bCs w:val="false"/>
                <w:color w:val="888888"/>
                <w:sz w:val="17"/>
                <w:szCs w:val="17"/>
              </w:rPr>
              <w:t xml:space="preserve">deloitte.com (search: Global C-suite Sustainability Report 2025)</w:t>
            </w:r>
          </w:p>
          <w:p>
            <w:pPr>
              <w:pStyle w:val="ListParagraph"/>
              <w:numPr>
                <w:ilvl w:val="0"/>
                <w:numId w:val="2"/>
              </w:numPr>
              <w:spacing w:after="30" w:before="30"/>
            </w:pPr>
            <w:r>
              <w:rPr>
                <w:rFonts w:ascii="Arial" w:cs="Arial" w:eastAsia="Arial" w:hAnsi="Arial"/>
                <w:b w:val="false"/>
                <w:bCs w:val="false"/>
                <w:color w:val="444444"/>
                <w:sz w:val="20"/>
                <w:szCs w:val="20"/>
              </w:rPr>
              <w:t xml:space="preserve">81% of executives already use AI to advance sustainability goals</w:t>
            </w:r>
          </w:p>
          <w:p>
            <w:pPr>
              <w:pStyle w:val="ListParagraph"/>
              <w:numPr>
                <w:ilvl w:val="0"/>
                <w:numId w:val="2"/>
              </w:numPr>
              <w:spacing w:after="30" w:before="30"/>
            </w:pPr>
            <w:r>
              <w:rPr>
                <w:rFonts w:ascii="Arial" w:cs="Arial" w:eastAsia="Arial" w:hAnsi="Arial"/>
                <w:b w:val="false"/>
                <w:bCs w:val="false"/>
                <w:color w:val="444444"/>
                <w:sz w:val="20"/>
                <w:szCs w:val="20"/>
              </w:rPr>
              <w:t xml:space="preserve">Almost all of that AI runs on cloud infrastructure — creating hidden and growing Scope 2 emissions</w:t>
            </w:r>
          </w:p>
          <w:p>
            <w:pPr>
              <w:pStyle w:val="ListParagraph"/>
              <w:numPr>
                <w:ilvl w:val="0"/>
                <w:numId w:val="2"/>
              </w:numPr>
              <w:spacing w:after="30" w:before="30"/>
            </w:pPr>
            <w:r>
              <w:rPr>
                <w:rFonts w:ascii="Arial" w:cs="Arial" w:eastAsia="Arial" w:hAnsi="Arial"/>
                <w:b w:val="false"/>
                <w:bCs w:val="false"/>
                <w:color w:val="444444"/>
                <w:sz w:val="20"/>
                <w:szCs w:val="20"/>
              </w:rPr>
              <w:t xml:space="preserve">Companies integrating AI into decision-making achieve stronger resilience, transparency, and growth</w:t>
            </w:r>
          </w:p>
          <w:p>
            <w:pPr>
              <w:pStyle w:val="ListParagraph"/>
              <w:numPr>
                <w:ilvl w:val="0"/>
                <w:numId w:val="2"/>
              </w:numPr>
              <w:spacing w:after="30" w:before="30"/>
            </w:pPr>
            <w:r>
              <w:rPr>
                <w:rFonts w:ascii="Arial" w:cs="Arial" w:eastAsia="Arial" w:hAnsi="Arial"/>
                <w:b w:val="false"/>
                <w:bCs w:val="false"/>
                <w:color w:val="444444"/>
                <w:sz w:val="20"/>
                <w:szCs w:val="20"/>
              </w:rPr>
              <w:t xml:space="preserve">BEST FOR: ESG audiences. The gap between 'using AI for sustainability' and 'using sustainable AI' is the GLAM opportunity.</w:t>
            </w:r>
          </w:p>
        </w:tc>
      </w:tr>
    </w:tbl>
    <w:p>
      <w:pPr>
        <w:spacing w:after="60" w:before="0"/>
        <w:jc w:val="left"/>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60"/>
              <w:left w:type="dxa" w:w="200"/>
              <w:bottom w:type="dxa" w:w="160"/>
              <w:right w:type="dxa" w:w="200"/>
            </w:tcMar>
          </w:tcPr>
          <w:p>
            <w:pPr>
              <w:spacing w:after="60" w:before="0"/>
            </w:pPr>
            <w:r>
              <w:rPr>
                <w:rFonts w:ascii="Arial" w:cs="Arial" w:eastAsia="Arial" w:hAnsi="Arial"/>
                <w:b/>
                <w:bCs/>
                <w:color w:val="1a4a24"/>
                <w:sz w:val="22"/>
                <w:szCs w:val="22"/>
              </w:rPr>
              <w:t xml:space="preserve">ScienceDirect — Assessing the Carbon Footprint of Language Models, October 2025</w:t>
            </w:r>
          </w:p>
          <w:p>
            <w:pPr>
              <w:spacing w:after="100" w:before="0"/>
            </w:pPr>
            <w:r>
              <w:rPr>
                <w:rFonts w:ascii="Arial" w:cs="Arial" w:eastAsia="Arial" w:hAnsi="Arial"/>
                <w:b w:val="false"/>
                <w:bCs w:val="false"/>
                <w:color w:val="888888"/>
                <w:sz w:val="17"/>
                <w:szCs w:val="17"/>
              </w:rPr>
              <w:t xml:space="preserve">sciencedirect.com/science/article/pii/S0921344925005476</w:t>
            </w:r>
          </w:p>
          <w:p>
            <w:pPr>
              <w:pStyle w:val="ListParagraph"/>
              <w:numPr>
                <w:ilvl w:val="0"/>
                <w:numId w:val="2"/>
              </w:numPr>
              <w:spacing w:after="30" w:before="30"/>
            </w:pPr>
            <w:r>
              <w:rPr>
                <w:rFonts w:ascii="Arial" w:cs="Arial" w:eastAsia="Arial" w:hAnsi="Arial"/>
                <w:b w:val="false"/>
                <w:bCs w:val="false"/>
                <w:color w:val="444444"/>
                <w:sz w:val="20"/>
                <w:szCs w:val="20"/>
              </w:rPr>
              <w:t xml:space="preserve">Existing benchmarks rarely report energy consumption — creating a significant information gap</w:t>
            </w:r>
          </w:p>
          <w:p>
            <w:pPr>
              <w:pStyle w:val="ListParagraph"/>
              <w:numPr>
                <w:ilvl w:val="0"/>
                <w:numId w:val="2"/>
              </w:numPr>
              <w:spacing w:after="30" w:before="30"/>
            </w:pPr>
            <w:r>
              <w:rPr>
                <w:rFonts w:ascii="Arial" w:cs="Arial" w:eastAsia="Arial" w:hAnsi="Arial"/>
                <w:b w:val="false"/>
                <w:bCs w:val="false"/>
                <w:color w:val="444444"/>
                <w:sz w:val="20"/>
                <w:szCs w:val="20"/>
              </w:rPr>
              <w:t xml:space="preserve">Small language models show clear potential for resource-efficient use cases</w:t>
            </w:r>
          </w:p>
          <w:p>
            <w:pPr>
              <w:pStyle w:val="ListParagraph"/>
              <w:numPr>
                <w:ilvl w:val="0"/>
                <w:numId w:val="2"/>
              </w:numPr>
              <w:spacing w:after="30" w:before="30"/>
            </w:pPr>
            <w:r>
              <w:rPr>
                <w:rFonts w:ascii="Arial" w:cs="Arial" w:eastAsia="Arial" w:hAnsi="Arial"/>
                <w:b w:val="false"/>
                <w:bCs w:val="false"/>
                <w:color w:val="444444"/>
                <w:sz w:val="20"/>
                <w:szCs w:val="20"/>
              </w:rPr>
              <w:t xml:space="preserve">Calls for harmonised evaluation framework integrating standardised sustainability metrics</w:t>
            </w:r>
          </w:p>
          <w:p>
            <w:pPr>
              <w:pStyle w:val="ListParagraph"/>
              <w:numPr>
                <w:ilvl w:val="0"/>
                <w:numId w:val="2"/>
              </w:numPr>
              <w:spacing w:after="30" w:before="30"/>
            </w:pPr>
            <w:r>
              <w:rPr>
                <w:rFonts w:ascii="Arial" w:cs="Arial" w:eastAsia="Arial" w:hAnsi="Arial"/>
                <w:b w:val="false"/>
                <w:bCs w:val="false"/>
                <w:color w:val="444444"/>
                <w:sz w:val="20"/>
                <w:szCs w:val="20"/>
              </w:rPr>
              <w:t xml:space="preserve">BEST FOR: The transparency gap argument — cloud AI companies hide their energy data. Open local AI has nothing to hide.</w:t>
            </w:r>
          </w:p>
        </w:tc>
      </w:tr>
    </w:tbl>
    <w:p>
      <w:pPr>
        <w:spacing w:after="60" w:before="0"/>
        <w:jc w:val="left"/>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60"/>
              <w:left w:type="dxa" w:w="200"/>
              <w:bottom w:type="dxa" w:w="160"/>
              <w:right w:type="dxa" w:w="200"/>
            </w:tcMar>
          </w:tcPr>
          <w:p>
            <w:pPr>
              <w:spacing w:after="60" w:before="0"/>
            </w:pPr>
            <w:r>
              <w:rPr>
                <w:rFonts w:ascii="Arial" w:cs="Arial" w:eastAsia="Arial" w:hAnsi="Arial"/>
                <w:b/>
                <w:bCs/>
                <w:color w:val="1a4a24"/>
                <w:sz w:val="22"/>
                <w:szCs w:val="22"/>
              </w:rPr>
              <w:t xml:space="preserve">Secure Privacy — Data Privacy Trends 2026, December 2025</w:t>
            </w:r>
          </w:p>
          <w:p>
            <w:pPr>
              <w:spacing w:after="100" w:before="0"/>
            </w:pPr>
            <w:r>
              <w:rPr>
                <w:rFonts w:ascii="Arial" w:cs="Arial" w:eastAsia="Arial" w:hAnsi="Arial"/>
                <w:b w:val="false"/>
                <w:bCs w:val="false"/>
                <w:color w:val="888888"/>
                <w:sz w:val="17"/>
                <w:szCs w:val="17"/>
              </w:rPr>
              <w:t xml:space="preserve">secureprivacy.ai/blog/data-privacy-trends-2026</w:t>
            </w:r>
          </w:p>
          <w:p>
            <w:pPr>
              <w:pStyle w:val="ListParagraph"/>
              <w:numPr>
                <w:ilvl w:val="0"/>
                <w:numId w:val="2"/>
              </w:numPr>
              <w:spacing w:after="30" w:before="30"/>
            </w:pPr>
            <w:r>
              <w:rPr>
                <w:rFonts w:ascii="Arial" w:cs="Arial" w:eastAsia="Arial" w:hAnsi="Arial"/>
                <w:b w:val="false"/>
                <w:bCs w:val="false"/>
                <w:color w:val="444444"/>
                <w:sz w:val="20"/>
                <w:szCs w:val="20"/>
              </w:rPr>
              <w:t xml:space="preserve">Gartner: 75% of world's population under modern privacy regulation by end of 2024</w:t>
            </w:r>
          </w:p>
          <w:p>
            <w:pPr>
              <w:pStyle w:val="ListParagraph"/>
              <w:numPr>
                <w:ilvl w:val="0"/>
                <w:numId w:val="2"/>
              </w:numPr>
              <w:spacing w:after="30" w:before="30"/>
            </w:pPr>
            <w:r>
              <w:rPr>
                <w:rFonts w:ascii="Arial" w:cs="Arial" w:eastAsia="Arial" w:hAnsi="Arial"/>
                <w:b w:val="false"/>
                <w:bCs w:val="false"/>
                <w:color w:val="444444"/>
                <w:sz w:val="20"/>
                <w:szCs w:val="20"/>
              </w:rPr>
              <w:t xml:space="preserve">GDPR: 2,245 fines totalling €5.65 billion since 2018; 2025 alone: €2.3 billion (38% YoY increase)</w:t>
            </w:r>
          </w:p>
          <w:p>
            <w:pPr>
              <w:pStyle w:val="ListParagraph"/>
              <w:numPr>
                <w:ilvl w:val="0"/>
                <w:numId w:val="2"/>
              </w:numPr>
              <w:spacing w:after="30" w:before="30"/>
            </w:pPr>
            <w:r>
              <w:rPr>
                <w:rFonts w:ascii="Arial" w:cs="Arial" w:eastAsia="Arial" w:hAnsi="Arial"/>
                <w:b w:val="false"/>
                <w:bCs w:val="false"/>
                <w:color w:val="444444"/>
                <w:sz w:val="20"/>
                <w:szCs w:val="20"/>
              </w:rPr>
              <w:t xml:space="preserve">EU Data Act (September 2025): extends sovereignty to industrial data; prohibits vendor lock-in</w:t>
            </w:r>
          </w:p>
          <w:p>
            <w:pPr>
              <w:pStyle w:val="ListParagraph"/>
              <w:numPr>
                <w:ilvl w:val="0"/>
                <w:numId w:val="2"/>
              </w:numPr>
              <w:spacing w:after="30" w:before="30"/>
            </w:pPr>
            <w:r>
              <w:rPr>
                <w:rFonts w:ascii="Arial" w:cs="Arial" w:eastAsia="Arial" w:hAnsi="Arial"/>
                <w:b w:val="false"/>
                <w:bCs w:val="false"/>
                <w:color w:val="444444"/>
                <w:sz w:val="20"/>
                <w:szCs w:val="20"/>
              </w:rPr>
              <w:t xml:space="preserve">EU AI Act fully applicable August 2, 2026 — risk-based obligations for high-impact AI systems</w:t>
            </w:r>
          </w:p>
          <w:p>
            <w:pPr>
              <w:pStyle w:val="ListParagraph"/>
              <w:numPr>
                <w:ilvl w:val="0"/>
                <w:numId w:val="2"/>
              </w:numPr>
              <w:spacing w:after="30" w:before="30"/>
            </w:pPr>
            <w:r>
              <w:rPr>
                <w:rFonts w:ascii="Arial" w:cs="Arial" w:eastAsia="Arial" w:hAnsi="Arial"/>
                <w:b w:val="false"/>
                <w:bCs w:val="false"/>
                <w:color w:val="444444"/>
                <w:sz w:val="20"/>
                <w:szCs w:val="20"/>
              </w:rPr>
              <w:t xml:space="preserve">68% of privacy professionals now handle AI governance responsibilities</w:t>
            </w:r>
          </w:p>
          <w:p>
            <w:pPr>
              <w:pStyle w:val="ListParagraph"/>
              <w:numPr>
                <w:ilvl w:val="0"/>
                <w:numId w:val="2"/>
              </w:numPr>
              <w:spacing w:after="30" w:before="30"/>
            </w:pPr>
            <w:r>
              <w:rPr>
                <w:rFonts w:ascii="Arial" w:cs="Arial" w:eastAsia="Arial" w:hAnsi="Arial"/>
                <w:b w:val="false"/>
                <w:bCs w:val="false"/>
                <w:color w:val="444444"/>
                <w:sz w:val="20"/>
                <w:szCs w:val="20"/>
              </w:rPr>
              <w:t xml:space="preserve">BEST FOR: Regulatory urgency framing. The law is catching up to the problem local AI already solves structurally.</w:t>
            </w:r>
          </w:p>
        </w:tc>
      </w:tr>
    </w:tbl>
    <w:p>
      <w:pPr>
        <w:spacing w:after="60" w:before="0"/>
        <w:jc w:val="left"/>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60"/>
              <w:left w:type="dxa" w:w="200"/>
              <w:bottom w:type="dxa" w:w="160"/>
              <w:right w:type="dxa" w:w="200"/>
            </w:tcMar>
          </w:tcPr>
          <w:p>
            <w:pPr>
              <w:spacing w:after="60" w:before="0"/>
            </w:pPr>
            <w:r>
              <w:rPr>
                <w:rFonts w:ascii="Arial" w:cs="Arial" w:eastAsia="Arial" w:hAnsi="Arial"/>
                <w:b/>
                <w:bCs/>
                <w:color w:val="1a4a24"/>
                <w:sz w:val="22"/>
                <w:szCs w:val="22"/>
              </w:rPr>
              <w:t xml:space="preserve">Harvard Electricity Law Initiative (via TensorMesh, 2025)</w:t>
            </w:r>
          </w:p>
          <w:p>
            <w:pPr>
              <w:spacing w:after="100" w:before="0"/>
            </w:pPr>
            <w:r>
              <w:rPr>
                <w:rFonts w:ascii="Arial" w:cs="Arial" w:eastAsia="Arial" w:hAnsi="Arial"/>
                <w:b w:val="false"/>
                <w:bCs w:val="false"/>
                <w:color w:val="888888"/>
                <w:sz w:val="17"/>
                <w:szCs w:val="17"/>
              </w:rPr>
              <w:t xml:space="preserve">tensormesh.ai/blog-posts/ai-inference-costs-2025-energy-crisis</w:t>
            </w:r>
          </w:p>
          <w:p>
            <w:pPr>
              <w:pStyle w:val="ListParagraph"/>
              <w:numPr>
                <w:ilvl w:val="0"/>
                <w:numId w:val="2"/>
              </w:numPr>
              <w:spacing w:after="30" w:before="30"/>
            </w:pPr>
            <w:r>
              <w:rPr>
                <w:rFonts w:ascii="Arial" w:cs="Arial" w:eastAsia="Arial" w:hAnsi="Arial"/>
                <w:b w:val="false"/>
                <w:bCs w:val="false"/>
                <w:color w:val="444444"/>
                <w:sz w:val="20"/>
                <w:szCs w:val="20"/>
              </w:rPr>
              <w:t xml:space="preserve">Utility deals with tech giants often raise residential electricity rates</w:t>
            </w:r>
          </w:p>
          <w:p>
            <w:pPr>
              <w:pStyle w:val="ListParagraph"/>
              <w:numPr>
                <w:ilvl w:val="0"/>
                <w:numId w:val="2"/>
              </w:numPr>
              <w:spacing w:after="30" w:before="30"/>
            </w:pPr>
            <w:r>
              <w:rPr>
                <w:rFonts w:ascii="Arial" w:cs="Arial" w:eastAsia="Arial" w:hAnsi="Arial"/>
                <w:b w:val="false"/>
                <w:bCs w:val="false"/>
                <w:color w:val="444444"/>
                <w:sz w:val="20"/>
                <w:szCs w:val="20"/>
              </w:rPr>
              <w:t xml:space="preserve">Virginia study: ratepayers could pay an additional $37.50/month to subsidise data center energy costs</w:t>
            </w:r>
          </w:p>
          <w:p>
            <w:pPr>
              <w:pStyle w:val="ListParagraph"/>
              <w:numPr>
                <w:ilvl w:val="0"/>
                <w:numId w:val="2"/>
              </w:numPr>
              <w:spacing w:after="30" w:before="30"/>
            </w:pPr>
            <w:r>
              <w:rPr>
                <w:rFonts w:ascii="Arial" w:cs="Arial" w:eastAsia="Arial" w:hAnsi="Arial"/>
                <w:b w:val="false"/>
                <w:bCs w:val="false"/>
                <w:color w:val="444444"/>
                <w:sz w:val="20"/>
                <w:szCs w:val="20"/>
              </w:rPr>
              <w:t xml:space="preserve">BEST FOR: Environmental justice / social justice angle. Data centers extract from communities. Local AI does not.</w:t>
            </w:r>
          </w:p>
        </w:tc>
      </w:tr>
    </w:tbl>
    <w:p>
      <w:pPr>
        <w:spacing w:after="60" w:before="0"/>
        <w:jc w:val="left"/>
      </w:pPr>
      <w:r>
        <w:rPr>
          <w:rFonts w:ascii="Arial" w:cs="Arial" w:eastAsia="Arial" w:hAnsi="Arial"/>
          <w:b w:val="false"/>
          <w:bCs w:val="false"/>
          <w:color w:val="1a1a1a"/>
          <w:sz w:val="22"/>
          <w:szCs w:val="22"/>
        </w:rPr>
        <w:t xml:space="preserve"/>
      </w:r>
    </w:p>
    <w:p>
      <w:pPr>
        <w:spacing w:after="60" w:before="0"/>
        <w:jc w:val="left"/>
      </w:pPr>
      <w:r>
        <w:rPr>
          <w:rFonts w:ascii="Arial" w:cs="Arial" w:eastAsia="Arial" w:hAnsi="Arial"/>
          <w:b w:val="false"/>
          <w:bCs w:val="false"/>
          <w:color w:val="1a1a1a"/>
          <w:sz w:val="22"/>
          <w:szCs w:val="22"/>
        </w:rPr>
        <w:t xml:space="preserve"/>
      </w:r>
    </w:p>
    <w:p>
      <w:r>
        <w:br w:type="page"/>
      </w:r>
    </w:p>
    <w:p>
      <w:pPr>
        <w:spacing w:after="80" w:before="0"/>
      </w:pPr>
      <w:r>
        <w:rPr>
          <w:rFonts w:ascii="Courier New" w:cs="Courier New" w:eastAsia="Courier New" w:hAnsi="Courier New"/>
          <w:b/>
          <w:bCs/>
          <w:color w:val="3ddc84"/>
          <w:sz w:val="17"/>
          <w:szCs w:val="17"/>
        </w:rPr>
        <w:t xml:space="preserve">— TIER 3 — AIR-GAP &amp; SECURITY PRECEDENTS —</w:t>
      </w:r>
    </w:p>
    <w:p>
      <w:pPr>
        <w:pBdr>
          <w:bottom w:val="single" w:color="3ddc84" w:sz="10" w:space="6"/>
        </w:pBdr>
        <w:spacing w:after="120" w:before="400"/>
      </w:pPr>
      <w:r>
        <w:rPr>
          <w:rFonts w:ascii="Arial" w:cs="Arial" w:eastAsia="Arial" w:hAnsi="Arial"/>
          <w:b/>
          <w:bCs/>
          <w:color w:val="1a4a24"/>
          <w:sz w:val="30"/>
          <w:szCs w:val="30"/>
        </w:rPr>
        <w:t xml:space="preserve">Real-World Deployments</w:t>
      </w:r>
    </w:p>
    <w:p>
      <w:pPr>
        <w:spacing w:after="120" w:before="0"/>
        <w:jc w:val="left"/>
      </w:pPr>
      <w:r>
        <w:rPr>
          <w:rFonts w:ascii="Arial" w:cs="Arial" w:eastAsia="Arial" w:hAnsi="Arial"/>
          <w:b w:val="false"/>
          <w:bCs w:val="false"/>
          <w:color w:val="444444"/>
          <w:sz w:val="22"/>
          <w:szCs w:val="22"/>
        </w:rPr>
        <w:t xml:space="preserve">These are documented cases of local/air-gapped AI already deployed in government and defence contexts. Use to demonstrate proof of concept at institutional scale.</w:t>
      </w:r>
    </w:p>
    <w:p>
      <w:pPr>
        <w:spacing w:after="60" w:before="0"/>
        <w:jc w:val="left"/>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60"/>
              <w:left w:type="dxa" w:w="200"/>
              <w:bottom w:type="dxa" w:w="160"/>
              <w:right w:type="dxa" w:w="200"/>
            </w:tcMar>
          </w:tcPr>
          <w:p>
            <w:pPr>
              <w:spacing w:after="60" w:before="0"/>
            </w:pPr>
            <w:r>
              <w:rPr>
                <w:rFonts w:ascii="Arial" w:cs="Arial" w:eastAsia="Arial" w:hAnsi="Arial"/>
                <w:b/>
                <w:bCs/>
                <w:color w:val="1a4a24"/>
                <w:sz w:val="22"/>
                <w:szCs w:val="22"/>
              </w:rPr>
              <w:t xml:space="preserve">DreamFactory — Government and Defense: Air-Gapped LLM Data Access, March 2026</w:t>
            </w:r>
          </w:p>
          <w:p>
            <w:pPr>
              <w:spacing w:after="100" w:before="0"/>
            </w:pPr>
            <w:r>
              <w:rPr>
                <w:rFonts w:ascii="Arial" w:cs="Arial" w:eastAsia="Arial" w:hAnsi="Arial"/>
                <w:b w:val="false"/>
                <w:bCs w:val="false"/>
                <w:color w:val="888888"/>
                <w:sz w:val="17"/>
                <w:szCs w:val="17"/>
              </w:rPr>
              <w:t xml:space="preserve">blog.dreamfactory.com/government-and-defense-air-gapped-llm-data-access-dreamfactory</w:t>
            </w:r>
          </w:p>
          <w:p>
            <w:pPr>
              <w:pStyle w:val="ListParagraph"/>
              <w:numPr>
                <w:ilvl w:val="0"/>
                <w:numId w:val="2"/>
              </w:numPr>
              <w:spacing w:after="30" w:before="30"/>
            </w:pPr>
            <w:r>
              <w:rPr>
                <w:rFonts w:ascii="Arial" w:cs="Arial" w:eastAsia="Arial" w:hAnsi="Arial"/>
                <w:b w:val="false"/>
                <w:bCs w:val="false"/>
                <w:color w:val="444444"/>
                <w:sz w:val="20"/>
                <w:szCs w:val="20"/>
              </w:rPr>
              <w:t xml:space="preserve">Los Alamos National Laboratory (LANL): as of January 2025, self-hosting LLMs to handle Controlled Unclassified Information (CUI) and Unclassified Controlled Nuclear Information (UCNI)</w:t>
            </w:r>
          </w:p>
          <w:p>
            <w:pPr>
              <w:pStyle w:val="ListParagraph"/>
              <w:numPr>
                <w:ilvl w:val="0"/>
                <w:numId w:val="2"/>
              </w:numPr>
              <w:spacing w:after="30" w:before="30"/>
            </w:pPr>
            <w:r>
              <w:rPr>
                <w:rFonts w:ascii="Arial" w:cs="Arial" w:eastAsia="Arial" w:hAnsi="Arial"/>
                <w:b w:val="false"/>
                <w:bCs w:val="false"/>
                <w:color w:val="444444"/>
                <w:sz w:val="20"/>
                <w:szCs w:val="20"/>
              </w:rPr>
              <w:t xml:space="preserve">IBM Defence Model (2025): designed for secure, isolated environments for intelligence analysis and mission planning</w:t>
            </w:r>
          </w:p>
          <w:p>
            <w:pPr>
              <w:pStyle w:val="ListParagraph"/>
              <w:numPr>
                <w:ilvl w:val="0"/>
                <w:numId w:val="2"/>
              </w:numPr>
              <w:spacing w:after="30" w:before="30"/>
            </w:pPr>
            <w:r>
              <w:rPr>
                <w:rFonts w:ascii="Arial" w:cs="Arial" w:eastAsia="Arial" w:hAnsi="Arial"/>
                <w:b w:val="false"/>
                <w:bCs w:val="false"/>
                <w:color w:val="444444"/>
                <w:sz w:val="20"/>
                <w:szCs w:val="20"/>
              </w:rPr>
              <w:t xml:space="preserve">Air-gapped systems mandatory for ITAR, SOC 2, and GDPR compliance in defence contexts</w:t>
            </w:r>
          </w:p>
        </w:tc>
      </w:tr>
    </w:tbl>
    <w:p>
      <w:pPr>
        <w:spacing w:after="60" w:before="0"/>
        <w:jc w:val="left"/>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60"/>
              <w:left w:type="dxa" w:w="200"/>
              <w:bottom w:type="dxa" w:w="160"/>
              <w:right w:type="dxa" w:w="200"/>
            </w:tcMar>
          </w:tcPr>
          <w:p>
            <w:pPr>
              <w:spacing w:after="60" w:before="0"/>
            </w:pPr>
            <w:r>
              <w:rPr>
                <w:rFonts w:ascii="Arial" w:cs="Arial" w:eastAsia="Arial" w:hAnsi="Arial"/>
                <w:b/>
                <w:bCs/>
                <w:color w:val="1a4a24"/>
                <w:sz w:val="22"/>
                <w:szCs w:val="22"/>
              </w:rPr>
              <w:t xml:space="preserve">Nextgov/FCW — Microsoft Deploys Air-Gapped AI for Classified Defense, May 2024</w:t>
            </w:r>
          </w:p>
          <w:p>
            <w:pPr>
              <w:spacing w:after="100" w:before="0"/>
            </w:pPr>
            <w:r>
              <w:rPr>
                <w:rFonts w:ascii="Arial" w:cs="Arial" w:eastAsia="Arial" w:hAnsi="Arial"/>
                <w:b w:val="false"/>
                <w:bCs w:val="false"/>
                <w:color w:val="888888"/>
                <w:sz w:val="17"/>
                <w:szCs w:val="17"/>
              </w:rPr>
              <w:t xml:space="preserve">nextgov.com/artificial-intelligence/2024/05/microsoft-deploys-air-gapped-ai-classified-cloud/396354/</w:t>
            </w:r>
          </w:p>
          <w:p>
            <w:pPr>
              <w:pStyle w:val="ListParagraph"/>
              <w:numPr>
                <w:ilvl w:val="0"/>
                <w:numId w:val="2"/>
              </w:numPr>
              <w:spacing w:after="30" w:before="30"/>
            </w:pPr>
            <w:r>
              <w:rPr>
                <w:rFonts w:ascii="Arial" w:cs="Arial" w:eastAsia="Arial" w:hAnsi="Arial"/>
                <w:b w:val="false"/>
                <w:bCs w:val="false"/>
                <w:color w:val="444444"/>
                <w:sz w:val="20"/>
                <w:szCs w:val="20"/>
              </w:rPr>
              <w:t xml:space="preserve">Microsoft deployed GPT-4 for DoD classified networks — physically isolated from the public internet</w:t>
            </w:r>
          </w:p>
          <w:p>
            <w:pPr>
              <w:pStyle w:val="ListParagraph"/>
              <w:numPr>
                <w:ilvl w:val="0"/>
                <w:numId w:val="2"/>
              </w:numPr>
              <w:spacing w:after="30" w:before="30"/>
            </w:pPr>
            <w:r>
              <w:rPr>
                <w:rFonts w:ascii="Arial" w:cs="Arial" w:eastAsia="Arial" w:hAnsi="Arial"/>
                <w:b w:val="false"/>
                <w:bCs w:val="false"/>
                <w:color w:val="444444"/>
                <w:sz w:val="20"/>
                <w:szCs w:val="20"/>
              </w:rPr>
              <w:t xml:space="preserve">DoD users access generative AI for document drafting, code writing, and information analysis on classified networks</w:t>
            </w:r>
          </w:p>
          <w:p>
            <w:pPr>
              <w:pStyle w:val="ListParagraph"/>
              <w:numPr>
                <w:ilvl w:val="0"/>
                <w:numId w:val="2"/>
              </w:numPr>
              <w:spacing w:after="30" w:before="30"/>
            </w:pPr>
            <w:r>
              <w:rPr>
                <w:rFonts w:ascii="Arial" w:cs="Arial" w:eastAsia="Arial" w:hAnsi="Arial"/>
                <w:b w:val="false"/>
                <w:bCs w:val="false"/>
                <w:color w:val="444444"/>
                <w:sz w:val="20"/>
                <w:szCs w:val="20"/>
              </w:rPr>
              <w:t xml:space="preserve">Model cannot be trained on new data — static inference only, within the air-gap</w:t>
            </w:r>
          </w:p>
        </w:tc>
      </w:tr>
    </w:tbl>
    <w:p>
      <w:pPr>
        <w:spacing w:after="60" w:before="0"/>
        <w:jc w:val="left"/>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60"/>
              <w:left w:type="dxa" w:w="200"/>
              <w:bottom w:type="dxa" w:w="160"/>
              <w:right w:type="dxa" w:w="200"/>
            </w:tcMar>
          </w:tcPr>
          <w:p>
            <w:pPr>
              <w:spacing w:after="60" w:before="0"/>
            </w:pPr>
            <w:r>
              <w:rPr>
                <w:rFonts w:ascii="Arial" w:cs="Arial" w:eastAsia="Arial" w:hAnsi="Arial"/>
                <w:b/>
                <w:bCs/>
                <w:color w:val="1a4a24"/>
                <w:sz w:val="22"/>
                <w:szCs w:val="22"/>
              </w:rPr>
              <w:t xml:space="preserve">FedTech Magazine — Dell Pro Max with GB10, November 2025</w:t>
            </w:r>
          </w:p>
          <w:p>
            <w:pPr>
              <w:spacing w:after="100" w:before="0"/>
            </w:pPr>
            <w:r>
              <w:rPr>
                <w:rFonts w:ascii="Arial" w:cs="Arial" w:eastAsia="Arial" w:hAnsi="Arial"/>
                <w:b w:val="false"/>
                <w:bCs w:val="false"/>
                <w:color w:val="888888"/>
                <w:sz w:val="17"/>
                <w:szCs w:val="17"/>
              </w:rPr>
              <w:t xml:space="preserve">fedtechmagazine.com/article/2025/11/dell-pro-max-gb10-brings-mission-critical-ai-power-federal-desktops</w:t>
            </w:r>
          </w:p>
          <w:p>
            <w:pPr>
              <w:pStyle w:val="ListParagraph"/>
              <w:numPr>
                <w:ilvl w:val="0"/>
                <w:numId w:val="2"/>
              </w:numPr>
              <w:spacing w:after="30" w:before="30"/>
            </w:pPr>
            <w:r>
              <w:rPr>
                <w:rFonts w:ascii="Arial" w:cs="Arial" w:eastAsia="Arial" w:hAnsi="Arial"/>
                <w:b w:val="false"/>
                <w:bCs w:val="false"/>
                <w:color w:val="444444"/>
                <w:sz w:val="20"/>
                <w:szCs w:val="20"/>
              </w:rPr>
              <w:t xml:space="preserve">Purpose-built federal desktop hardware: large-scale AI workloads locally, sensitive data never leaves the device</w:t>
            </w:r>
          </w:p>
          <w:p>
            <w:pPr>
              <w:pStyle w:val="ListParagraph"/>
              <w:numPr>
                <w:ilvl w:val="0"/>
                <w:numId w:val="2"/>
              </w:numPr>
              <w:spacing w:after="30" w:before="30"/>
            </w:pPr>
            <w:r>
              <w:rPr>
                <w:rFonts w:ascii="Arial" w:cs="Arial" w:eastAsia="Arial" w:hAnsi="Arial"/>
                <w:b w:val="false"/>
                <w:bCs w:val="false"/>
                <w:color w:val="444444"/>
                <w:sz w:val="20"/>
                <w:szCs w:val="20"/>
              </w:rPr>
              <w:t xml:space="preserve">Deterministic local inference in air-gapped and classified environments</w:t>
            </w:r>
          </w:p>
          <w:p>
            <w:pPr>
              <w:pStyle w:val="ListParagraph"/>
              <w:numPr>
                <w:ilvl w:val="0"/>
                <w:numId w:val="2"/>
              </w:numPr>
              <w:spacing w:after="30" w:before="30"/>
            </w:pPr>
            <w:r>
              <w:rPr>
                <w:rFonts w:ascii="Arial" w:cs="Arial" w:eastAsia="Arial" w:hAnsi="Arial"/>
                <w:b w:val="false"/>
                <w:bCs w:val="false"/>
                <w:color w:val="444444"/>
                <w:sz w:val="20"/>
                <w:szCs w:val="20"/>
              </w:rPr>
              <w:t xml:space="preserve">Optimised for geospatial data processing and secure on-premises LLM inference — directly relevant to climate intelligence use cases</w:t>
            </w:r>
          </w:p>
        </w:tc>
      </w:tr>
    </w:tbl>
    <w:p>
      <w:pPr>
        <w:spacing w:after="60" w:before="0"/>
        <w:jc w:val="left"/>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60"/>
              <w:left w:type="dxa" w:w="200"/>
              <w:bottom w:type="dxa" w:w="160"/>
              <w:right w:type="dxa" w:w="200"/>
            </w:tcMar>
          </w:tcPr>
          <w:p>
            <w:pPr>
              <w:spacing w:after="60" w:before="0"/>
            </w:pPr>
            <w:r>
              <w:rPr>
                <w:rFonts w:ascii="Arial" w:cs="Arial" w:eastAsia="Arial" w:hAnsi="Arial"/>
                <w:b/>
                <w:bCs/>
                <w:color w:val="1a4a24"/>
                <w:sz w:val="22"/>
                <w:szCs w:val="22"/>
              </w:rPr>
              <w:t xml:space="preserve">Tabnine — What It Really Takes to Be Air-Gapped, June 2025</w:t>
            </w:r>
          </w:p>
          <w:p>
            <w:pPr>
              <w:spacing w:after="100" w:before="0"/>
            </w:pPr>
            <w:r>
              <w:rPr>
                <w:rFonts w:ascii="Arial" w:cs="Arial" w:eastAsia="Arial" w:hAnsi="Arial"/>
                <w:b w:val="false"/>
                <w:bCs w:val="false"/>
                <w:color w:val="888888"/>
                <w:sz w:val="17"/>
                <w:szCs w:val="17"/>
              </w:rPr>
              <w:t xml:space="preserve">tabnine.com/blog/what-it-really-takes-to-be-air-gapped/</w:t>
            </w:r>
          </w:p>
          <w:p>
            <w:pPr>
              <w:pStyle w:val="ListParagraph"/>
              <w:numPr>
                <w:ilvl w:val="0"/>
                <w:numId w:val="2"/>
              </w:numPr>
              <w:spacing w:after="30" w:before="30"/>
            </w:pPr>
            <w:r>
              <w:rPr>
                <w:rFonts w:ascii="Arial" w:cs="Arial" w:eastAsia="Arial" w:hAnsi="Arial"/>
                <w:b w:val="false"/>
                <w:bCs w:val="false"/>
                <w:color w:val="444444"/>
                <w:sz w:val="20"/>
                <w:szCs w:val="20"/>
              </w:rPr>
              <w:t xml:space="preserve">Four non-negotiable criteria: (1) Zero external dependencies, (2) Static transparent model behaviour — weights inspectable, frozen, no silent updates, (3) Local context processing only, (4) End-to-end auditability within the host environment</w:t>
            </w:r>
          </w:p>
          <w:p>
            <w:pPr>
              <w:pStyle w:val="ListParagraph"/>
              <w:numPr>
                <w:ilvl w:val="0"/>
                <w:numId w:val="2"/>
              </w:numPr>
              <w:spacing w:after="30" w:before="30"/>
            </w:pPr>
            <w:r>
              <w:rPr>
                <w:rFonts w:ascii="Arial" w:cs="Arial" w:eastAsia="Arial" w:hAnsi="Arial"/>
                <w:b w:val="false"/>
                <w:bCs w:val="false"/>
                <w:color w:val="444444"/>
                <w:sz w:val="20"/>
                <w:szCs w:val="20"/>
              </w:rPr>
              <w:t xml:space="preserve">Many 'air-gapped' products fail in real deployments — inference still routes to vendor servers</w:t>
            </w:r>
          </w:p>
          <w:p>
            <w:pPr>
              <w:pStyle w:val="ListParagraph"/>
              <w:numPr>
                <w:ilvl w:val="0"/>
                <w:numId w:val="2"/>
              </w:numPr>
              <w:spacing w:after="30" w:before="30"/>
            </w:pPr>
            <w:r>
              <w:rPr>
                <w:rFonts w:ascii="Arial" w:cs="Arial" w:eastAsia="Arial" w:hAnsi="Arial"/>
                <w:b w:val="false"/>
                <w:bCs w:val="false"/>
                <w:color w:val="444444"/>
                <w:sz w:val="20"/>
                <w:szCs w:val="20"/>
              </w:rPr>
              <w:t xml:space="preserve">Mission-critical environments — SCIFs, DoDIN enclaves, ITAR-restricted — require complete physical isolation</w:t>
            </w:r>
          </w:p>
        </w:tc>
      </w:tr>
    </w:tbl>
    <w:p>
      <w:pPr>
        <w:spacing w:after="60" w:before="0"/>
        <w:jc w:val="left"/>
      </w:pPr>
      <w:r>
        <w:rPr>
          <w:rFonts w:ascii="Arial" w:cs="Arial" w:eastAsia="Arial" w:hAnsi="Arial"/>
          <w:b w:val="false"/>
          <w:bCs w:val="false"/>
          <w:color w:val="1a1a1a"/>
          <w:sz w:val="22"/>
          <w:szCs w:val="22"/>
        </w:rPr>
        <w:t xml:space="preserve"/>
      </w:r>
    </w:p>
    <w:p>
      <w:pPr>
        <w:spacing w:after="60" w:before="0"/>
        <w:jc w:val="left"/>
      </w:pPr>
      <w:r>
        <w:rPr>
          <w:rFonts w:ascii="Arial" w:cs="Arial" w:eastAsia="Arial" w:hAnsi="Arial"/>
          <w:b w:val="false"/>
          <w:bCs w:val="false"/>
          <w:color w:val="1a1a1a"/>
          <w:sz w:val="22"/>
          <w:szCs w:val="22"/>
        </w:rPr>
        <w:t xml:space="preserve"/>
      </w:r>
    </w:p>
    <w:p>
      <w:r>
        <w:br w:type="page"/>
      </w:r>
    </w:p>
    <w:p>
      <w:pPr>
        <w:spacing w:after="80" w:before="0"/>
      </w:pPr>
      <w:r>
        <w:rPr>
          <w:rFonts w:ascii="Courier New" w:cs="Courier New" w:eastAsia="Courier New" w:hAnsi="Courier New"/>
          <w:b/>
          <w:bCs/>
          <w:color w:val="3ddc84"/>
          <w:sz w:val="17"/>
          <w:szCs w:val="17"/>
        </w:rPr>
        <w:t xml:space="preserve">— QUICK REFERENCE —</w:t>
      </w:r>
    </w:p>
    <w:p>
      <w:pPr>
        <w:pBdr>
          <w:bottom w:val="single" w:color="3ddc84" w:sz="10" w:space="6"/>
        </w:pBdr>
        <w:spacing w:after="120" w:before="400"/>
      </w:pPr>
      <w:r>
        <w:rPr>
          <w:rFonts w:ascii="Arial" w:cs="Arial" w:eastAsia="Arial" w:hAnsi="Arial"/>
          <w:b/>
          <w:bCs/>
          <w:color w:val="1a4a24"/>
          <w:sz w:val="30"/>
          <w:szCs w:val="30"/>
        </w:rPr>
        <w:t xml:space="preserve">All Key Statistics by Theme</w:t>
      </w:r>
    </w:p>
    <w:p>
      <w:pPr>
        <w:spacing w:after="100" w:before="280"/>
      </w:pPr>
      <w:r>
        <w:rPr>
          <w:rFonts w:ascii="Arial" w:cs="Arial" w:eastAsia="Arial" w:hAnsi="Arial"/>
          <w:b/>
          <w:bCs/>
          <w:color w:val="2d7a47"/>
          <w:sz w:val="26"/>
          <w:szCs w:val="26"/>
        </w:rPr>
        <w:t xml:space="preserve">Environmental Cost of Cloud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dddddd" w:sz="1"/>
              <w:left w:val="single" w:color="dddddd" w:sz="1"/>
              <w:bottom w:val="single" w:color="dddddd" w:sz="1"/>
              <w:right w:val="single" w:color="dddddd" w:sz="1"/>
            </w:tcBorders>
            <w:shd w:fill="1a4a24"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Statistic</w:t>
            </w:r>
          </w:p>
        </w:tc>
        <w:tc>
          <w:tcPr>
            <w:tcW w:type="dxa" w:w="3960"/>
            <w:tcBorders>
              <w:top w:val="single" w:color="dddddd" w:sz="1"/>
              <w:left w:val="single" w:color="dddddd" w:sz="1"/>
              <w:bottom w:val="single" w:color="dddddd" w:sz="1"/>
              <w:right w:val="single" w:color="dddddd" w:sz="1"/>
            </w:tcBorders>
            <w:shd w:fill="1a4a24"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Source</w:t>
            </w:r>
          </w:p>
        </w:tc>
      </w:tr>
      <w:tr>
        <w:tc>
          <w:tcPr>
            <w:tcW w:type="dxa" w:w="5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415 TWh — global data center electricity consumption 2024 (= Japan's annual demand)</w:t>
            </w:r>
          </w:p>
        </w:tc>
        <w:tc>
          <w:tcPr>
            <w:tcW w:type="dxa" w:w="3960"/>
            <w:tcBorders>
              <w:top w:val="single" w:color="dddddd" w:sz="1"/>
              <w:left w:val="single" w:color="dddddd" w:sz="1"/>
              <w:bottom w:val="single" w:color="dddddd" w:sz="1"/>
              <w:right w:val="single" w:color="dddddd" w:sz="1"/>
            </w:tcBorders>
            <w:shd w:fill="fdf0f0" w:val="clear"/>
            <w:tcMar>
              <w:top w:type="dxa" w:w="80"/>
              <w:left w:type="dxa" w:w="120"/>
              <w:bottom w:type="dxa" w:w="80"/>
              <w:right w:type="dxa" w:w="120"/>
            </w:tcMar>
          </w:tcPr>
          <w:p>
            <w:pPr>
              <w:spacing w:after="0" w:before="0"/>
            </w:pPr>
            <w:r>
              <w:rPr>
                <w:rFonts w:ascii="Arial" w:cs="Arial" w:eastAsia="Arial" w:hAnsi="Arial"/>
                <w:b/>
                <w:bCs/>
                <w:color w:val="8b1a1a"/>
                <w:sz w:val="20"/>
                <w:szCs w:val="20"/>
              </w:rPr>
              <w:t xml:space="preserve">IEA 2025</w:t>
            </w:r>
          </w:p>
        </w:tc>
      </w:tr>
      <w:tr>
        <w:tc>
          <w:tcPr>
            <w:tcW w:type="dxa" w:w="5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945 TWh — projected by 2030, doubling in 6 years</w:t>
            </w:r>
          </w:p>
        </w:tc>
        <w:tc>
          <w:tcPr>
            <w:tcW w:type="dxa" w:w="3960"/>
            <w:tcBorders>
              <w:top w:val="single" w:color="dddddd" w:sz="1"/>
              <w:left w:val="single" w:color="dddddd" w:sz="1"/>
              <w:bottom w:val="single" w:color="dddddd" w:sz="1"/>
              <w:right w:val="single" w:color="dddddd" w:sz="1"/>
            </w:tcBorders>
            <w:shd w:fill="fdf0f0" w:val="clear"/>
            <w:tcMar>
              <w:top w:type="dxa" w:w="80"/>
              <w:left w:type="dxa" w:w="120"/>
              <w:bottom w:type="dxa" w:w="80"/>
              <w:right w:type="dxa" w:w="120"/>
            </w:tcMar>
          </w:tcPr>
          <w:p>
            <w:pPr>
              <w:spacing w:after="0" w:before="0"/>
            </w:pPr>
            <w:r>
              <w:rPr>
                <w:rFonts w:ascii="Arial" w:cs="Arial" w:eastAsia="Arial" w:hAnsi="Arial"/>
                <w:b/>
                <w:bCs/>
                <w:color w:val="8b1a1a"/>
                <w:sz w:val="20"/>
                <w:szCs w:val="20"/>
              </w:rPr>
              <w:t xml:space="preserve">IEA 2025</w:t>
            </w:r>
          </w:p>
        </w:tc>
      </w:tr>
      <w:tr>
        <w:tc>
          <w:tcPr>
            <w:tcW w:type="dxa" w:w="5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15%/year growth — 4× faster than all other sectors combined</w:t>
            </w:r>
          </w:p>
        </w:tc>
        <w:tc>
          <w:tcPr>
            <w:tcW w:type="dxa" w:w="3960"/>
            <w:tcBorders>
              <w:top w:val="single" w:color="dddddd" w:sz="1"/>
              <w:left w:val="single" w:color="dddddd" w:sz="1"/>
              <w:bottom w:val="single" w:color="dddddd" w:sz="1"/>
              <w:right w:val="single" w:color="dddddd" w:sz="1"/>
            </w:tcBorders>
            <w:shd w:fill="fdf0f0" w:val="clear"/>
            <w:tcMar>
              <w:top w:type="dxa" w:w="80"/>
              <w:left w:type="dxa" w:w="120"/>
              <w:bottom w:type="dxa" w:w="80"/>
              <w:right w:type="dxa" w:w="120"/>
            </w:tcMar>
          </w:tcPr>
          <w:p>
            <w:pPr>
              <w:spacing w:after="0" w:before="0"/>
            </w:pPr>
            <w:r>
              <w:rPr>
                <w:rFonts w:ascii="Arial" w:cs="Arial" w:eastAsia="Arial" w:hAnsi="Arial"/>
                <w:b/>
                <w:bCs/>
                <w:color w:val="8b1a1a"/>
                <w:sz w:val="20"/>
                <w:szCs w:val="20"/>
              </w:rPr>
              <w:t xml:space="preserve">IEA 2025</w:t>
            </w:r>
          </w:p>
        </w:tc>
      </w:tr>
      <w:tr>
        <w:tc>
          <w:tcPr>
            <w:tcW w:type="dxa" w:w="5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17B gallons — US cooling water consumed in 2023</w:t>
            </w:r>
          </w:p>
        </w:tc>
        <w:tc>
          <w:tcPr>
            <w:tcW w:type="dxa" w:w="3960"/>
            <w:tcBorders>
              <w:top w:val="single" w:color="dddddd" w:sz="1"/>
              <w:left w:val="single" w:color="dddddd" w:sz="1"/>
              <w:bottom w:val="single" w:color="dddddd" w:sz="1"/>
              <w:right w:val="single" w:color="dddddd" w:sz="1"/>
            </w:tcBorders>
            <w:shd w:fill="fdf0f0" w:val="clear"/>
            <w:tcMar>
              <w:top w:type="dxa" w:w="80"/>
              <w:left w:type="dxa" w:w="120"/>
              <w:bottom w:type="dxa" w:w="80"/>
              <w:right w:type="dxa" w:w="120"/>
            </w:tcMar>
          </w:tcPr>
          <w:p>
            <w:pPr>
              <w:spacing w:after="0" w:before="0"/>
            </w:pPr>
            <w:r>
              <w:rPr>
                <w:rFonts w:ascii="Arial" w:cs="Arial" w:eastAsia="Arial" w:hAnsi="Arial"/>
                <w:b/>
                <w:bCs/>
                <w:color w:val="8b1a1a"/>
                <w:sz w:val="20"/>
                <w:szCs w:val="20"/>
              </w:rPr>
              <w:t xml:space="preserve">Berkeley Lab / DOE 2024</w:t>
            </w:r>
          </w:p>
        </w:tc>
      </w:tr>
      <w:tr>
        <w:tc>
          <w:tcPr>
            <w:tcW w:type="dxa" w:w="5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33B gallons — projected US cooling water by 2028</w:t>
            </w:r>
          </w:p>
        </w:tc>
        <w:tc>
          <w:tcPr>
            <w:tcW w:type="dxa" w:w="3960"/>
            <w:tcBorders>
              <w:top w:val="single" w:color="dddddd" w:sz="1"/>
              <w:left w:val="single" w:color="dddddd" w:sz="1"/>
              <w:bottom w:val="single" w:color="dddddd" w:sz="1"/>
              <w:right w:val="single" w:color="dddddd" w:sz="1"/>
            </w:tcBorders>
            <w:shd w:fill="fdf0f0" w:val="clear"/>
            <w:tcMar>
              <w:top w:type="dxa" w:w="80"/>
              <w:left w:type="dxa" w:w="120"/>
              <w:bottom w:type="dxa" w:w="80"/>
              <w:right w:type="dxa" w:w="120"/>
            </w:tcMar>
          </w:tcPr>
          <w:p>
            <w:pPr>
              <w:spacing w:after="0" w:before="0"/>
            </w:pPr>
            <w:r>
              <w:rPr>
                <w:rFonts w:ascii="Arial" w:cs="Arial" w:eastAsia="Arial" w:hAnsi="Arial"/>
                <w:b/>
                <w:bCs/>
                <w:color w:val="8b1a1a"/>
                <w:sz w:val="20"/>
                <w:szCs w:val="20"/>
              </w:rPr>
              <w:t xml:space="preserve">Berkeley Lab / DOE 2024</w:t>
            </w:r>
          </w:p>
        </w:tc>
      </w:tr>
      <w:tr>
        <w:tc>
          <w:tcPr>
            <w:tcW w:type="dxa" w:w="5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53–76 TWh — AI-specific US server energy 2024</w:t>
            </w:r>
          </w:p>
        </w:tc>
        <w:tc>
          <w:tcPr>
            <w:tcW w:type="dxa" w:w="3960"/>
            <w:tcBorders>
              <w:top w:val="single" w:color="dddddd" w:sz="1"/>
              <w:left w:val="single" w:color="dddddd" w:sz="1"/>
              <w:bottom w:val="single" w:color="dddddd" w:sz="1"/>
              <w:right w:val="single" w:color="dddddd" w:sz="1"/>
            </w:tcBorders>
            <w:shd w:fill="fdf0f0" w:val="clear"/>
            <w:tcMar>
              <w:top w:type="dxa" w:w="80"/>
              <w:left w:type="dxa" w:w="120"/>
              <w:bottom w:type="dxa" w:w="80"/>
              <w:right w:type="dxa" w:w="120"/>
            </w:tcMar>
          </w:tcPr>
          <w:p>
            <w:pPr>
              <w:spacing w:after="0" w:before="0"/>
            </w:pPr>
            <w:r>
              <w:rPr>
                <w:rFonts w:ascii="Arial" w:cs="Arial" w:eastAsia="Arial" w:hAnsi="Arial"/>
                <w:b/>
                <w:bCs/>
                <w:color w:val="8b1a1a"/>
                <w:sz w:val="20"/>
                <w:szCs w:val="20"/>
              </w:rPr>
              <w:t xml:space="preserve">Berkeley Lab / DOE 2024</w:t>
            </w:r>
          </w:p>
        </w:tc>
      </w:tr>
      <w:tr>
        <w:tc>
          <w:tcPr>
            <w:tcW w:type="dxa" w:w="5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48% higher carbon intensity — data center grid vs US average</w:t>
            </w:r>
          </w:p>
        </w:tc>
        <w:tc>
          <w:tcPr>
            <w:tcW w:type="dxa" w:w="3960"/>
            <w:tcBorders>
              <w:top w:val="single" w:color="dddddd" w:sz="1"/>
              <w:left w:val="single" w:color="dddddd" w:sz="1"/>
              <w:bottom w:val="single" w:color="dddddd" w:sz="1"/>
              <w:right w:val="single" w:color="dddddd" w:sz="1"/>
            </w:tcBorders>
            <w:shd w:fill="fdf0f0" w:val="clear"/>
            <w:tcMar>
              <w:top w:type="dxa" w:w="80"/>
              <w:left w:type="dxa" w:w="120"/>
              <w:bottom w:type="dxa" w:w="80"/>
              <w:right w:type="dxa" w:w="120"/>
            </w:tcMar>
          </w:tcPr>
          <w:p>
            <w:pPr>
              <w:spacing w:after="0" w:before="0"/>
            </w:pPr>
            <w:r>
              <w:rPr>
                <w:rFonts w:ascii="Arial" w:cs="Arial" w:eastAsia="Arial" w:hAnsi="Arial"/>
                <w:b/>
                <w:bCs/>
                <w:color w:val="8b1a1a"/>
                <w:sz w:val="20"/>
                <w:szCs w:val="20"/>
              </w:rPr>
              <w:t xml:space="preserve">Berkeley Lab / DOE 2024</w:t>
            </w:r>
          </w:p>
        </w:tc>
      </w:tr>
      <w:tr>
        <w:tc>
          <w:tcPr>
            <w:tcW w:type="dxa" w:w="5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552 tonnes CO₂ — to train ChatGPT = 121 US households/year</w:t>
            </w:r>
          </w:p>
        </w:tc>
        <w:tc>
          <w:tcPr>
            <w:tcW w:type="dxa" w:w="3960"/>
            <w:tcBorders>
              <w:top w:val="single" w:color="dddddd" w:sz="1"/>
              <w:left w:val="single" w:color="dddddd" w:sz="1"/>
              <w:bottom w:val="single" w:color="dddddd" w:sz="1"/>
              <w:right w:val="single" w:color="dddddd" w:sz="1"/>
            </w:tcBorders>
            <w:shd w:fill="fdf0f0" w:val="clear"/>
            <w:tcMar>
              <w:top w:type="dxa" w:w="80"/>
              <w:left w:type="dxa" w:w="120"/>
              <w:bottom w:type="dxa" w:w="80"/>
              <w:right w:type="dxa" w:w="120"/>
            </w:tcMar>
          </w:tcPr>
          <w:p>
            <w:pPr>
              <w:spacing w:after="0" w:before="0"/>
            </w:pPr>
            <w:r>
              <w:rPr>
                <w:rFonts w:ascii="Arial" w:cs="Arial" w:eastAsia="Arial" w:hAnsi="Arial"/>
                <w:b/>
                <w:bCs/>
                <w:color w:val="8b1a1a"/>
                <w:sz w:val="20"/>
                <w:szCs w:val="20"/>
              </w:rPr>
              <w:t xml:space="preserve">WEF 2025</w:t>
            </w:r>
          </w:p>
        </w:tc>
      </w:tr>
      <w:tr>
        <w:tc>
          <w:tcPr>
            <w:tcW w:type="dxa" w:w="5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Google: 12% emissions reduction but 27% electricity growth year-over-year</w:t>
            </w:r>
          </w:p>
        </w:tc>
        <w:tc>
          <w:tcPr>
            <w:tcW w:type="dxa" w:w="3960"/>
            <w:tcBorders>
              <w:top w:val="single" w:color="dddddd" w:sz="1"/>
              <w:left w:val="single" w:color="dddddd" w:sz="1"/>
              <w:bottom w:val="single" w:color="dddddd" w:sz="1"/>
              <w:right w:val="single" w:color="dddddd" w:sz="1"/>
            </w:tcBorders>
            <w:shd w:fill="fdf0f0" w:val="clear"/>
            <w:tcMar>
              <w:top w:type="dxa" w:w="80"/>
              <w:left w:type="dxa" w:w="120"/>
              <w:bottom w:type="dxa" w:w="80"/>
              <w:right w:type="dxa" w:w="120"/>
            </w:tcMar>
          </w:tcPr>
          <w:p>
            <w:pPr>
              <w:spacing w:after="0" w:before="0"/>
            </w:pPr>
            <w:r>
              <w:rPr>
                <w:rFonts w:ascii="Arial" w:cs="Arial" w:eastAsia="Arial" w:hAnsi="Arial"/>
                <w:b/>
                <w:bCs/>
                <w:color w:val="8b1a1a"/>
                <w:sz w:val="20"/>
                <w:szCs w:val="20"/>
              </w:rPr>
              <w:t xml:space="preserve">Brookings 2026</w:t>
            </w:r>
          </w:p>
        </w:tc>
      </w:tr>
      <w:tr>
        <w:tc>
          <w:tcPr>
            <w:tcW w:type="dxa" w:w="5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$37.50/month — hidden residential electricity subsidy for data centers (Virginia)</w:t>
            </w:r>
          </w:p>
        </w:tc>
        <w:tc>
          <w:tcPr>
            <w:tcW w:type="dxa" w:w="3960"/>
            <w:tcBorders>
              <w:top w:val="single" w:color="dddddd" w:sz="1"/>
              <w:left w:val="single" w:color="dddddd" w:sz="1"/>
              <w:bottom w:val="single" w:color="dddddd" w:sz="1"/>
              <w:right w:val="single" w:color="dddddd" w:sz="1"/>
            </w:tcBorders>
            <w:shd w:fill="fdf0f0" w:val="clear"/>
            <w:tcMar>
              <w:top w:type="dxa" w:w="80"/>
              <w:left w:type="dxa" w:w="120"/>
              <w:bottom w:type="dxa" w:w="80"/>
              <w:right w:type="dxa" w:w="120"/>
            </w:tcMar>
          </w:tcPr>
          <w:p>
            <w:pPr>
              <w:spacing w:after="0" w:before="0"/>
            </w:pPr>
            <w:r>
              <w:rPr>
                <w:rFonts w:ascii="Arial" w:cs="Arial" w:eastAsia="Arial" w:hAnsi="Arial"/>
                <w:b/>
                <w:bCs/>
                <w:color w:val="8b1a1a"/>
                <w:sz w:val="20"/>
                <w:szCs w:val="20"/>
              </w:rPr>
              <w:t xml:space="preserve">Harvard Electricity Law Initiative 2025</w:t>
            </w:r>
          </w:p>
        </w:tc>
      </w:tr>
    </w:tbl>
    <w:p>
      <w:pPr>
        <w:spacing w:after="60" w:before="0"/>
        <w:jc w:val="left"/>
      </w:pPr>
      <w:r>
        <w:rPr>
          <w:rFonts w:ascii="Arial" w:cs="Arial" w:eastAsia="Arial" w:hAnsi="Arial"/>
          <w:b w:val="false"/>
          <w:bCs w:val="false"/>
          <w:color w:val="1a1a1a"/>
          <w:sz w:val="22"/>
          <w:szCs w:val="22"/>
        </w:rPr>
        <w:t xml:space="preserve"/>
      </w:r>
    </w:p>
    <w:p>
      <w:pPr>
        <w:spacing w:after="100" w:before="280"/>
      </w:pPr>
      <w:r>
        <w:rPr>
          <w:rFonts w:ascii="Arial" w:cs="Arial" w:eastAsia="Arial" w:hAnsi="Arial"/>
          <w:b/>
          <w:bCs/>
          <w:color w:val="2d7a47"/>
          <w:sz w:val="26"/>
          <w:szCs w:val="26"/>
        </w:rPr>
        <w:t xml:space="preserve">Local AI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dddddd" w:sz="1"/>
              <w:left w:val="single" w:color="dddddd" w:sz="1"/>
              <w:bottom w:val="single" w:color="dddddd" w:sz="1"/>
              <w:right w:val="single" w:color="dddddd" w:sz="1"/>
            </w:tcBorders>
            <w:shd w:fill="1a4a24"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Statistic</w:t>
            </w:r>
          </w:p>
        </w:tc>
        <w:tc>
          <w:tcPr>
            <w:tcW w:type="dxa" w:w="3960"/>
            <w:tcBorders>
              <w:top w:val="single" w:color="dddddd" w:sz="1"/>
              <w:left w:val="single" w:color="dddddd" w:sz="1"/>
              <w:bottom w:val="single" w:color="dddddd" w:sz="1"/>
              <w:right w:val="single" w:color="dddddd" w:sz="1"/>
            </w:tcBorders>
            <w:shd w:fill="1a4a24"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Source</w:t>
            </w:r>
          </w:p>
        </w:tc>
      </w:tr>
      <w:tr>
        <w:tc>
          <w:tcPr>
            <w:tcW w:type="dxa" w:w="5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88.7% of everyday queries handled accurately by local models now</w:t>
            </w:r>
          </w:p>
        </w:tc>
        <w:tc>
          <w:tcPr>
            <w:tcW w:type="dxa" w:w="396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pPr>
              <w:spacing w:after="0" w:before="0"/>
            </w:pPr>
            <w:r>
              <w:rPr>
                <w:rFonts w:ascii="Arial" w:cs="Arial" w:eastAsia="Arial" w:hAnsi="Arial"/>
                <w:b/>
                <w:bCs/>
                <w:color w:val="2d7a47"/>
                <w:sz w:val="20"/>
                <w:szCs w:val="20"/>
              </w:rPr>
              <w:t xml:space="preserve">Stanford / Hazy Research 2025</w:t>
            </w:r>
          </w:p>
        </w:tc>
      </w:tr>
      <w:tr>
        <w:tc>
          <w:tcPr>
            <w:tcW w:type="dxa" w:w="5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Up to 90% energy reduction with smaller task-specific models</w:t>
            </w:r>
          </w:p>
        </w:tc>
        <w:tc>
          <w:tcPr>
            <w:tcW w:type="dxa" w:w="396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pPr>
              <w:spacing w:after="0" w:before="0"/>
            </w:pPr>
            <w:r>
              <w:rPr>
                <w:rFonts w:ascii="Arial" w:cs="Arial" w:eastAsia="Arial" w:hAnsi="Arial"/>
                <w:b/>
                <w:bCs/>
                <w:color w:val="2d7a47"/>
                <w:sz w:val="20"/>
                <w:szCs w:val="20"/>
              </w:rPr>
              <w:t xml:space="preserve">UNESCO / UCL July 2025</w:t>
            </w:r>
          </w:p>
        </w:tc>
      </w:tr>
      <w:tr>
        <w:tc>
          <w:tcPr>
            <w:tcW w:type="dxa" w:w="5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5.3× improvement in local AI intelligence-per-watt 2023–2025</w:t>
            </w:r>
          </w:p>
        </w:tc>
        <w:tc>
          <w:tcPr>
            <w:tcW w:type="dxa" w:w="396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pPr>
              <w:spacing w:after="0" w:before="0"/>
            </w:pPr>
            <w:r>
              <w:rPr>
                <w:rFonts w:ascii="Arial" w:cs="Arial" w:eastAsia="Arial" w:hAnsi="Arial"/>
                <w:b/>
                <w:bCs/>
                <w:color w:val="2d7a47"/>
                <w:sz w:val="20"/>
                <w:szCs w:val="20"/>
              </w:rPr>
              <w:t xml:space="preserve">Stanford / Hazy Research 2025</w:t>
            </w:r>
          </w:p>
        </w:tc>
      </w:tr>
      <w:tr>
        <w:tc>
          <w:tcPr>
            <w:tcW w:type="dxa" w:w="5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Up to 75% energy savings — local/hybrid vs pure cloud</w:t>
            </w:r>
          </w:p>
        </w:tc>
        <w:tc>
          <w:tcPr>
            <w:tcW w:type="dxa" w:w="396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pPr>
              <w:spacing w:after="0" w:before="0"/>
            </w:pPr>
            <w:r>
              <w:rPr>
                <w:rFonts w:ascii="Arial" w:cs="Arial" w:eastAsia="Arial" w:hAnsi="Arial"/>
                <w:b/>
                <w:bCs/>
                <w:color w:val="2d7a47"/>
                <w:sz w:val="20"/>
                <w:szCs w:val="20"/>
              </w:rPr>
              <w:t xml:space="preserve">ArXiv Hybrid Edge-Cloud Jan 2025</w:t>
            </w:r>
          </w:p>
        </w:tc>
      </w:tr>
      <w:tr>
        <w:tc>
          <w:tcPr>
            <w:tcW w:type="dxa" w:w="5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37–52% of cloud AI energy is network overhead before inference starts</w:t>
            </w:r>
          </w:p>
        </w:tc>
        <w:tc>
          <w:tcPr>
            <w:tcW w:type="dxa" w:w="396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pPr>
              <w:spacing w:after="0" w:before="0"/>
            </w:pPr>
            <w:r>
              <w:rPr>
                <w:rFonts w:ascii="Arial" w:cs="Arial" w:eastAsia="Arial" w:hAnsi="Arial"/>
                <w:b/>
                <w:bCs/>
                <w:color w:val="2d7a47"/>
                <w:sz w:val="20"/>
                <w:szCs w:val="20"/>
              </w:rPr>
              <w:t xml:space="preserve">ArXiv Hybrid Edge-Cloud Jan 2025</w:t>
            </w:r>
          </w:p>
        </w:tc>
      </w:tr>
      <w:tr>
        <w:tc>
          <w:tcPr>
            <w:tcW w:type="dxa" w:w="5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16.25 TWh US savings in 2025 from model selection alone (= 2 nuclear reactors)</w:t>
            </w:r>
          </w:p>
        </w:tc>
        <w:tc>
          <w:tcPr>
            <w:tcW w:type="dxa" w:w="396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pPr>
              <w:spacing w:after="0" w:before="0"/>
            </w:pPr>
            <w:r>
              <w:rPr>
                <w:rFonts w:ascii="Arial" w:cs="Arial" w:eastAsia="Arial" w:hAnsi="Arial"/>
                <w:b/>
                <w:bCs/>
                <w:color w:val="2d7a47"/>
                <w:sz w:val="20"/>
                <w:szCs w:val="20"/>
              </w:rPr>
              <w:t xml:space="preserve">ArXiv 'Small is Sufficient' Oct 2025</w:t>
            </w:r>
          </w:p>
        </w:tc>
      </w:tr>
      <w:tr>
        <w:tc>
          <w:tcPr>
            <w:tcW w:type="dxa" w:w="5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106 TWh global savings by 2028 from model selection (= 5–17 nuclear reactors)</w:t>
            </w:r>
          </w:p>
        </w:tc>
        <w:tc>
          <w:tcPr>
            <w:tcW w:type="dxa" w:w="396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pPr>
              <w:spacing w:after="0" w:before="0"/>
            </w:pPr>
            <w:r>
              <w:rPr>
                <w:rFonts w:ascii="Arial" w:cs="Arial" w:eastAsia="Arial" w:hAnsi="Arial"/>
                <w:b/>
                <w:bCs/>
                <w:color w:val="2d7a47"/>
                <w:sz w:val="20"/>
                <w:szCs w:val="20"/>
              </w:rPr>
              <w:t xml:space="preserve">ArXiv 'Small is Sufficient' Oct 2025</w:t>
            </w:r>
          </w:p>
        </w:tc>
      </w:tr>
      <w:tr>
        <w:tc>
          <w:tcPr>
            <w:tcW w:type="dxa" w:w="5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280× reduction in GPT-3.5-equivalent inference cost 2022–2024</w:t>
            </w:r>
          </w:p>
        </w:tc>
        <w:tc>
          <w:tcPr>
            <w:tcW w:type="dxa" w:w="396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pPr>
              <w:spacing w:after="0" w:before="0"/>
            </w:pPr>
            <w:r>
              <w:rPr>
                <w:rFonts w:ascii="Arial" w:cs="Arial" w:eastAsia="Arial" w:hAnsi="Arial"/>
                <w:b/>
                <w:bCs/>
                <w:color w:val="2d7a47"/>
                <w:sz w:val="20"/>
                <w:szCs w:val="20"/>
              </w:rPr>
              <w:t xml:space="preserve">Stanford AI Index 2025</w:t>
            </w:r>
          </w:p>
        </w:tc>
      </w:tr>
    </w:tbl>
    <w:p>
      <w:pPr>
        <w:spacing w:after="60" w:before="0"/>
        <w:jc w:val="left"/>
      </w:pPr>
      <w:r>
        <w:rPr>
          <w:rFonts w:ascii="Arial" w:cs="Arial" w:eastAsia="Arial" w:hAnsi="Arial"/>
          <w:b w:val="false"/>
          <w:bCs w:val="false"/>
          <w:color w:val="1a1a1a"/>
          <w:sz w:val="22"/>
          <w:szCs w:val="22"/>
        </w:rPr>
        <w:t xml:space="preserve"/>
      </w:r>
    </w:p>
    <w:p>
      <w:pPr>
        <w:spacing w:after="100" w:before="280"/>
      </w:pPr>
      <w:r>
        <w:rPr>
          <w:rFonts w:ascii="Arial" w:cs="Arial" w:eastAsia="Arial" w:hAnsi="Arial"/>
          <w:b/>
          <w:bCs/>
          <w:color w:val="2d7a47"/>
          <w:sz w:val="26"/>
          <w:szCs w:val="26"/>
        </w:rPr>
        <w:t xml:space="preserve">Sovereignty, Security &amp; ESG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dddddd" w:sz="1"/>
              <w:left w:val="single" w:color="dddddd" w:sz="1"/>
              <w:bottom w:val="single" w:color="dddddd" w:sz="1"/>
              <w:right w:val="single" w:color="dddddd" w:sz="1"/>
            </w:tcBorders>
            <w:shd w:fill="1a4a24"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Statistic</w:t>
            </w:r>
          </w:p>
        </w:tc>
        <w:tc>
          <w:tcPr>
            <w:tcW w:type="dxa" w:w="3960"/>
            <w:tcBorders>
              <w:top w:val="single" w:color="dddddd" w:sz="1"/>
              <w:left w:val="single" w:color="dddddd" w:sz="1"/>
              <w:bottom w:val="single" w:color="dddddd" w:sz="1"/>
              <w:right w:val="single" w:color="dddddd" w:sz="1"/>
            </w:tcBorders>
            <w:shd w:fill="1a4a24"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Source</w:t>
            </w:r>
          </w:p>
        </w:tc>
      </w:tr>
      <w:tr>
        <w:tc>
          <w:tcPr>
            <w:tcW w:type="dxa" w:w="5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Samsung source code leaked via ChatGPT — documented real-world exfiltration</w:t>
            </w:r>
          </w:p>
        </w:tc>
        <w:tc>
          <w:tcPr>
            <w:tcW w:type="dxa" w:w="3960"/>
            <w:tcBorders>
              <w:top w:val="single" w:color="dddddd" w:sz="1"/>
              <w:left w:val="single" w:color="dddddd" w:sz="1"/>
              <w:bottom w:val="single" w:color="dddddd" w:sz="1"/>
              <w:right w:val="single" w:color="dddddd" w:sz="1"/>
            </w:tcBorders>
            <w:shd w:fill="f0f4fd" w:val="clear"/>
            <w:tcMar>
              <w:top w:type="dxa" w:w="80"/>
              <w:left w:type="dxa" w:w="120"/>
              <w:bottom w:type="dxa" w:w="80"/>
              <w:right w:type="dxa" w:w="120"/>
            </w:tcMar>
          </w:tcPr>
          <w:p>
            <w:pPr>
              <w:spacing w:after="0" w:before="0"/>
            </w:pPr>
            <w:r>
              <w:rPr>
                <w:rFonts w:ascii="Arial" w:cs="Arial" w:eastAsia="Arial" w:hAnsi="Arial"/>
                <w:b/>
                <w:bCs/>
                <w:color w:val="1a3a6a"/>
                <w:sz w:val="20"/>
                <w:szCs w:val="20"/>
              </w:rPr>
              <w:t xml:space="preserve">MIT dspace 2026</w:t>
            </w:r>
          </w:p>
        </w:tc>
      </w:tr>
      <w:tr>
        <w:tc>
          <w:tcPr>
            <w:tcW w:type="dxa" w:w="5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LANL self-hosting LLMs for classified work as of January 2025</w:t>
            </w:r>
          </w:p>
        </w:tc>
        <w:tc>
          <w:tcPr>
            <w:tcW w:type="dxa" w:w="3960"/>
            <w:tcBorders>
              <w:top w:val="single" w:color="dddddd" w:sz="1"/>
              <w:left w:val="single" w:color="dddddd" w:sz="1"/>
              <w:bottom w:val="single" w:color="dddddd" w:sz="1"/>
              <w:right w:val="single" w:color="dddddd" w:sz="1"/>
            </w:tcBorders>
            <w:shd w:fill="f0f4fd" w:val="clear"/>
            <w:tcMar>
              <w:top w:type="dxa" w:w="80"/>
              <w:left w:type="dxa" w:w="120"/>
              <w:bottom w:type="dxa" w:w="80"/>
              <w:right w:type="dxa" w:w="120"/>
            </w:tcMar>
          </w:tcPr>
          <w:p>
            <w:pPr>
              <w:spacing w:after="0" w:before="0"/>
            </w:pPr>
            <w:r>
              <w:rPr>
                <w:rFonts w:ascii="Arial" w:cs="Arial" w:eastAsia="Arial" w:hAnsi="Arial"/>
                <w:b/>
                <w:bCs/>
                <w:color w:val="1a3a6a"/>
                <w:sz w:val="20"/>
                <w:szCs w:val="20"/>
              </w:rPr>
              <w:t xml:space="preserve">DreamFactory 2026</w:t>
            </w:r>
          </w:p>
        </w:tc>
      </w:tr>
      <w:tr>
        <w:tc>
          <w:tcPr>
            <w:tcW w:type="dxa" w:w="5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79% of executives: AI sovereignty is a priority</w:t>
            </w:r>
          </w:p>
        </w:tc>
        <w:tc>
          <w:tcPr>
            <w:tcW w:type="dxa" w:w="3960"/>
            <w:tcBorders>
              <w:top w:val="single" w:color="dddddd" w:sz="1"/>
              <w:left w:val="single" w:color="dddddd" w:sz="1"/>
              <w:bottom w:val="single" w:color="dddddd" w:sz="1"/>
              <w:right w:val="single" w:color="dddddd" w:sz="1"/>
            </w:tcBorders>
            <w:shd w:fill="f0f4fd" w:val="clear"/>
            <w:tcMar>
              <w:top w:type="dxa" w:w="80"/>
              <w:left w:type="dxa" w:w="120"/>
              <w:bottom w:type="dxa" w:w="80"/>
              <w:right w:type="dxa" w:w="120"/>
            </w:tcMar>
          </w:tcPr>
          <w:p>
            <w:pPr>
              <w:spacing w:after="0" w:before="0"/>
            </w:pPr>
            <w:r>
              <w:rPr>
                <w:rFonts w:ascii="Arial" w:cs="Arial" w:eastAsia="Arial" w:hAnsi="Arial"/>
                <w:b/>
                <w:bCs/>
                <w:color w:val="1a3a6a"/>
                <w:sz w:val="20"/>
                <w:szCs w:val="20"/>
              </w:rPr>
              <w:t xml:space="preserve">IBM IBV 2025</w:t>
            </w:r>
          </w:p>
        </w:tc>
      </w:tr>
      <w:tr>
        <w:tc>
          <w:tcPr>
            <w:tcW w:type="dxa" w:w="5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10,000+ enterprises/year committing to sovereign AI platforms</w:t>
            </w:r>
          </w:p>
        </w:tc>
        <w:tc>
          <w:tcPr>
            <w:tcW w:type="dxa" w:w="3960"/>
            <w:tcBorders>
              <w:top w:val="single" w:color="dddddd" w:sz="1"/>
              <w:left w:val="single" w:color="dddddd" w:sz="1"/>
              <w:bottom w:val="single" w:color="dddddd" w:sz="1"/>
              <w:right w:val="single" w:color="dddddd" w:sz="1"/>
            </w:tcBorders>
            <w:shd w:fill="f0f4fd" w:val="clear"/>
            <w:tcMar>
              <w:top w:type="dxa" w:w="80"/>
              <w:left w:type="dxa" w:w="120"/>
              <w:bottom w:type="dxa" w:w="80"/>
              <w:right w:type="dxa" w:w="120"/>
            </w:tcMar>
          </w:tcPr>
          <w:p>
            <w:pPr>
              <w:spacing w:after="0" w:before="0"/>
            </w:pPr>
            <w:r>
              <w:rPr>
                <w:rFonts w:ascii="Arial" w:cs="Arial" w:eastAsia="Arial" w:hAnsi="Arial"/>
                <w:b/>
                <w:bCs/>
                <w:color w:val="1a3a6a"/>
                <w:sz w:val="20"/>
                <w:szCs w:val="20"/>
              </w:rPr>
              <w:t xml:space="preserve">EDB / MIT Tech Review 2025</w:t>
            </w:r>
          </w:p>
        </w:tc>
      </w:tr>
      <w:tr>
        <w:tc>
          <w:tcPr>
            <w:tcW w:type="dxa" w:w="5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81% of executives use AI for sustainability goals — almost all on cloud</w:t>
            </w:r>
          </w:p>
        </w:tc>
        <w:tc>
          <w:tcPr>
            <w:tcW w:type="dxa" w:w="3960"/>
            <w:tcBorders>
              <w:top w:val="single" w:color="dddddd" w:sz="1"/>
              <w:left w:val="single" w:color="dddddd" w:sz="1"/>
              <w:bottom w:val="single" w:color="dddddd" w:sz="1"/>
              <w:right w:val="single" w:color="dddddd" w:sz="1"/>
            </w:tcBorders>
            <w:shd w:fill="f0f4fd" w:val="clear"/>
            <w:tcMar>
              <w:top w:type="dxa" w:w="80"/>
              <w:left w:type="dxa" w:w="120"/>
              <w:bottom w:type="dxa" w:w="80"/>
              <w:right w:type="dxa" w:w="120"/>
            </w:tcMar>
          </w:tcPr>
          <w:p>
            <w:pPr>
              <w:spacing w:after="0" w:before="0"/>
            </w:pPr>
            <w:r>
              <w:rPr>
                <w:rFonts w:ascii="Arial" w:cs="Arial" w:eastAsia="Arial" w:hAnsi="Arial"/>
                <w:b/>
                <w:bCs/>
                <w:color w:val="1a3a6a"/>
                <w:sz w:val="20"/>
                <w:szCs w:val="20"/>
              </w:rPr>
              <w:t xml:space="preserve">Deloitte 2025</w:t>
            </w:r>
          </w:p>
        </w:tc>
      </w:tr>
      <w:tr>
        <w:tc>
          <w:tcPr>
            <w:tcW w:type="dxa" w:w="5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75% of global population under modern privacy regulation</w:t>
            </w:r>
          </w:p>
        </w:tc>
        <w:tc>
          <w:tcPr>
            <w:tcW w:type="dxa" w:w="3960"/>
            <w:tcBorders>
              <w:top w:val="single" w:color="dddddd" w:sz="1"/>
              <w:left w:val="single" w:color="dddddd" w:sz="1"/>
              <w:bottom w:val="single" w:color="dddddd" w:sz="1"/>
              <w:right w:val="single" w:color="dddddd" w:sz="1"/>
            </w:tcBorders>
            <w:shd w:fill="f0f4fd" w:val="clear"/>
            <w:tcMar>
              <w:top w:type="dxa" w:w="80"/>
              <w:left w:type="dxa" w:w="120"/>
              <w:bottom w:type="dxa" w:w="80"/>
              <w:right w:type="dxa" w:w="120"/>
            </w:tcMar>
          </w:tcPr>
          <w:p>
            <w:pPr>
              <w:spacing w:after="0" w:before="0"/>
            </w:pPr>
            <w:r>
              <w:rPr>
                <w:rFonts w:ascii="Arial" w:cs="Arial" w:eastAsia="Arial" w:hAnsi="Arial"/>
                <w:b/>
                <w:bCs/>
                <w:color w:val="1a3a6a"/>
                <w:sz w:val="20"/>
                <w:szCs w:val="20"/>
              </w:rPr>
              <w:t xml:space="preserve">Gartner 2024</w:t>
            </w:r>
          </w:p>
        </w:tc>
      </w:tr>
      <w:tr>
        <w:tc>
          <w:tcPr>
            <w:tcW w:type="dxa" w:w="5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€2.3B in GDPR fines in 2025 alone — 38% year-over-year increase</w:t>
            </w:r>
          </w:p>
        </w:tc>
        <w:tc>
          <w:tcPr>
            <w:tcW w:type="dxa" w:w="3960"/>
            <w:tcBorders>
              <w:top w:val="single" w:color="dddddd" w:sz="1"/>
              <w:left w:val="single" w:color="dddddd" w:sz="1"/>
              <w:bottom w:val="single" w:color="dddddd" w:sz="1"/>
              <w:right w:val="single" w:color="dddddd" w:sz="1"/>
            </w:tcBorders>
            <w:shd w:fill="f0f4fd" w:val="clear"/>
            <w:tcMar>
              <w:top w:type="dxa" w:w="80"/>
              <w:left w:type="dxa" w:w="120"/>
              <w:bottom w:type="dxa" w:w="80"/>
              <w:right w:type="dxa" w:w="120"/>
            </w:tcMar>
          </w:tcPr>
          <w:p>
            <w:pPr>
              <w:spacing w:after="0" w:before="0"/>
            </w:pPr>
            <w:r>
              <w:rPr>
                <w:rFonts w:ascii="Arial" w:cs="Arial" w:eastAsia="Arial" w:hAnsi="Arial"/>
                <w:b/>
                <w:bCs/>
                <w:color w:val="1a3a6a"/>
                <w:sz w:val="20"/>
                <w:szCs w:val="20"/>
              </w:rPr>
              <w:t xml:space="preserve">Secure Privacy 2025</w:t>
            </w:r>
          </w:p>
        </w:tc>
      </w:tr>
      <w:tr>
        <w:tc>
          <w:tcPr>
            <w:tcW w:type="dxa" w:w="5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EU AI Act fully applicable August 2, 2026 — risk-based obligations</w:t>
            </w:r>
          </w:p>
        </w:tc>
        <w:tc>
          <w:tcPr>
            <w:tcW w:type="dxa" w:w="3960"/>
            <w:tcBorders>
              <w:top w:val="single" w:color="dddddd" w:sz="1"/>
              <w:left w:val="single" w:color="dddddd" w:sz="1"/>
              <w:bottom w:val="single" w:color="dddddd" w:sz="1"/>
              <w:right w:val="single" w:color="dddddd" w:sz="1"/>
            </w:tcBorders>
            <w:shd w:fill="f0f4fd" w:val="clear"/>
            <w:tcMar>
              <w:top w:type="dxa" w:w="80"/>
              <w:left w:type="dxa" w:w="120"/>
              <w:bottom w:type="dxa" w:w="80"/>
              <w:right w:type="dxa" w:w="120"/>
            </w:tcMar>
          </w:tcPr>
          <w:p>
            <w:pPr>
              <w:spacing w:after="0" w:before="0"/>
            </w:pPr>
            <w:r>
              <w:rPr>
                <w:rFonts w:ascii="Arial" w:cs="Arial" w:eastAsia="Arial" w:hAnsi="Arial"/>
                <w:b/>
                <w:bCs/>
                <w:color w:val="1a3a6a"/>
                <w:sz w:val="20"/>
                <w:szCs w:val="20"/>
              </w:rPr>
              <w:t xml:space="preserve">Secure Privacy 2025</w:t>
            </w:r>
          </w:p>
        </w:tc>
      </w:tr>
      <w:tr>
        <w:tc>
          <w:tcPr>
            <w:tcW w:type="dxa" w:w="54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68% of privacy professionals now handle AI governance</w:t>
            </w:r>
          </w:p>
        </w:tc>
        <w:tc>
          <w:tcPr>
            <w:tcW w:type="dxa" w:w="3960"/>
            <w:tcBorders>
              <w:top w:val="single" w:color="dddddd" w:sz="1"/>
              <w:left w:val="single" w:color="dddddd" w:sz="1"/>
              <w:bottom w:val="single" w:color="dddddd" w:sz="1"/>
              <w:right w:val="single" w:color="dddddd" w:sz="1"/>
            </w:tcBorders>
            <w:shd w:fill="f0f4fd" w:val="clear"/>
            <w:tcMar>
              <w:top w:type="dxa" w:w="80"/>
              <w:left w:type="dxa" w:w="120"/>
              <w:bottom w:type="dxa" w:w="80"/>
              <w:right w:type="dxa" w:w="120"/>
            </w:tcMar>
          </w:tcPr>
          <w:p>
            <w:pPr>
              <w:spacing w:after="0" w:before="0"/>
            </w:pPr>
            <w:r>
              <w:rPr>
                <w:rFonts w:ascii="Arial" w:cs="Arial" w:eastAsia="Arial" w:hAnsi="Arial"/>
                <w:b/>
                <w:bCs/>
                <w:color w:val="1a3a6a"/>
                <w:sz w:val="20"/>
                <w:szCs w:val="20"/>
              </w:rPr>
              <w:t xml:space="preserve">Secure Privacy 2025</w:t>
            </w:r>
          </w:p>
        </w:tc>
      </w:tr>
    </w:tbl>
    <w:p>
      <w:pPr>
        <w:spacing w:after="60" w:before="0"/>
        <w:jc w:val="left"/>
      </w:pPr>
      <w:r>
        <w:rPr>
          <w:rFonts w:ascii="Arial" w:cs="Arial" w:eastAsia="Arial" w:hAnsi="Arial"/>
          <w:b w:val="false"/>
          <w:bCs w:val="false"/>
          <w:color w:val="1a1a1a"/>
          <w:sz w:val="22"/>
          <w:szCs w:val="22"/>
        </w:rPr>
        <w:t xml:space="preserve"/>
      </w:r>
    </w:p>
    <w:p>
      <w:pPr>
        <w:spacing w:after="60" w:before="0"/>
        <w:jc w:val="left"/>
      </w:pPr>
      <w:r>
        <w:rPr>
          <w:rFonts w:ascii="Arial" w:cs="Arial" w:eastAsia="Arial" w:hAnsi="Arial"/>
          <w:b w:val="false"/>
          <w:bCs w:val="false"/>
          <w:color w:val="1a1a1a"/>
          <w:sz w:val="22"/>
          <w:szCs w:val="22"/>
        </w:rPr>
        <w:t xml:space="preserve"/>
      </w:r>
    </w:p>
    <w:p>
      <w:pPr>
        <w:pBdr>
          <w:top w:val="single" w:color="cccccc" w:sz="4" w:space="8"/>
        </w:pBdr>
        <w:spacing w:after="0" w:before="320"/>
      </w:pPr>
      <w:r>
        <w:rPr>
          <w:rFonts w:ascii="Courier New" w:cs="Courier New" w:eastAsia="Courier New" w:hAnsi="Courier New"/>
          <w:b w:val="false"/>
          <w:bCs w:val="false"/>
          <w:color w:val="888888"/>
          <w:sz w:val="16"/>
          <w:szCs w:val="16"/>
        </w:rPr>
        <w:t xml:space="preserve">GLAM — Global Local AI Movement  ·  globallocal.ai  ·  Earth Day 2026  ·  Compiled April 20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2026-04-20T23:52:47.911Z</dcterms:created>
  <dcterms:modified xsi:type="dcterms:W3CDTF">2026-04-20T23:52:47.912Z</dcterms:modified>
</cp:coreProperties>
</file>

<file path=docProps/custom.xml><?xml version="1.0" encoding="utf-8"?>
<Properties xmlns="http://schemas.openxmlformats.org/officeDocument/2006/custom-properties" xmlns:vt="http://schemas.openxmlformats.org/officeDocument/2006/docPropsVTypes"/>
</file>