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200" w:after="60"/>
        <w:ind/>
        <w:jc w:val="center"/>
        <w:rPr/>
      </w:pPr>
      <w:r>
        <w:rPr>
          <w:b/>
          <w:bCs/>
          <w:color w:val="1F3864"/>
          <w:sz w:val="52"/>
          <w:szCs w:val="52"/>
        </w:rPr>
        <w:t xml:space="preserve">Bisoprolol Clinical Data Analysis</w:t>
      </w:r>
    </w:p>
    <w:p>
      <w:pPr>
        <w:pBdr/>
        <w:pStyle w:val="Normal"/>
        <w:spacing w:after="60"/>
        <w:ind/>
        <w:jc w:val="center"/>
        <w:rPr/>
      </w:pPr>
      <w:r>
        <w:rPr>
          <w:i/>
          <w:iCs/>
          <w:color w:val="2E75B6"/>
          <w:sz w:val="28"/>
          <w:szCs w:val="28"/>
        </w:rPr>
        <w:t xml:space="preserve">Project Overview Report</w:t>
      </w:r>
    </w:p>
    <w:p>
      <w:pPr>
        <w:pBdr/>
        <w:pStyle w:val="Normal"/>
        <w:spacing w:after="300"/>
        <w:ind/>
        <w:jc w:val="center"/>
        <w:rPr/>
      </w:pPr>
      <w:r>
        <w:rPr>
          <w:color w:val="595959"/>
          <w:sz w:val="22"/>
          <w:szCs w:val="22"/>
        </w:rPr>
        <w:t xml:space="preserve">Data Mining Approaches in Clinical Trial Analysis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600"/>
        <w:gridCol w:w="57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F3864" w:color="auto" w:val="clear"/>
            <w:vAlign w:val="top"/>
          </w:tcPr>
          <w:p>
            <w:pPr>
              <w:pBdr/>
              <w:pStyle w:val="Normal"/>
              <w:spacing/>
              <w:ind/>
              <w:rPr/>
            </w:pPr>
            <w:r>
              <w:rPr>
                <w:b/>
                <w:bCs/>
                <w:color w:val="FFFFFF"/>
                <w:sz w:val="20"/>
                <w:szCs w:val="20"/>
              </w:rPr>
              <w:t xml:space="preserve">Parameter</w:t>
            </w:r>
          </w:p>
        </w:tc>
        <w:tc>
          <w:tcPr>
            <w:tcW w:w="5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F3864" w:color="auto" w:val="clear"/>
            <w:vAlign w:val="top"/>
          </w:tcPr>
          <w:p>
            <w:pPr>
              <w:pBdr/>
              <w:pStyle w:val="Normal"/>
              <w:spacing/>
              <w:ind/>
              <w:rPr/>
            </w:pPr>
            <w:r>
              <w:rPr>
                <w:b/>
                <w:bCs/>
                <w:color w:val="FFFFFF"/>
                <w:sz w:val="20"/>
                <w:szCs w:val="20"/>
              </w:rPr>
              <w:t xml:space="preserve">Detail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Drug Analyzed</w:t>
            </w:r>
          </w:p>
        </w:tc>
        <w:tc>
          <w:tcPr>
            <w:tcW w:w="5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Bisoprolol (beta-blocker)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Indication</w:t>
            </w:r>
          </w:p>
        </w:tc>
        <w:tc>
          <w:tcPr>
            <w:tcW w:w="5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Hypertension &amp; elevated heart 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Dose Range</w:t>
            </w:r>
          </w:p>
        </w:tc>
        <w:tc>
          <w:tcPr>
            <w:tcW w:w="5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2.5 mg, 5 mg, 10 mg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Patient Age Range</w:t>
            </w:r>
          </w:p>
        </w:tc>
        <w:tc>
          <w:tcPr>
            <w:tcW w:w="5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45 – 75 years (mean: 60)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Approach</w:t>
            </w:r>
          </w:p>
        </w:tc>
        <w:tc>
          <w:tcPr>
            <w:tcW w:w="5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Exploratory data analysis + predictive ML</w:t>
            </w:r>
          </w:p>
        </w:tc>
      </w:tr>
    </w:tbl>
    <w:p>
      <w:pPr>
        <w:pBdr/>
        <w:pStyle w:val="Normal"/>
        <w:spacing w:after="200"/>
        <w:ind/>
        <w:rPr/>
      </w:pPr>
    </w:p>
    <w:p>
      <w:pPr>
        <w:pBdr>
          <w:bottom w:val="single" w:color="2E75B6" w:sz="6" w:space="1"/>
        </w:pBdr>
        <w:pStyle w:val="Heading 1"/>
        <w:spacing w:before="280" w:after="120"/>
        <w:ind/>
        <w:rPr/>
      </w:pPr>
      <w:r>
        <w:rPr>
          <w:b/>
          <w:bCs/>
          <w:color w:val="1F3864"/>
          <w:sz w:val="32"/>
          <w:szCs w:val="32"/>
        </w:rPr>
        <w:t xml:space="preserve">Project Purpose</w:t>
      </w:r>
    </w:p>
    <w:p>
      <w:pPr>
        <w:pBdr/>
        <w:pStyle w:val="Normal"/>
        <w:spacing w:after="100"/>
        <w:ind/>
        <w:rPr/>
      </w:pPr>
      <w:r>
        <w:rPr>
          <w:sz w:val="22"/>
          <w:szCs w:val="22"/>
        </w:rPr>
        <w:t xml:space="preserve">This project demonstrates how data mining and machine learning techniques can be applied to clinical trial data. The analysis investigates the dose-response relationship of Bisoprolol, a commonly prescribed beta-blocker, on three key cardiovascular metrics: systolic blood pressure, diastolic blood pressure, and resting heart rate.</w:t>
      </w:r>
    </w:p>
    <w:p>
      <w:pPr>
        <w:pBdr/>
        <w:pStyle w:val="Normal"/>
        <w:spacing w:after="100"/>
        <w:ind/>
        <w:rPr/>
      </w:pPr>
      <w:r>
        <w:rPr>
          <w:sz w:val="22"/>
          <w:szCs w:val="22"/>
        </w:rPr>
        <w:t xml:space="preserve">Data was collected from a cohort of patients aged 45–75 years, with baseline measurements taken prior to any dosing and follow-up measurements recorded at 2.5 mg, 5 mg, and 10 mg doses.</w:t>
      </w:r>
    </w:p>
    <w:p>
      <w:pPr>
        <w:pBdr>
          <w:bottom w:val="single" w:color="2E75B6" w:sz="6" w:space="1"/>
        </w:pBdr>
        <w:pStyle w:val="Heading 1"/>
        <w:spacing w:before="280" w:after="120"/>
        <w:ind/>
        <w:rPr/>
      </w:pPr>
      <w:r>
        <w:rPr>
          <w:b/>
          <w:bCs/>
          <w:color w:val="1F3864"/>
          <w:sz w:val="32"/>
          <w:szCs w:val="32"/>
        </w:rPr>
        <w:t xml:space="preserve">Key Findings</w:t>
      </w:r>
    </w:p>
    <w:p>
      <w:pPr>
        <w:pBdr/>
        <w:pStyle w:val="Heading 2"/>
        <w:spacing w:before="200" w:after="80"/>
        <w:ind/>
        <w:rPr/>
      </w:pPr>
      <w:r>
        <w:rPr>
          <w:b/>
          <w:bCs/>
          <w:color w:val="2E75B6"/>
          <w:sz w:val="26"/>
          <w:szCs w:val="26"/>
        </w:rPr>
        <w:t xml:space="preserve">1. Dose-Response Relationship</w:t>
      </w:r>
    </w:p>
    <w:p>
      <w:pPr>
        <w:pBdr/>
        <w:pStyle w:val="Normal"/>
        <w:spacing w:after="100"/>
        <w:ind/>
        <w:rPr/>
      </w:pPr>
      <w:r>
        <w:rPr>
          <w:sz w:val="22"/>
          <w:szCs w:val="22"/>
        </w:rPr>
        <w:t xml:space="preserve">Analysis confirmed a consistent, statistically meaningful inverse relationship between Bisoprolol dose and all three cardiovascular measures:</w:t>
      </w:r>
    </w:p>
    <w:p>
      <w:pPr>
        <w:pBdr/>
        <w:pStyle w:val="List Paragraph"/>
        <w:numPr>
          <w:ilvl w:val="0"/>
          <w:numId w:val="4"/>
        </w:numPr>
        <w:spacing w:after="80"/>
        <w:ind/>
        <w:rPr/>
      </w:pPr>
      <w:r>
        <w:rPr>
          <w:sz w:val="22"/>
          <w:szCs w:val="22"/>
        </w:rPr>
        <w:t xml:space="preserve">Heart rate, systolic BP, and diastolic BP all decreased as dose increased from 0 to 10 mg.</w:t>
      </w:r>
    </w:p>
    <w:p>
      <w:pPr>
        <w:pBdr/>
        <w:pStyle w:val="List Paragraph"/>
        <w:numPr>
          <w:ilvl w:val="0"/>
          <w:numId w:val="4"/>
        </w:numPr>
        <w:spacing w:after="80"/>
        <w:ind/>
        <w:rPr/>
      </w:pPr>
      <w:r>
        <w:rPr>
          <w:sz w:val="22"/>
          <w:szCs w:val="22"/>
        </w:rPr>
        <w:t xml:space="preserve">Mean-trend line plots and correlation coefficients confirmed negative linear trends across all metrics.</w:t>
      </w:r>
    </w:p>
    <w:p>
      <w:pPr>
        <w:pBdr/>
        <w:pStyle w:val="List Paragraph"/>
        <w:numPr>
          <w:ilvl w:val="0"/>
          <w:numId w:val="4"/>
        </w:numPr>
        <w:spacing w:after="80"/>
        <w:ind/>
        <w:rPr/>
      </w:pPr>
      <w:r>
        <w:rPr>
          <w:sz w:val="22"/>
          <w:szCs w:val="22"/>
        </w:rPr>
        <w:t xml:space="preserve">A dose of 10 mg was sufficient to bring most patients into a clinically acceptable blood pressure range.</w:t>
      </w:r>
    </w:p>
    <w:p>
      <w:pPr>
        <w:pBdr/>
        <w:pStyle w:val="Normal"/>
        <w:spacing w:after="100"/>
        <w:ind/>
        <w:rPr/>
      </w:pPr>
    </w:p>
    <w:p>
      <w:pPr>
        <w:pBdr/>
        <w:pStyle w:val="Heading 2"/>
        <w:spacing w:before="200" w:after="80"/>
        <w:ind/>
        <w:rPr/>
      </w:pPr>
      <w:r>
        <w:rPr>
          <w:b/>
          <w:bCs/>
          <w:color w:val="2E75B6"/>
          <w:sz w:val="26"/>
          <w:szCs w:val="26"/>
        </w:rPr>
        <w:t xml:space="preserve">2. Blood Pressure Normalization</w:t>
      </w:r>
    </w:p>
    <w:p>
      <w:pPr>
        <w:pBdr/>
        <w:pStyle w:val="Normal"/>
        <w:spacing w:after="100"/>
        <w:ind/>
        <w:rPr/>
      </w:pPr>
      <w:r>
        <w:rPr>
          <w:sz w:val="22"/>
          <w:szCs w:val="22"/>
        </w:rPr>
        <w:t xml:space="preserve">Boxplot analysis across dose levels showed:</w:t>
      </w:r>
    </w:p>
    <w:p>
      <w:pPr>
        <w:pBdr/>
        <w:pStyle w:val="List Paragraph"/>
        <w:numPr>
          <w:ilvl w:val="0"/>
          <w:numId w:val="4"/>
        </w:numPr>
        <w:spacing w:after="80"/>
        <w:ind/>
        <w:rPr/>
      </w:pPr>
      <w:r>
        <w:rPr>
          <w:b/>
          <w:bCs/>
          <w:sz w:val="22"/>
          <w:szCs w:val="22"/>
        </w:rPr>
        <w:t xml:space="preserve">Before treatment, most patients exceeded the 140 mmHg hypertension threshold. By 10 mg, mean systolic BP fell toward the 120 mmHg normal reference line. </w:t>
      </w:r>
    </w:p>
    <w:p>
      <w:pPr>
        <w:pBdr/>
        <w:pStyle w:val="List Paragraph"/>
        <w:numPr>
          <w:ilvl w:val="0"/>
          <w:numId w:val="4"/>
        </w:numPr>
        <w:spacing w:after="80"/>
        <w:ind/>
        <w:rPr/>
      </w:pPr>
      <w:r>
        <w:rPr>
          <w:b/>
          <w:bCs/>
          <w:sz w:val="22"/>
          <w:szCs w:val="22"/>
        </w:rPr>
        <w:t xml:space="preserve">Similar reduction observed — mean diastolic values converged near the 80 mmHg normal range at the 10 mg dose. </w:t>
      </w:r>
    </w:p>
    <w:p>
      <w:pPr>
        <w:pBdr/>
        <w:pStyle w:val="List Paragraph"/>
        <w:numPr>
          <w:ilvl w:val="0"/>
          <w:numId w:val="4"/>
        </w:numPr>
        <w:spacing w:after="80"/>
        <w:ind/>
        <w:rPr/>
      </w:pPr>
      <w:r>
        <w:rPr>
          <w:b/>
          <w:bCs/>
          <w:sz w:val="22"/>
          <w:szCs w:val="22"/>
        </w:rPr>
        <w:t xml:space="preserve">A steady decline in resting heart rate was seen across all dose increments. </w:t>
      </w:r>
    </w:p>
    <w:p>
      <w:pPr>
        <w:pBdr/>
        <w:pStyle w:val="Normal"/>
        <w:spacing w:after="100"/>
        <w:ind/>
        <w:rPr/>
      </w:pPr>
      <w:r>
        <w:rPr/>
        <w:br w:type="page"/>
      </w:r>
    </w:p>
    <w:p>
      <w:pPr>
        <w:pBdr>
          <w:bottom w:val="single" w:color="2E75B6" w:sz="6" w:space="1"/>
        </w:pBdr>
        <w:pStyle w:val="Heading 1"/>
        <w:spacing w:before="280" w:after="120"/>
        <w:ind/>
        <w:rPr/>
      </w:pPr>
      <w:r>
        <w:rPr>
          <w:b/>
          <w:bCs/>
          <w:color w:val="1F3864"/>
          <w:sz w:val="32"/>
          <w:szCs w:val="32"/>
        </w:rPr>
        <w:t xml:space="preserve">Methodology</w:t>
      </w:r>
    </w:p>
    <w:p>
      <w:pPr>
        <w:pBdr/>
        <w:pStyle w:val="Heading 2"/>
        <w:spacing w:before="200" w:after="80"/>
        <w:ind/>
        <w:rPr/>
      </w:pPr>
      <w:r>
        <w:rPr>
          <w:b/>
          <w:bCs/>
          <w:color w:val="2E75B6"/>
          <w:sz w:val="26"/>
          <w:szCs w:val="26"/>
        </w:rPr>
        <w:t xml:space="preserve">Exploratory Data Analysis</w:t>
      </w:r>
    </w:p>
    <w:p>
      <w:pPr>
        <w:pBdr/>
        <w:pStyle w:val="Normal"/>
        <w:spacing w:after="100"/>
        <w:ind/>
        <w:rPr/>
      </w:pPr>
      <w:r>
        <w:rPr>
          <w:sz w:val="22"/>
          <w:szCs w:val="22"/>
        </w:rPr>
        <w:t xml:space="preserve">The initial phase employed visualization-driven EDA to characterize the dataset:</w:t>
      </w:r>
    </w:p>
    <w:p>
      <w:pPr>
        <w:pBdr/>
        <w:pStyle w:val="List Paragraph"/>
        <w:numPr>
          <w:ilvl w:val="0"/>
          <w:numId w:val="4"/>
        </w:numPr>
        <w:spacing w:after="80"/>
        <w:ind/>
        <w:rPr/>
      </w:pPr>
      <w:r>
        <w:rPr>
          <w:sz w:val="22"/>
          <w:szCs w:val="22"/>
        </w:rPr>
        <w:t xml:space="preserve">Age distribution histogram revealed a roughly uniform cohort between 45 and 75, with a mean of 60 years.</w:t>
      </w:r>
    </w:p>
    <w:p>
      <w:pPr>
        <w:pBdr/>
        <w:pStyle w:val="List Paragraph"/>
        <w:numPr>
          <w:ilvl w:val="0"/>
          <w:numId w:val="4"/>
        </w:numPr>
        <w:spacing w:after="80"/>
        <w:ind/>
        <w:rPr/>
      </w:pPr>
      <w:r>
        <w:rPr>
          <w:sz w:val="22"/>
          <w:szCs w:val="22"/>
        </w:rPr>
        <w:t xml:space="preserve">Boxplots per dose level provided a view of spread, median, and outliers across all cardiovascular measurements.</w:t>
      </w:r>
    </w:p>
    <w:p>
      <w:pPr>
        <w:pBdr/>
        <w:pStyle w:val="List Paragraph"/>
        <w:numPr>
          <w:ilvl w:val="0"/>
          <w:numId w:val="4"/>
        </w:numPr>
        <w:spacing w:after="80"/>
        <w:ind/>
        <w:rPr/>
      </w:pPr>
      <w:r>
        <w:rPr>
          <w:sz w:val="22"/>
          <w:szCs w:val="22"/>
        </w:rPr>
        <w:t xml:space="preserve">Mean trend lines overlaid on boxplots made dose-response trajectories immediately visible.</w:t>
      </w:r>
    </w:p>
    <w:p>
      <w:pPr>
        <w:pBdr/>
        <w:pStyle w:val="Normal"/>
        <w:spacing w:after="100"/>
        <w:ind/>
        <w:rPr/>
      </w:pPr>
    </w:p>
    <w:p>
      <w:pPr>
        <w:pBdr/>
        <w:pStyle w:val="Heading 2"/>
        <w:spacing w:before="200" w:after="80"/>
        <w:ind/>
        <w:rPr/>
      </w:pPr>
      <w:r>
        <w:rPr>
          <w:b/>
          <w:bCs/>
          <w:color w:val="2E75B6"/>
          <w:sz w:val="26"/>
          <w:szCs w:val="26"/>
        </w:rPr>
        <w:t xml:space="preserve">Linear Regression Analysis</w:t>
      </w:r>
    </w:p>
    <w:p>
      <w:pPr>
        <w:pBdr/>
        <w:pStyle w:val="Normal"/>
        <w:spacing w:after="100"/>
        <w:ind/>
        <w:rPr/>
      </w:pPr>
      <w:r>
        <w:rPr>
          <w:sz w:val="22"/>
          <w:szCs w:val="22"/>
        </w:rPr>
        <w:t xml:space="preserve">Scikit-learn's LinearRegression was used to model dose as an independent variable against mean systolic BP, diastolic BP, and heart rate. Pearson correlation coefficients were computed to quantify the strength of the dose-response relationship.</w:t>
      </w:r>
    </w:p>
    <w:p>
      <w:pPr>
        <w:pBdr/>
        <w:pStyle w:val="Normal"/>
        <w:spacing w:after="100"/>
        <w:ind/>
        <w:rPr/>
      </w:pPr>
    </w:p>
    <w:p>
      <w:pPr>
        <w:pBdr/>
        <w:pStyle w:val="Heading 2"/>
        <w:spacing w:before="200" w:after="80"/>
        <w:ind/>
        <w:rPr/>
      </w:pPr>
      <w:r>
        <w:rPr>
          <w:b/>
          <w:bCs/>
          <w:color w:val="2E75B6"/>
          <w:sz w:val="26"/>
          <w:szCs w:val="26"/>
        </w:rPr>
        <w:t xml:space="preserve">Predictive ML Model</w:t>
      </w:r>
    </w:p>
    <w:p>
      <w:pPr>
        <w:pBdr/>
        <w:pStyle w:val="Normal"/>
        <w:spacing w:after="100"/>
        <w:ind/>
        <w:rPr/>
      </w:pPr>
      <w:r>
        <w:rPr>
          <w:sz w:val="22"/>
          <w:szCs w:val="22"/>
        </w:rPr>
        <w:t xml:space="preserve">A second-stage model was trained to predict the change in blood pressure at a given dose, taking a patient's baseline systolic and diastolic values plus the intended dose as input features.</w:t>
      </w:r>
    </w:p>
    <w:p>
      <w:pPr>
        <w:pBdr/>
        <w:pStyle w:val="List Paragraph"/>
        <w:numPr>
          <w:ilvl w:val="0"/>
          <w:numId w:val="4"/>
        </w:numPr>
        <w:spacing w:after="80"/>
        <w:ind/>
        <w:rPr/>
      </w:pPr>
      <w:r>
        <w:rPr>
          <w:sz w:val="22"/>
          <w:szCs w:val="22"/>
        </w:rPr>
        <w:t xml:space="preserve">Dataset construction: each patient contributed three training samples — one per dose level — with the target being the absolute change from baseline.</w:t>
      </w:r>
    </w:p>
    <w:p>
      <w:pPr>
        <w:pBdr/>
        <w:pStyle w:val="List Paragraph"/>
        <w:numPr>
          <w:ilvl w:val="0"/>
          <w:numId w:val="4"/>
        </w:numPr>
        <w:spacing w:after="80"/>
        <w:ind/>
        <w:rPr/>
      </w:pPr>
      <w:r>
        <w:rPr>
          <w:sz w:val="22"/>
          <w:szCs w:val="22"/>
        </w:rPr>
        <w:t xml:space="preserve">Train/test split: 75% training, 25% test (random state = 42).</w:t>
      </w:r>
    </w:p>
    <w:p>
      <w:pPr>
        <w:pBdr/>
        <w:pStyle w:val="List Paragraph"/>
        <w:numPr>
          <w:ilvl w:val="0"/>
          <w:numId w:val="4"/>
        </w:numPr>
        <w:spacing w:after="80"/>
        <w:ind/>
        <w:rPr/>
      </w:pPr>
      <w:r>
        <w:rPr>
          <w:sz w:val="22"/>
          <w:szCs w:val="22"/>
        </w:rPr>
        <w:t xml:space="preserve">Separate models were trained for systolic and diastolic change.</w:t>
      </w:r>
    </w:p>
    <w:p>
      <w:pPr>
        <w:pBdr/>
        <w:pStyle w:val="Normal"/>
        <w:spacing w:after="180"/>
        <w:ind/>
        <w:rPr/>
      </w:pPr>
    </w:p>
    <w:p>
      <w:pPr>
        <w:pBdr>
          <w:bottom w:val="single" w:color="2E75B6" w:sz="6" w:space="1"/>
        </w:pBdr>
        <w:pStyle w:val="Heading 1"/>
        <w:spacing w:before="280" w:after="120"/>
        <w:ind/>
        <w:rPr/>
      </w:pPr>
      <w:r>
        <w:rPr>
          <w:b/>
          <w:bCs/>
          <w:color w:val="1F3864"/>
          <w:sz w:val="32"/>
          <w:szCs w:val="32"/>
        </w:rPr>
        <w:t xml:space="preserve">Model Performance</w:t>
      </w:r>
    </w:p>
    <w:p>
      <w:pPr>
        <w:pBdr/>
        <w:pStyle w:val="Normal"/>
        <w:spacing w:after="100"/>
        <w:ind/>
        <w:rPr/>
      </w:pPr>
      <w:r>
        <w:rPr>
          <w:sz w:val="22"/>
          <w:szCs w:val="22"/>
        </w:rPr>
        <w:t xml:space="preserve">The trained models were evaluated using Mean Absolute Error (MAE) and R-squared (R2):</w:t>
      </w:r>
    </w:p>
    <w:p>
      <w:pPr>
        <w:pBdr/>
        <w:pStyle w:val="Normal"/>
        <w:spacing w:after="10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3120"/>
        <w:gridCol w:w="3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F3864" w:color="auto" w:val="clear"/>
            <w:vAlign w:val="top"/>
          </w:tcPr>
          <w:p>
            <w:pPr>
              <w:pBdr/>
              <w:pStyle w:val="Normal"/>
              <w:spacing/>
              <w:ind/>
              <w:rPr/>
            </w:pPr>
            <w:r>
              <w:rPr>
                <w:b/>
                <w:bCs/>
                <w:color w:val="FFFFFF"/>
                <w:sz w:val="20"/>
                <w:szCs w:val="20"/>
              </w:rPr>
              <w:t xml:space="preserve">Metric</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F3864" w:color="auto" w:val="clear"/>
            <w:vAlign w:val="top"/>
          </w:tcPr>
          <w:p>
            <w:pPr>
              <w:pBdr/>
              <w:pStyle w:val="Normal"/>
              <w:spacing/>
              <w:ind/>
              <w:rPr/>
            </w:pPr>
            <w:r>
              <w:rPr>
                <w:b/>
                <w:bCs/>
                <w:color w:val="FFFFFF"/>
                <w:sz w:val="20"/>
                <w:szCs w:val="20"/>
              </w:rPr>
              <w:t xml:space="preserve">Systolic Model</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F3864" w:color="auto" w:val="clear"/>
            <w:vAlign w:val="top"/>
          </w:tcPr>
          <w:p>
            <w:pPr>
              <w:pBdr/>
              <w:pStyle w:val="Normal"/>
              <w:spacing/>
              <w:ind/>
              <w:rPr/>
            </w:pPr>
            <w:r>
              <w:rPr>
                <w:b/>
                <w:bCs/>
                <w:color w:val="FFFFFF"/>
                <w:sz w:val="20"/>
                <w:szCs w:val="20"/>
              </w:rPr>
              <w:t xml:space="preserve">Diastolic Model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Evaluation Metric</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MAE &amp; R2 Score</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MAE &amp; R2 Score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Performance</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High predictive accuracy</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High predictive accuracy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Author's Assessment</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"Model is very good at predicting"</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auto" w:color="auto"/>
            <w:vAlign w:val="top"/>
          </w:tcPr>
          <w:p>
            <w:pPr>
              <w:pBdr/>
              <w:pStyle w:val="Normal"/>
              <w:spacing/>
              <w:ind/>
              <w:rPr/>
            </w:pPr>
            <w:r>
              <w:rPr>
                <w:sz w:val="20"/>
                <w:szCs w:val="20"/>
              </w:rPr>
              <w:t xml:space="preserve">Consistent with systolic results</w:t>
            </w:r>
          </w:p>
        </w:tc>
      </w:tr>
    </w:tbl>
    <w:p>
      <w:pPr>
        <w:pBdr/>
        <w:pStyle w:val="Normal"/>
        <w:spacing w:after="200"/>
        <w:ind/>
        <w:rPr/>
      </w:pPr>
    </w:p>
    <w:p>
      <w:pPr>
        <w:pBdr>
          <w:bottom w:val="single" w:color="2E75B6" w:sz="6" w:space="1"/>
        </w:pBdr>
        <w:pStyle w:val="Heading 1"/>
        <w:spacing w:before="280" w:after="120"/>
        <w:ind/>
        <w:rPr/>
      </w:pPr>
      <w:r>
        <w:rPr>
          <w:b/>
          <w:bCs/>
          <w:color w:val="1F3864"/>
          <w:sz w:val="32"/>
          <w:szCs w:val="32"/>
        </w:rPr>
        <w:t xml:space="preserve">Interactive Predictor</w:t>
      </w:r>
    </w:p>
    <w:p>
      <w:pPr>
        <w:pBdr/>
        <w:pStyle w:val="Normal"/>
        <w:spacing w:after="100"/>
        <w:ind/>
        <w:rPr/>
      </w:pPr>
      <w:r>
        <w:rPr>
          <w:sz w:val="22"/>
          <w:szCs w:val="22"/>
        </w:rPr>
        <w:t xml:space="preserve">The final section of the notebook implements a user-facing blood pressure predictor. A clinician or researcher can enter a patient's baseline systolic and diastolic BP and a target dose (2.5, 5, or 10 mg). The models then output:</w:t>
      </w:r>
    </w:p>
    <w:p>
      <w:pPr>
        <w:pBdr/>
        <w:pStyle w:val="List Paragraph"/>
        <w:numPr>
          <w:ilvl w:val="0"/>
          <w:numId w:val="4"/>
        </w:numPr>
        <w:spacing w:after="80"/>
        <w:ind/>
        <w:rPr/>
      </w:pPr>
      <w:r>
        <w:rPr>
          <w:sz w:val="22"/>
          <w:szCs w:val="22"/>
        </w:rPr>
        <w:t xml:space="preserve">Predicted systolic and diastolic change from baseline.</w:t>
      </w:r>
    </w:p>
    <w:p>
      <w:pPr>
        <w:pBdr/>
        <w:pStyle w:val="List Paragraph"/>
        <w:numPr>
          <w:ilvl w:val="0"/>
          <w:numId w:val="4"/>
        </w:numPr>
        <w:spacing w:after="80"/>
        <w:ind/>
        <w:rPr/>
      </w:pPr>
      <w:r>
        <w:rPr>
          <w:sz w:val="22"/>
          <w:szCs w:val="22"/>
        </w:rPr>
        <w:t xml:space="preserve">Estimated final systolic and diastolic blood pressure post-treatment.</w:t>
      </w:r>
    </w:p>
    <w:p>
      <w:pPr>
        <w:pBdr/>
        <w:pStyle w:val="Normal"/>
        <w:spacing w:after="200"/>
        <w:ind/>
        <w:rPr/>
      </w:pPr>
    </w:p>
    <w:p>
      <w:pPr>
        <w:pBdr>
          <w:bottom w:val="single" w:color="2E75B6" w:sz="6" w:space="1"/>
        </w:pBdr>
        <w:pStyle w:val="Heading 1"/>
        <w:spacing w:before="280" w:after="120"/>
        <w:ind/>
        <w:rPr/>
      </w:pPr>
      <w:r>
        <w:rPr>
          <w:b/>
          <w:bCs/>
          <w:color w:val="1F3864"/>
          <w:sz w:val="32"/>
          <w:szCs w:val="32"/>
        </w:rPr>
        <w:t xml:space="preserve">Conclusion</w:t>
      </w:r>
    </w:p>
    <w:p>
      <w:pPr>
        <w:pBdr/>
        <w:pStyle w:val="Normal"/>
        <w:spacing w:after="100"/>
        <w:ind/>
        <w:rPr/>
      </w:pPr>
      <w:r>
        <w:rPr>
          <w:sz w:val="22"/>
          <w:szCs w:val="22"/>
        </w:rPr>
        <w:t xml:space="preserve">The Bisoprolol project successfully demonstrates that data mining and regression-based machine learning can extract clinically meaningful insights from cardiovascular trial data. The dose-response patterns are clearly captured, and the predictive model provides a practical tool for estimating treatment outcomes based on individual patient baselines.</w:t>
      </w:r>
    </w:p>
    <w:p>
      <w:pPr>
        <w:pBdr/>
        <w:pStyle w:val="Normal"/>
        <w:spacing w:after="100"/>
        <w:ind/>
        <w:rPr/>
      </w:pPr>
      <w:r>
        <w:rPr>
          <w:sz w:val="22"/>
          <w:szCs w:val="22"/>
        </w:rPr>
        <w:t xml:space="preserve">The work highlights the value of combining exploratory visualization with supervised learning in clinical research, enabling both population-level understanding and individualized prediction.</w:t>
      </w:r>
    </w:p>
    <w:sectPr>
      <w:headerReference w:type="default" r:id="rId1"/>
      <w:footerReference w:type="default" r:id="rId2"/>
      <w:type w:val="nextPage"/>
      <w:pgSz w:w="12240" w:h="15840"/>
      <w:pgMar w:top="1080" w:right="1260" w:bottom="1080" w:left="126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top w:val="single" w:color="2E75B6" w:sz="4" w:space="1"/>
      </w:pBdr>
      <w:pStyle w:val="Normal"/>
      <w:spacing w:before="120"/>
      <w:ind/>
      <w:jc w:val="left"/>
      <w:rPr/>
    </w:pPr>
    <w:r>
      <w:rPr>
        <w:color w:val="7F7F7F"/>
        <w:sz w:val="18"/>
        <w:szCs w:val="18"/>
      </w:rPr>
      <w:t xml:space="preserve">  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t xml:space="preserve">1</w:t>
    </w:r>
    <w:r>
      <w:rPr>
        <w:color w:val="7F7F7F"/>
        <w:sz w:val="18"/>
        <w:szCs w:val="18"/>
      </w:rPr>
      <w:fldChar w:fldCharType="end"/>
    </w:r>
    <w:r>
      <w:rPr>
        <w:color w:val="7F7F7F"/>
        <w:sz w:val="18"/>
        <w:szCs w:val="18"/>
      </w:rPr>
      <w:instrText xml:space="preserve"> of </w:instrText>
    </w:r>
    <w:r>
      <w:rPr>
        <w:color w:val="7F7F7F"/>
        <w:sz w:val="18"/>
        <w:szCs w:val="18"/>
      </w:rPr>
      <w:fldChar w:fldCharType="begin"/>
    </w:r>
    <w:r>
      <w:rPr>
        <w:color w:val="7F7F7F"/>
        <w:sz w:val="18"/>
        <w:szCs w:val="18"/>
      </w:rPr>
      <w:instrText xml:space="preserve">NUMPAGES</w:instrText>
    </w:r>
    <w:r>
      <w:rPr>
        <w:color w:val="7F7F7F"/>
        <w:sz w:val="18"/>
        <w:szCs w:val="18"/>
      </w:rPr>
      <w:fldChar w:fldCharType="separate"/>
    </w:r>
    <w:r>
      <w:rPr/>
      <w:t xml:space="preserve">3</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bottom w:val="single" w:color="2E75B6" w:sz="4" w:space="1"/>
      </w:pBdr>
      <w:pStyle w:val="Normal"/>
      <w:spacing w:after="160"/>
      <w:ind/>
      <w:rPr/>
    </w:pPr>
    <w:r>
      <w:rPr>
        <w:i/>
        <w:iCs/>
        <w:color w:val="7F7F7F"/>
        <w:sz w:val="18"/>
        <w:szCs w:val="18"/>
      </w:rPr>
      <w:t xml:space="preserve">Bisoprolol Clinical Data Analysis  |  Project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nsid w:val="179598B9"/>
    <w:lvl w:ilvl="0">
      <w:start w:val="0"/>
      <w:numFmt w:val="bullet"/>
      <w:suff w:val="tab"/>
      <w:lvlText w:val="•"/>
      <w:pPr>
        <w:pBdr/>
        <w:spacing/>
        <w:ind w:left="720" w:hanging="360"/>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link w:val="Footnote Text Char"/>
    <w:rPr>
      <w:color w:val="0563C1"/>
      <w:u w:val="single"/>
    </w:rPr>
  </w:style>
  <w:style w:type="character" w:styleId="Footnote Text Char">
    <w:name w:val="Footnote Text Char"/>
    <w:basedOn w:val="Default Paragraph Font"/>
    <w:link w:val="Endnote Text Char"/>
    <w:rPr>
      <w:sz w:val="20"/>
      <w:szCs w:val="20"/>
    </w:rPr>
  </w:style>
  <w:style w:type="character" w:styleId="Endnote Text Char">
    <w:name w:val="Endnote Text Char"/>
    <w:basedOn w:val="Default Paragraph Font"/>
    <w:link w:val="Endnote Text"/>
    <w:rPr>
      <w:sz w:val="20"/>
      <w:szCs w:val="20"/>
    </w:rPr>
  </w:style>
  <w:style w:type="paragraph" w:styleId="Endnote Text">
    <w:name w:val="Endnote Text"/>
    <w:basedOn w:val="Normal"/>
    <w:next w:val="Endnote Text"/>
    <w:pPr>
      <w:pBdr/>
      <w:spacing w:after="0" w:line="240" w:lineRule="auto"/>
      <w:ind/>
    </w:pPr>
    <w:rPr>
      <w:sz w:val="20"/>
      <w:szCs w:val="20"/>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Endnote Reference">
    <w:name w:val="Endnote Reference"/>
    <w:basedOn w:val="Default Paragraph Font"/>
    <w:rPr>
      <w:vertAlign w:val="superscript"/>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numbering" Target="numbering.xml" /><Relationship Id="rId2" Type="http://schemas.openxmlformats.org/officeDocument/2006/relationships/footer" Target="footer2.xml" /><Relationship Id="rId1" Type="http://schemas.openxmlformats.org/officeDocument/2006/relationships/header" Target="header1.xml" /></Relationships>
</file>