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Arial" w:hAnsi="Arial" w:eastAsia="Arial"/>
          <w:b/>
          <w:color w:val="A33B32"/>
          <w:sz w:val="17"/>
        </w:rPr>
        <w:t>FICTIONAL PRACTICE INVOICE  •  NOT FOR PAYMENT</w:t>
      </w:r>
    </w:p>
    <w:p>
      <w:pPr>
        <w:keepNext/>
        <w:spacing w:before="0" w:after="60" w:line="240" w:lineRule="auto"/>
        <w:jc w:val="center"/>
      </w:pPr>
      <w:r>
        <w:rPr>
          <w:rFonts w:ascii="Arial" w:hAnsi="Arial" w:eastAsia="Arial"/>
          <w:b/>
          <w:color w:val="000000"/>
          <w:sz w:val="48"/>
        </w:rPr>
        <w:t>Practice Invoice</w:t>
      </w:r>
    </w:p>
    <w:p>
      <w:pPr>
        <w:keepNext/>
        <w:spacing w:before="0" w:after="200" w:line="259" w:lineRule="auto"/>
        <w:jc w:val="center"/>
      </w:pPr>
      <w:r>
        <w:rPr>
          <w:rFonts w:ascii="Arial" w:hAnsi="Arial" w:eastAsia="Arial"/>
          <w:b/>
          <w:color w:val="000000"/>
          <w:sz w:val="28"/>
        </w:rPr>
        <w:t>GreenTrail IT Services LLP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B58"/>
                <w:sz w:val="16"/>
              </w:rPr>
              <w:t>Invoice Number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D2A33"/>
                <w:sz w:val="18"/>
              </w:rPr>
              <w:t>GT-INV-2026-188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B58"/>
                <w:sz w:val="16"/>
              </w:rPr>
              <w:t>Invoice Date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D2A33"/>
                <w:sz w:val="18"/>
              </w:rPr>
              <w:t>21 October 2026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B58"/>
                <w:sz w:val="16"/>
              </w:rPr>
              <w:t>Due Date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D2A33"/>
                <w:sz w:val="18"/>
              </w:rPr>
              <w:t>15 November 2026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B58"/>
                <w:sz w:val="16"/>
              </w:rPr>
              <w:t>Currency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D2A33"/>
                <w:sz w:val="18"/>
              </w:rPr>
              <w:t>INR</w:t>
            </w:r>
          </w:p>
        </w:tc>
      </w:tr>
    </w:tbl>
    <w:p>
      <w:pPr>
        <w:spacing w:before="0"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112"/>
            <w:vAlign w:val="center"/>
            <w:shd w:fill="173B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936"/>
            <w:vAlign w:val="center"/>
            <w:shd w:fill="173B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656"/>
            <w:vAlign w:val="center"/>
            <w:shd w:fill="173B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1440"/>
            <w:vAlign w:val="center"/>
            <w:shd w:fill="173B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Cloud backup annual plan (user licence)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2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₹4,500.00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/>
                <w:color w:val="1D2A33"/>
                <w:sz w:val="19"/>
              </w:rPr>
              <w:t>₹9,000.00</w:t>
            </w:r>
          </w:p>
        </w:tc>
      </w:tr>
      <w:tr>
        <w:tc>
          <w:tcPr>
            <w:tcW w:type="dxa" w:w="5112"/>
            <w:vAlign w:val="center"/>
            <w:shd w:fill="F7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Data migration service (one-time)</w:t>
            </w:r>
          </w:p>
        </w:tc>
        <w:tc>
          <w:tcPr>
            <w:tcW w:type="dxa" w:w="936"/>
            <w:vAlign w:val="center"/>
            <w:shd w:fill="F7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1</w:t>
            </w:r>
          </w:p>
        </w:tc>
        <w:tc>
          <w:tcPr>
            <w:tcW w:type="dxa" w:w="1656"/>
            <w:vAlign w:val="center"/>
            <w:shd w:fill="F7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₹1,200.00</w:t>
            </w:r>
          </w:p>
        </w:tc>
        <w:tc>
          <w:tcPr>
            <w:tcW w:type="dxa" w:w="1440"/>
            <w:vAlign w:val="center"/>
            <w:shd w:fill="F7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/>
                <w:color w:val="1D2A33"/>
                <w:sz w:val="19"/>
              </w:rPr>
              <w:t>₹1,200.00</w:t>
            </w:r>
          </w:p>
        </w:tc>
      </w:tr>
    </w:tbl>
    <w:p>
      <w:pPr>
        <w:spacing w:before="140" w:after="40" w:line="259" w:lineRule="auto"/>
        <w:jc w:val="right"/>
      </w:pPr>
      <w:r>
        <w:rPr>
          <w:rFonts w:ascii="Arial" w:hAnsi="Arial" w:eastAsia="Arial"/>
          <w:b w:val="0"/>
          <w:color w:val="1D2A33"/>
          <w:sz w:val="19"/>
        </w:rPr>
        <w:t>Subtotal  ₹10,200.00</w:t>
      </w:r>
    </w:p>
    <w:p>
      <w:pPr>
        <w:spacing w:before="0" w:after="40" w:line="259" w:lineRule="auto"/>
        <w:jc w:val="right"/>
      </w:pPr>
      <w:r>
        <w:rPr>
          <w:rFonts w:ascii="Arial" w:hAnsi="Arial" w:eastAsia="Arial"/>
          <w:b w:val="0"/>
          <w:color w:val="1D2A33"/>
          <w:sz w:val="19"/>
        </w:rPr>
        <w:t>CGST (9%)  ₹918.00</w:t>
      </w:r>
    </w:p>
    <w:p>
      <w:pPr>
        <w:spacing w:before="0" w:after="100" w:line="259" w:lineRule="auto"/>
        <w:jc w:val="right"/>
      </w:pPr>
      <w:r>
        <w:rPr>
          <w:rFonts w:ascii="Arial" w:hAnsi="Arial" w:eastAsia="Arial"/>
          <w:b w:val="0"/>
          <w:color w:val="1D2A33"/>
          <w:sz w:val="19"/>
        </w:rPr>
        <w:t>SGST (9%)  ₹918.00</w:t>
      </w:r>
    </w:p>
    <w:p>
      <w:pPr>
        <w:spacing w:before="20" w:after="200" w:line="259" w:lineRule="auto"/>
        <w:jc w:val="right"/>
      </w:pPr>
      <w:r>
        <w:rPr>
          <w:rFonts w:ascii="Arial" w:hAnsi="Arial" w:eastAsia="Arial"/>
          <w:b/>
          <w:color w:val="173B58"/>
          <w:sz w:val="30"/>
        </w:rPr>
        <w:t>TOTAL DUE  ₹12,036.00</w:t>
      </w:r>
    </w:p>
    <w:p>
      <w:pPr>
        <w:spacing w:before="80" w:after="0" w:line="252" w:lineRule="auto"/>
        <w:jc w:val="center"/>
      </w:pPr>
      <w:r>
        <w:rPr>
          <w:rFonts w:ascii="Arial" w:hAnsi="Arial" w:eastAsia="Arial"/>
          <w:b w:val="0"/>
          <w:color w:val="5D6B75"/>
          <w:sz w:val="17"/>
        </w:rPr>
        <w:t>Fictional sample content for software demonstration. No payment is due.</w:t>
      </w:r>
    </w:p>
    <w:sectPr w:rsidR="00FC693F" w:rsidRPr="0006063C" w:rsidSect="00034616"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1D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