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TAQRIZ</w:t>
      </w:r>
    </w:p>
    <w:p>
      <w:pPr>
        <w:spacing w:after="120" w:line="360"/>
        <w:jc w:val="center"/>
      </w:pPr>
      <w:r>
        <w:rPr>
          <w:rFonts w:ascii="Times New Roman" w:cs="Times New Roman" w:eastAsia="Times New Roman" w:hAnsi="Times New Roman"/>
          <w:b w:val="false"/>
          <w:bCs w:val="false"/>
          <w:sz w:val="28"/>
          <w:szCs w:val="28"/>
        </w:rPr>
        <w:t xml:space="preserve">[Muallif F.I.Sh.]ning Lingvistika (o'zbek tili) magistratura mutaxassisligi talabalari uchun mo'ljallangan "Xorijiy sotsiolingvistika" darsligiga</w:t>
      </w:r>
    </w:p>
    <w:p>
      <w:pPr>
        <w:spacing w:line="360"/>
      </w:pPr>
    </w:p>
    <w:p>
      <w:pPr>
        <w:spacing w:line="360"/>
        <w:ind w:firstLine="709"/>
        <w:jc w:val="both"/>
      </w:pPr>
      <w:r>
        <w:rPr>
          <w:rFonts w:ascii="Times New Roman" w:cs="Times New Roman" w:eastAsia="Times New Roman" w:hAnsi="Times New Roman"/>
          <w:sz w:val="28"/>
          <w:szCs w:val="28"/>
        </w:rPr>
        <w:t xml:space="preserve">Taqrizga taqdim etilgan "Xorijiy sotsiolingvistika" darsligi Lingvistika (o'zbek tili) mutaxassisligi bo'yicha magistratura o'quv rejasidagi tegishli fan dasturi asosida tayyorlangan. Darslik 30 soatlik ma'ruza, 30 soatlik amaliy mashg'ulot va 60 soatlik mustaqil ta'limni qamrab oladi hamda kirish, ikki qism, mustaqil ta'lim topshiriqlari, glossariy va adabiyotlar ro'yxatidan iborat.</w:t>
      </w:r>
    </w:p>
    <w:p>
      <w:pPr>
        <w:spacing w:line="360"/>
        <w:ind w:firstLine="709"/>
        <w:jc w:val="both"/>
      </w:pPr>
      <w:r>
        <w:rPr>
          <w:rFonts w:ascii="Times New Roman" w:cs="Times New Roman" w:eastAsia="Times New Roman" w:hAnsi="Times New Roman"/>
          <w:sz w:val="28"/>
          <w:szCs w:val="28"/>
        </w:rPr>
        <w:t xml:space="preserve">Ishning dolzarbligi shubhasiz. O'zbekistonda ko'p tillilik muhiti, davlat tili siyosatini amalga oshirish, lotin yozuviga asoslangan alifboni takomillashtirish, yoshlar nutqida kechayotgan tez o'zgarishlar sotsiolingvistik tadqiqotlarga bo'lgan ehtiyojni kuchaytirmoqda. Shu bilan birga, o'zbek tilida jahon sotsiolingvistikasining asosiy nazariyalarini tizimli bayon qiluvchi o'quv adabiyotlari hali yetarli emas. Magistrantlar asosan ingliz va rus tilidagi manbalardan foydalanishga majbur. Taqrizga taqdim etilgan darslik aynan shu bo'shliqni to'ldirishga qaratilgan.</w:t>
      </w:r>
    </w:p>
    <w:p>
      <w:pPr>
        <w:spacing w:line="360"/>
        <w:ind w:firstLine="709"/>
        <w:jc w:val="both"/>
      </w:pPr>
      <w:r>
        <w:rPr>
          <w:rFonts w:ascii="Times New Roman" w:cs="Times New Roman" w:eastAsia="Times New Roman" w:hAnsi="Times New Roman"/>
          <w:sz w:val="28"/>
          <w:szCs w:val="28"/>
        </w:rPr>
        <w:t xml:space="preserve">Darslikning birinchi qismida 15 ta ma'ruza matni berilgan. Muallif sotsiolingvistikaning fan sifatida shakllanishidan boshlab, uning ilmiy ildizlari (F. de Sossyur, A. Meye, Sh. Balli), variatsion sotsiolingvistika (U. Labov), Britaniya maktabi (B. Bernstein, P. Trudgill, L. Milroy), kommunikatsiya etnografiyasi va interaksion sotsiolingvistika (D. Hymes, J. Gumperz), rus va Praga maktablari, bilingvizm, diglossiya, kod almashinuvi, til va gender, til siyosati, til kontaktlari hamda zamonaviy yo'nalishlargacha bo'lgan masalalarni izchil yoritgan. Mavzularning joylashish tartibi mantiqiy: tarixiy va nazariy asoslardan aniq yo'nalishlarga, so'ngra metodologiyaga o'tiladi.</w:t>
      </w:r>
    </w:p>
    <w:p>
      <w:pPr>
        <w:spacing w:line="360"/>
        <w:ind w:firstLine="709"/>
        <w:jc w:val="both"/>
      </w:pPr>
      <w:r>
        <w:rPr>
          <w:rFonts w:ascii="Times New Roman" w:cs="Times New Roman" w:eastAsia="Times New Roman" w:hAnsi="Times New Roman"/>
          <w:sz w:val="28"/>
          <w:szCs w:val="28"/>
        </w:rPr>
        <w:t xml:space="preserve">Ma'ruza matnlarining ijobiy jihati shundaki, har bir nazariya faqat bayon qilinibgina qolmay, unga bildirilgan tanqidiy fikrlar ham keltirilgan. Masalan, B. Bernsteinning kodlar nazariyasi U. Labovning "defitsit gipotezasi"ga qarshi dalillari bilan birga, D. Tannenning farqlilik yondashuvi D. Cameronning tanqidi bilan birga ko'rib chiqilgan. Bu magistrantlarda ilmiy qarashlarga tanqidiy munosabatni shakllantirishga xizmat qiladi.</w:t>
      </w:r>
    </w:p>
    <w:p>
      <w:pPr>
        <w:spacing w:line="360"/>
        <w:ind w:firstLine="709"/>
        <w:jc w:val="both"/>
      </w:pPr>
      <w:r>
        <w:rPr>
          <w:rFonts w:ascii="Times New Roman" w:cs="Times New Roman" w:eastAsia="Times New Roman" w:hAnsi="Times New Roman"/>
          <w:sz w:val="28"/>
          <w:szCs w:val="28"/>
        </w:rPr>
        <w:t xml:space="preserve">Darslikning eng qimmatli jihatlaridan biri, bizningcha, xorijiy nazariyalarning o'zbek tili materialiga tatbiq etilishidir. Har bir ma'ruza o'zbek tili misollari va O'zbekistondagi til vaziyatiga oid mulohazalar bilan yakunlanadi: hozirgi zamon shakllari (</w:t>
      </w:r>
      <w:r>
        <w:rPr>
          <w:rFonts w:ascii="Times New Roman" w:cs="Times New Roman" w:eastAsia="Times New Roman" w:hAnsi="Times New Roman"/>
          <w:i/>
          <w:iCs/>
          <w:sz w:val="28"/>
          <w:szCs w:val="28"/>
        </w:rPr>
        <w:t xml:space="preserve">bormoqda ~ boryapti ~ borvotti</w:t>
      </w:r>
      <w:r>
        <w:rPr>
          <w:rFonts w:ascii="Times New Roman" w:cs="Times New Roman" w:eastAsia="Times New Roman" w:hAnsi="Times New Roman"/>
          <w:sz w:val="28"/>
          <w:szCs w:val="28"/>
        </w:rPr>
        <w:t xml:space="preserve">) lingvistik o'zgaruvchi sifatida, mahalla va gap-gashtaklar zich ijtimoiy tarmoq namunasi sifatida, o'zbek-rus kod almashinuvi matritsa tili modeli asosida tahlil qilingan. Y.D. Polivanovning o'zbek tilshunosligiga qo'shgan hissasiga alohida to'xtalingani ham tahsinga loyiq.</w:t>
      </w:r>
    </w:p>
    <w:p>
      <w:pPr>
        <w:spacing w:line="360"/>
        <w:ind w:firstLine="709"/>
        <w:jc w:val="both"/>
      </w:pPr>
      <w:r>
        <w:rPr>
          <w:rFonts w:ascii="Times New Roman" w:cs="Times New Roman" w:eastAsia="Times New Roman" w:hAnsi="Times New Roman"/>
          <w:sz w:val="28"/>
          <w:szCs w:val="28"/>
        </w:rPr>
        <w:t xml:space="preserve">Darslikda atamalardan foydalanish izchil. Xorijiy atamalarning o'zbekcha ekvivalentlari asosli tanlangan, zarur hollarda ingliz va rus tilidagi asl shakli qavs ichida berilgan. Darslik oxiridagi uch tilli glossariy ham magistrantlar uchun foydali qo'llanma bo'lib xizmat qiladi.</w:t>
      </w:r>
    </w:p>
    <w:p>
      <w:pPr>
        <w:spacing w:line="360"/>
        <w:jc w:val="both"/>
      </w:pPr>
      <w:r>
        <w:rPr>
          <w:rFonts w:ascii="Times New Roman" w:cs="Times New Roman" w:eastAsia="Times New Roman" w:hAnsi="Times New Roman"/>
          <w:sz w:val="28"/>
          <w:szCs w:val="28"/>
        </w:rPr>
        <w:t xml:space="preserve">Shu bilan birga, darslik yuzasidan quyidagi taklif va mulohazalarni bildirmoqchimiz:</w:t>
      </w:r>
    </w:p>
    <w:p>
      <w:pPr>
        <w:pStyle w:val="ListParagraph"/>
        <w:numPr>
          <w:ilvl w:val="0"/>
          <w:numId w:val="2"/>
        </w:numPr>
        <w:spacing w:line="360"/>
        <w:jc w:val="both"/>
      </w:pPr>
      <w:r>
        <w:rPr>
          <w:rFonts w:ascii="Times New Roman" w:cs="Times New Roman" w:eastAsia="Times New Roman" w:hAnsi="Times New Roman"/>
          <w:sz w:val="28"/>
          <w:szCs w:val="28"/>
        </w:rPr>
        <w:t xml:space="preserve">Darslikda xorijiy nazariyalar batafsil yoritilgan, ammo o'zbek tilshunosligidagi sotsiolingvistik tadqiqotlarga murojaat kam. Mahalliy olimlarning sotsiolingvistika, nutq madaniyati va til siyosatiga oid ishlariga havolalar qo'shilsa, darslikning milliy tilshunoslik bilan aloqasi yanada mustahkamlanadi.</w:t>
      </w:r>
    </w:p>
    <w:p>
      <w:pPr>
        <w:pStyle w:val="ListParagraph"/>
        <w:numPr>
          <w:ilvl w:val="0"/>
          <w:numId w:val="2"/>
        </w:numPr>
        <w:spacing w:line="360"/>
        <w:jc w:val="both"/>
      </w:pPr>
      <w:r>
        <w:rPr>
          <w:rFonts w:ascii="Times New Roman" w:cs="Times New Roman" w:eastAsia="Times New Roman" w:hAnsi="Times New Roman"/>
          <w:sz w:val="28"/>
          <w:szCs w:val="28"/>
        </w:rPr>
        <w:t xml:space="preserve">Ayrim ma'ruzalarda (masalan, 12 va 13-ma'ruzalarda) keltirilgan tarixiy sanalar, me'yoriy hujjatlar nomlari va kam sonli jamoalarga oid ma'lumotlarni rasmiy manbalar bilan yana bir bor solishtirib chiqish maqsadga muvofiq.</w:t>
      </w:r>
    </w:p>
    <w:p>
      <w:pPr>
        <w:pStyle w:val="ListParagraph"/>
        <w:numPr>
          <w:ilvl w:val="0"/>
          <w:numId w:val="2"/>
        </w:numPr>
        <w:spacing w:line="360"/>
        <w:jc w:val="both"/>
      </w:pPr>
      <w:r>
        <w:rPr>
          <w:rFonts w:ascii="Times New Roman" w:cs="Times New Roman" w:eastAsia="Times New Roman" w:hAnsi="Times New Roman"/>
          <w:sz w:val="28"/>
          <w:szCs w:val="28"/>
        </w:rPr>
        <w:t xml:space="preserve">Nazariy materialni ko'rgazmali qilish uchun sxema va jadvallar qo'shish tavsiya etiladi (masalan, Fishmanning bilingvizm va diglossiya modeli, Haugenning til rejalashtirish jadvali, sotsiolingvistika maktablarining xronologik jadvali).</w:t>
      </w:r>
    </w:p>
    <w:p>
      <w:pPr>
        <w:pStyle w:val="ListParagraph"/>
        <w:numPr>
          <w:ilvl w:val="0"/>
          <w:numId w:val="2"/>
        </w:numPr>
        <w:spacing w:line="360"/>
        <w:jc w:val="both"/>
      </w:pPr>
      <w:r>
        <w:rPr>
          <w:rFonts w:ascii="Times New Roman" w:cs="Times New Roman" w:eastAsia="Times New Roman" w:hAnsi="Times New Roman"/>
          <w:sz w:val="28"/>
          <w:szCs w:val="28"/>
        </w:rPr>
        <w:t xml:space="preserve">Darslik tuzilishi hozirgi ko'rinishida o'quv-uslubiy majmuaga yaqin: ma'ruzalar mavzular bo'yicha, amaliy mashg'ulotlar esa dars ishlanmalari shaklida berilgan. Darslik maqomi uchun materialni boblar va paragraflar tizimiga keltirish, amaliy mashg'ulotlarning vaqt taqsimoti va baholash jadvallarini alohida uslubiy qo'llanmaga o'tkazish maqsadga muvofiq.</w:t>
      </w:r>
    </w:p>
    <w:p>
      <w:pPr>
        <w:spacing w:line="360"/>
        <w:ind w:firstLine="709"/>
        <w:jc w:val="both"/>
      </w:pPr>
      <w:r>
        <w:rPr>
          <w:rFonts w:ascii="Times New Roman" w:cs="Times New Roman" w:eastAsia="Times New Roman" w:hAnsi="Times New Roman"/>
          <w:sz w:val="28"/>
          <w:szCs w:val="28"/>
        </w:rPr>
        <w:t xml:space="preserve">Bildirilgan mulohazalar ishning umumiy ijobiy bahosiga ta'sir qilmaydi va ularni bartaraf etish darslik sifatini yanada oshiradi.</w:t>
      </w:r>
    </w:p>
    <w:p>
      <w:pPr>
        <w:spacing w:line="360"/>
        <w:ind w:firstLine="709"/>
        <w:jc w:val="both"/>
      </w:pPr>
      <w:r>
        <w:rPr>
          <w:rFonts w:ascii="Times New Roman" w:cs="Times New Roman" w:eastAsia="Times New Roman" w:hAnsi="Times New Roman"/>
          <w:b/>
          <w:bCs/>
          <w:sz w:val="28"/>
          <w:szCs w:val="28"/>
        </w:rPr>
        <w:t xml:space="preserve">Xulosa.</w:t>
      </w:r>
      <w:r>
        <w:rPr>
          <w:rFonts w:ascii="Times New Roman" w:cs="Times New Roman" w:eastAsia="Times New Roman" w:hAnsi="Times New Roman"/>
          <w:sz w:val="28"/>
          <w:szCs w:val="28"/>
        </w:rPr>
        <w:t xml:space="preserve"> [Muallif F.I.Sh.]ning "Xorijiy sotsiolingvistika" darsligi mazmuni, tuzilishi va ilmiy-uslubiy saviyasi jihatidan fan dasturi talablariga javob beradi. Unda xorijiy sotsiolingvistikaning asosiy nazariyalari tizimli bayon qilingan va o'zbek tili materialiga tatbiq etilgan. Taqrizda bildirilgan mulohazalar inobatga olingan holda darslikni nashrga tavsiya etish mumkin, deb hisoblaymiz.</w:t>
      </w:r>
    </w:p>
    <w:p>
      <w:pPr>
        <w:spacing w:line="360"/>
      </w:pPr>
    </w:p>
    <w:p>
      <w:pPr>
        <w:spacing w:line="360"/>
        <w:jc w:val="both"/>
      </w:pPr>
      <w:r>
        <w:rPr>
          <w:rFonts w:ascii="Times New Roman" w:cs="Times New Roman" w:eastAsia="Times New Roman" w:hAnsi="Times New Roman"/>
          <w:b/>
          <w:bCs/>
          <w:sz w:val="28"/>
          <w:szCs w:val="28"/>
        </w:rPr>
        <w:t xml:space="preserve">Taqrizchi:</w:t>
      </w:r>
    </w:p>
    <w:p>
      <w:pPr>
        <w:spacing w:line="360"/>
        <w:jc w:val="both"/>
      </w:pPr>
      <w:r>
        <w:rPr>
          <w:rFonts w:ascii="Times New Roman" w:cs="Times New Roman" w:eastAsia="Times New Roman" w:hAnsi="Times New Roman"/>
          <w:sz w:val="28"/>
          <w:szCs w:val="28"/>
        </w:rPr>
        <w:t xml:space="preserve">[F.I.Sh.],</w:t>
      </w:r>
    </w:p>
    <w:p>
      <w:pPr>
        <w:spacing w:line="360"/>
        <w:jc w:val="both"/>
      </w:pPr>
      <w:r>
        <w:rPr>
          <w:rFonts w:ascii="Times New Roman" w:cs="Times New Roman" w:eastAsia="Times New Roman" w:hAnsi="Times New Roman"/>
          <w:sz w:val="28"/>
          <w:szCs w:val="28"/>
        </w:rPr>
        <w:t xml:space="preserve">[OTM nomi] [kafedra nomi] kafedrasi professori, filologiya fanlari doktori</w:t>
      </w:r>
    </w:p>
    <w:p>
      <w:pPr>
        <w:spacing w:line="360"/>
        <w:jc w:val="both"/>
      </w:pPr>
      <w:r>
        <w:rPr>
          <w:rFonts w:ascii="Times New Roman" w:cs="Times New Roman" w:eastAsia="Times New Roman" w:hAnsi="Times New Roman"/>
          <w:sz w:val="28"/>
          <w:szCs w:val="28"/>
        </w:rPr>
        <w:t xml:space="preserve">Imzo: ____________</w:t>
      </w:r>
    </w:p>
    <w:p>
      <w:pPr>
        <w:spacing w:line="360"/>
      </w:pPr>
    </w:p>
    <w:p>
      <w:pPr>
        <w:spacing w:line="360"/>
        <w:jc w:val="both"/>
      </w:pPr>
      <w:r>
        <w:rPr>
          <w:rFonts w:ascii="Times New Roman" w:cs="Times New Roman" w:eastAsia="Times New Roman" w:hAnsi="Times New Roman"/>
          <w:sz w:val="28"/>
          <w:szCs w:val="28"/>
        </w:rPr>
        <w:t xml:space="preserve">[Taqrizchi F.I.Sh.]ning imzosini tasdiqlayman:</w:t>
      </w:r>
    </w:p>
    <w:p>
      <w:pPr>
        <w:spacing w:line="360"/>
        <w:jc w:val="both"/>
      </w:pPr>
      <w:r>
        <w:rPr>
          <w:rFonts w:ascii="Times New Roman" w:cs="Times New Roman" w:eastAsia="Times New Roman" w:hAnsi="Times New Roman"/>
          <w:sz w:val="28"/>
          <w:szCs w:val="28"/>
        </w:rPr>
        <w:t xml:space="preserve">[OTM] kadrlar bo'limi boshlig'i ____________ [F.I.Sh.]</w:t>
      </w:r>
    </w:p>
    <w:p>
      <w:pPr>
        <w:spacing w:line="360"/>
        <w:jc w:val="both"/>
      </w:pPr>
      <w:r>
        <w:rPr>
          <w:rFonts w:ascii="Times New Roman" w:cs="Times New Roman" w:eastAsia="Times New Roman" w:hAnsi="Times New Roman"/>
          <w:sz w:val="28"/>
          <w:szCs w:val="28"/>
        </w:rPr>
        <w:t xml:space="preserve">"___" __________ 2026-yil</w:t>
      </w:r>
    </w:p>
    <w:p>
      <w:pPr>
        <w:spacing w:line="360"/>
        <w:jc w:val="both"/>
      </w:pPr>
      <w:r>
        <w:rPr>
          <w:rFonts w:ascii="Times New Roman" w:cs="Times New Roman" w:eastAsia="Times New Roman" w:hAnsi="Times New Roman"/>
          <w:sz w:val="28"/>
          <w:szCs w:val="28"/>
        </w:rPr>
        <w:t xml:space="preserve">M.O'.</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2026-09-26T11:08:08.043Z</dcterms:created>
  <dcterms:modified xsi:type="dcterms:W3CDTF">2026-09-26T11:08:08.053Z</dcterms:modified>
</cp:coreProperties>
</file>

<file path=docProps/custom.xml><?xml version="1.0" encoding="utf-8"?>
<Properties xmlns="http://schemas.openxmlformats.org/officeDocument/2006/custom-properties" xmlns:vt="http://schemas.openxmlformats.org/officeDocument/2006/docPropsVTypes"/>
</file>