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1-MA’RUZA. TILSHUNOSLIKDA ANTROPOSENTRIZMNING SHAKLLANISHI</w:t>
      </w:r>
    </w:p>
    <w:p>
      <w:pPr>
        <w:keepNext/>
        <w:spacing w:after="100" w:before="240"/>
        <w:jc w:val="center"/>
      </w:pPr>
      <w:r>
        <w:rPr>
          <w:b/>
          <w:bCs/>
        </w:rPr>
        <w:t xml:space="preserve">Reja:</w:t>
      </w:r>
    </w:p>
    <w:p>
      <w:pPr>
        <w:pStyle w:val="ListParagraph"/>
        <w:numPr>
          <w:ilvl w:val="0"/>
          <w:numId w:val="2"/>
        </w:numPr>
        <w:spacing w:after="40"/>
        <w:jc w:val="left"/>
      </w:pPr>
      <w:r>
        <w:t xml:space="preserve">Tilshunoslik ilmiy paradigmalarining almashinuvi: qiyosiy-tarixiy, sistem-struktur va antroposentrik paradigmalar.</w:t>
      </w:r>
    </w:p>
    <w:p>
      <w:pPr>
        <w:pStyle w:val="ListParagraph"/>
        <w:numPr>
          <w:ilvl w:val="0"/>
          <w:numId w:val="2"/>
        </w:numPr>
        <w:spacing w:after="40"/>
        <w:jc w:val="left"/>
      </w:pPr>
      <w:r>
        <w:t xml:space="preserve">Antroposentrizmning falsafiy va lingvistik ildizlari: V. fon Gumboldt ta’limoti.</w:t>
      </w:r>
    </w:p>
    <w:p>
      <w:pPr>
        <w:pStyle w:val="ListParagraph"/>
        <w:numPr>
          <w:ilvl w:val="0"/>
          <w:numId w:val="2"/>
        </w:numPr>
        <w:spacing w:after="40"/>
        <w:jc w:val="left"/>
      </w:pPr>
      <w:r>
        <w:t xml:space="preserve">Neogumboldtchilik va Sepir–Uorf gipotezasi.</w:t>
      </w:r>
    </w:p>
    <w:p>
      <w:pPr>
        <w:pStyle w:val="ListParagraph"/>
        <w:numPr>
          <w:ilvl w:val="0"/>
          <w:numId w:val="2"/>
        </w:numPr>
        <w:spacing w:after="40"/>
        <w:jc w:val="left"/>
      </w:pPr>
      <w:r>
        <w:t xml:space="preserve">«Til shaxsi» nazariyasi (Yu.N. Karaulov).</w:t>
      </w:r>
    </w:p>
    <w:p>
      <w:pPr>
        <w:pStyle w:val="ListParagraph"/>
        <w:numPr>
          <w:ilvl w:val="0"/>
          <w:numId w:val="2"/>
        </w:numPr>
        <w:spacing w:after="40"/>
        <w:jc w:val="left"/>
      </w:pPr>
      <w:r>
        <w:t xml:space="preserve">Antroposentrik tilshunoslikning asosiy yo‘nalishlari va o‘zbek tilshunosligidagi tadqiqotlar.</w:t>
      </w:r>
    </w:p>
    <w:p>
      <w:pPr>
        <w:shd w:fill="EAF1F8" w:color="auto" w:val="clear"/>
        <w:spacing w:after="200" w:before="240"/>
        <w:jc w:val="both"/>
      </w:pPr>
      <w:r>
        <w:rPr>
          <w:b/>
          <w:bCs/>
        </w:rPr>
        <w:t xml:space="preserve">Tayanch tushunchalar: </w:t>
      </w:r>
      <w:r>
        <w:rPr>
          <w:i/>
          <w:iCs/>
        </w:rPr>
        <w:t xml:space="preserve">paradigma, antroposentrizm, energeia, ergon, xalq ruhi, lingvistik nisbiylik, til shaxsi, leksikon, tezaurus, pragmatikon, olam manzarasi.</w:t>
      </w:r>
    </w:p>
    <w:p>
      <w:pPr>
        <w:pStyle w:val="Heading2"/>
      </w:pPr>
      <w:r>
        <w:t xml:space="preserve">1. Tilshunoslik ilmiy paradigmalarining almashinuvi</w:t>
      </w:r>
    </w:p>
    <w:p>
      <w:pPr>
        <w:spacing w:after="80"/>
        <w:ind w:firstLine="709"/>
        <w:jc w:val="both"/>
      </w:pPr>
      <w:r>
        <w:t xml:space="preserve">«Paradigma» atamasi fanga amerikalik fan tarixchisi Tomas Kun tomonidan «Ilmiy inqiloblar strukturasi» (1962) asarida kiritilgan. Kun talqinida paradigma – muayyan davrda ilmiy jamoa tomonidan e’tirof etilgan, muammolarni qo‘yish va hal etish uchun namuna bo‘lib xizmat qiluvchi nazariy qarashlar, metodlar va qadriyatlar majmui. Bir paradigmadan boshqasiga o‘tish «ilmiy inqilob» deb ataladi.</w:t>
      </w:r>
    </w:p>
    <w:p>
      <w:pPr>
        <w:spacing w:after="80"/>
        <w:ind w:firstLine="709"/>
        <w:jc w:val="both"/>
      </w:pPr>
      <w:r>
        <w:t xml:space="preserve">Tilshunoslik tarixida odatda uchta yirik ilmiy paradigma ajratiladi:</w:t>
      </w:r>
    </w:p>
    <w:p>
      <w:pPr>
        <w:pStyle w:val="ListParagraph"/>
        <w:numPr>
          <w:ilvl w:val="0"/>
          <w:numId w:val="3"/>
        </w:numPr>
        <w:spacing w:after="40"/>
        <w:jc w:val="both"/>
      </w:pPr>
      <w:r>
        <w:rPr>
          <w:b/>
          <w:bCs/>
        </w:rPr>
        <w:t xml:space="preserve">Qiyosiy-tarixiy paradigma</w:t>
      </w:r>
      <w:r>
        <w:t xml:space="preserve"> (XIX asr). F. Bopp, R. Rask, Ya. Grimm, A.X. Vostokov asarlari bilan bog‘liq. Asosiy e’tibor tillarning qarindoshligi, umumiy bobotilni tiklash va tillarning tarixiy taraqqiyotiga qaratilgan. Til tabiiy organizm sifatida o‘rganiladi (A. Shleyxer).</w:t>
      </w:r>
    </w:p>
    <w:p>
      <w:pPr>
        <w:pStyle w:val="ListParagraph"/>
        <w:numPr>
          <w:ilvl w:val="0"/>
          <w:numId w:val="3"/>
        </w:numPr>
        <w:spacing w:after="40"/>
        <w:jc w:val="both"/>
      </w:pPr>
      <w:r>
        <w:rPr>
          <w:b/>
          <w:bCs/>
        </w:rPr>
        <w:t xml:space="preserve">Sistem-struktur paradigma</w:t>
      </w:r>
      <w:r>
        <w:t xml:space="preserve"> (XX asrning birinchi yarmi – 1960-yillar). Ferdinand de Sossyurning «Umumiy tilshunoslik kursi» (1916) asosida shakllangan. Til «o‘z-o‘zida va o‘zi uchun» o‘rganiladigan belgilar tizimi sifatida qaraladi; til va nutq, sinxroniya va diaxroniya, sintagmatika va paradigmatika farqlanadi. Praga, Kopengagen, Amerika deskriptiv maktablari shu paradigmaga mansub.</w:t>
      </w:r>
    </w:p>
    <w:p>
      <w:pPr>
        <w:pStyle w:val="ListParagraph"/>
        <w:numPr>
          <w:ilvl w:val="0"/>
          <w:numId w:val="3"/>
        </w:numPr>
        <w:spacing w:after="40"/>
        <w:jc w:val="both"/>
      </w:pPr>
      <w:r>
        <w:rPr>
          <w:b/>
          <w:bCs/>
        </w:rPr>
        <w:t xml:space="preserve">Antroposentrik paradigma</w:t>
      </w:r>
      <w:r>
        <w:t xml:space="preserve"> (XX asrning so‘nggi choragidan hozirgacha). Tadqiqot markaziga til egasi – inson qo‘yiladi. Til inson tafakkuri, ongi, madaniyati, ma’naviy-amaliy faoliyati bilan uzviy bog‘liq hodisa sifatida o‘rganiladi.</w:t>
      </w:r>
    </w:p>
    <w:p>
      <w:pPr>
        <w:spacing w:after="80"/>
        <w:ind w:firstLine="709"/>
        <w:jc w:val="both"/>
      </w:pPr>
      <w:r>
        <w:t xml:space="preserve">Antroposentrik paradigmaning mohiyatini fransuz tilshunosi Emil Benvenistning «Tilda inson» degan iborasi yaxshi ifodalaydi: u «tilda inson va insonda til» munosabatini o‘rganish zarurligini ta’kidlagan. E.S. Kubryakova antroposentrizmni zamonaviy tilshunoslikning yetakchi tamoyillaridan biri sifatida ekspansionizm, funksionalizm va eksplanatorlik (izohlovchilik) bilan bir qatorda ko‘rsatadi.</w:t>
      </w:r>
    </w:p>
    <w:p>
      <w:pPr>
        <w:pBdr>
          <w:left w:val="single" w:color="1F4E79" w:sz="12" w:space="8"/>
        </w:pBdr>
        <w:spacing w:after="120" w:before="80"/>
        <w:ind w:left="709" w:right="709"/>
        <w:jc w:val="both"/>
      </w:pPr>
      <w:r>
        <w:rPr>
          <w:i/>
          <w:iCs/>
        </w:rPr>
        <w:t xml:space="preserve">Antroposentrizm – bu ilmiy ob’ektlarni, avvalo, ularning inson hayotidagi roli, inson faoliyatidagi vazifasi, inson shaxsining rivojlanishi va kamolotidagi ahamiyatiga qarab o‘rganish tamoyilidir (E.S. Kubryakova).</w:t>
      </w:r>
    </w:p>
    <w:p>
      <w:pPr>
        <w:pStyle w:val="Heading2"/>
      </w:pPr>
      <w:r>
        <w:t xml:space="preserve">2. Antroposentrizmning falsafiy va lingvistik ildizlari</w:t>
      </w:r>
    </w:p>
    <w:p>
      <w:pPr>
        <w:spacing w:after="80"/>
        <w:ind w:firstLine="709"/>
        <w:jc w:val="both"/>
      </w:pPr>
      <w:r>
        <w:t xml:space="preserve">Antroposentrizm g‘oyasi qadimgi yunon faylasufi Protagorning «Inson – barcha narsalarning mezonidir» degan qarashiga borib taqaladi. Sharq mutafakkirlari – Forobiy, Beruniy, Ibn Sino, Mahmud Koshg‘ariy, Alisher Navoiy asarlarida ham til, tafakkur va inson ma’naviyati o‘rtasidagi bog‘liqlik haqida qimmatli fikrlar mavjud. Masalan, Alisher Navoiy «Muhokamat ul-lug‘atayn» (1499) asarida turkiy tilning ma’no nozikliklarini ifodalovchi so‘zlarni misol keltirib, til boyligi xalq tafakkuri va madaniyatining ko‘zgusi ekanini ko‘rsatgan. Mahmud Koshg‘ariyning «Devonu lug‘otit turk» (1072–1077) asari esa turkiy xalqlarning hayot tarzi, urf-odatlari, dunyoqarashini so‘zlar orqali aks ettirgan dastlabki lingvokulturologik manba hisoblanadi.</w:t>
      </w:r>
    </w:p>
    <w:p>
      <w:pPr>
        <w:spacing w:after="80"/>
        <w:ind w:firstLine="709"/>
        <w:jc w:val="both"/>
      </w:pPr>
      <w:r>
        <w:t xml:space="preserve">Lingvistik antroposentrizmning bevosita asoschisi nemis olimi </w:t>
      </w:r>
      <w:r>
        <w:rPr>
          <w:b/>
          <w:bCs/>
        </w:rPr>
        <w:t xml:space="preserve">Vilgelm fon Gumboldt</w:t>
      </w:r>
      <w:r>
        <w:t xml:space="preserve"> (1767–1835) hisoblanadi. Uning asosiy g‘oyalari:</w:t>
      </w:r>
    </w:p>
    <w:p>
      <w:pPr>
        <w:pStyle w:val="ListParagraph"/>
        <w:numPr>
          <w:ilvl w:val="0"/>
          <w:numId w:val="3"/>
        </w:numPr>
        <w:spacing w:after="40"/>
        <w:jc w:val="both"/>
      </w:pPr>
      <w:r>
        <w:t xml:space="preserve">Til tayyor mahsulot (ergon) emas, balki faoliyat (energeia)dir.</w:t>
      </w:r>
    </w:p>
    <w:p>
      <w:pPr>
        <w:pStyle w:val="ListParagraph"/>
        <w:numPr>
          <w:ilvl w:val="0"/>
          <w:numId w:val="3"/>
        </w:numPr>
        <w:spacing w:after="40"/>
        <w:jc w:val="both"/>
      </w:pPr>
      <w:r>
        <w:t xml:space="preserve">Har bir til o‘ziga xos «dunyoqarash»ni (Weltansicht) ifodalaydi; tillarning farqi tovush va belgilar farqi emas, balki olamni ko‘rishning farqidir.</w:t>
      </w:r>
    </w:p>
    <w:p>
      <w:pPr>
        <w:pStyle w:val="ListParagraph"/>
        <w:numPr>
          <w:ilvl w:val="0"/>
          <w:numId w:val="3"/>
        </w:numPr>
        <w:spacing w:after="40"/>
        <w:jc w:val="both"/>
      </w:pPr>
      <w:r>
        <w:t xml:space="preserve">«Xalqning tili – uning ruhi, xalqning ruhi – uning tilidir».</w:t>
      </w:r>
    </w:p>
    <w:p>
      <w:pPr>
        <w:pStyle w:val="ListParagraph"/>
        <w:numPr>
          <w:ilvl w:val="0"/>
          <w:numId w:val="3"/>
        </w:numPr>
        <w:spacing w:after="40"/>
        <w:jc w:val="both"/>
      </w:pPr>
      <w:r>
        <w:t xml:space="preserve">Til xalq va olam o‘rtasida turadigan oraliq dunyodir.</w:t>
      </w:r>
    </w:p>
    <w:p>
      <w:pPr>
        <w:spacing w:after="80"/>
        <w:ind w:firstLine="709"/>
        <w:jc w:val="both"/>
      </w:pPr>
      <w:r>
        <w:t xml:space="preserve">Gumboldt g‘oyalarini rus olimi A.A. Potebnya (1835–1891) davom ettirib, so‘zning «ichki shakli» haqidagi ta’limotni yaratdi. Potebnyaning «Fikr va til» (1862) asari tafakkur va til munosabati masalasiga bag‘ishlangan.</w:t>
      </w:r>
    </w:p>
    <w:p>
      <w:pPr>
        <w:pStyle w:val="Heading2"/>
      </w:pPr>
      <w:r>
        <w:t xml:space="preserve">3. Neogumboldtchilik va Sepir–Uorf gipotezasi</w:t>
      </w:r>
    </w:p>
    <w:p>
      <w:pPr>
        <w:spacing w:after="80"/>
        <w:ind w:firstLine="709"/>
        <w:jc w:val="both"/>
      </w:pPr>
      <w:r>
        <w:t xml:space="preserve">XX asrda Gumboldt g‘oyalari ikki yo‘nalishda rivojlandi:</w:t>
      </w:r>
    </w:p>
    <w:p>
      <w:pPr>
        <w:pStyle w:val="ListParagraph"/>
        <w:numPr>
          <w:ilvl w:val="0"/>
          <w:numId w:val="3"/>
        </w:numPr>
        <w:spacing w:after="40"/>
        <w:jc w:val="both"/>
      </w:pPr>
      <w:r>
        <w:rPr>
          <w:b/>
          <w:bCs/>
        </w:rPr>
        <w:t xml:space="preserve">Nemis neogumboldtchiligi</w:t>
      </w:r>
      <w:r>
        <w:t xml:space="preserve"> – Leo Vaysgerber (1899–1985) «tilning olam manzarasi» (sprachliches Weltbild) tushunchasini ilgari surdi. Uning fikricha, til insonning voqelikni idrok etishi va tushunishiga ta’sir qiluvchi «oraliq olam» (Zwischenwelt) hosil qiladi.</w:t>
      </w:r>
    </w:p>
    <w:p>
      <w:pPr>
        <w:pStyle w:val="ListParagraph"/>
        <w:numPr>
          <w:ilvl w:val="0"/>
          <w:numId w:val="3"/>
        </w:numPr>
        <w:spacing w:after="40"/>
        <w:jc w:val="both"/>
      </w:pPr>
      <w:r>
        <w:rPr>
          <w:b/>
          <w:bCs/>
        </w:rPr>
        <w:t xml:space="preserve">Amerika etnolingvistikasi</w:t>
      </w:r>
      <w:r>
        <w:t xml:space="preserve"> – F. Boas, E. Sepir (1884–1939) va B.L. Uorf (1897–1941) asarlari. Uorf Amerika hindulari (xopi) tilini ingliz va boshqa Yevropa tillari («o‘rtacha standart Yevropa tili» – SAE) bilan qiyoslab, til tuzilishi tafakkurga ta’sir etadi, degan xulosaga keldi.</w:t>
      </w:r>
    </w:p>
    <w:p>
      <w:pPr>
        <w:spacing w:after="80"/>
        <w:ind w:firstLine="709"/>
        <w:jc w:val="both"/>
      </w:pPr>
      <w:r>
        <w:rPr>
          <w:b/>
          <w:bCs/>
        </w:rPr>
        <w:t xml:space="preserve">Lingvistik nisbiylik gipotezasi</w:t>
      </w:r>
      <w:r>
        <w:t xml:space="preserve"> (Sepir–Uorf gipotezasi) ikki shaklda talqin qilinadi:</w:t>
      </w:r>
    </w:p>
    <w:p>
      <w:pPr>
        <w:pStyle w:val="ListParagraph"/>
        <w:numPr>
          <w:ilvl w:val="0"/>
          <w:numId w:val="3"/>
        </w:numPr>
        <w:spacing w:after="40"/>
        <w:jc w:val="both"/>
      </w:pPr>
      <w:r>
        <w:t xml:space="preserve">Qat’iy (kuchli) talqin – lingvistik determinizm: til tafakkurni to‘liq belgilaydi.</w:t>
      </w:r>
    </w:p>
    <w:p>
      <w:pPr>
        <w:pStyle w:val="ListParagraph"/>
        <w:numPr>
          <w:ilvl w:val="0"/>
          <w:numId w:val="3"/>
        </w:numPr>
        <w:spacing w:after="40"/>
        <w:jc w:val="both"/>
      </w:pPr>
      <w:r>
        <w:t xml:space="preserve">Yumshoq (kuchsiz) talqin – lingvistik nisbiylik: til tafakkur va idrokka muayyan darajada ta’sir ko‘rsatadi.</w:t>
      </w:r>
    </w:p>
    <w:p>
      <w:pPr>
        <w:spacing w:after="80"/>
        <w:ind w:firstLine="709"/>
        <w:jc w:val="both"/>
      </w:pPr>
      <w:r>
        <w:t xml:space="preserve">Zamonaviy tadqiqotlar (masalan, B. Berlin va P. Keyning 1969-yilda e’lon qilingan rang nomlari bo‘yicha tadqiqoti) kuchli talqinni tasdiqlamadi: barcha tillarda asosiy rang nomlari muayyan universal tartibda paydo bo‘lishi aniqlandi. Biroq kuchsiz talqin – til idrok va xotiraga ta’sir qilishi – ko‘plab eksperimentlarda o‘z isbotini topmoqda. Masalan, qarindoshlik terminlari: o‘zbek tilida «amaki», «tog‘a», «amma», «xola» so‘zlari qarindoshlik munosabatini otaning yoki onaning tomonidan aniq farqlaydi, ingliz tilida esa bu ma’nolar «uncle» va «aunt» so‘zlari bilan umumlashtirib ifodalanadi.</w:t>
      </w:r>
    </w:p>
    <w:p>
      <w:pPr>
        <w:pStyle w:val="Heading2"/>
      </w:pPr>
      <w:r>
        <w:t xml:space="preserve">4. «Til shaxsi» nazariyasi</w:t>
      </w:r>
    </w:p>
    <w:p>
      <w:pPr>
        <w:spacing w:after="80"/>
        <w:ind w:firstLine="709"/>
        <w:jc w:val="both"/>
      </w:pPr>
      <w:r>
        <w:t xml:space="preserve">Antroposentrik tilshunoslikning markaziy tushunchalaridan biri – </w:t>
      </w:r>
      <w:r>
        <w:rPr>
          <w:b/>
          <w:bCs/>
        </w:rPr>
        <w:t xml:space="preserve">til shaxsi</w:t>
      </w:r>
      <w:r>
        <w:t xml:space="preserve"> (rus. языковая личность). Bu tushunchani V.V. Vinogradov (1930-yillar) ilk bor qo‘llagan bo‘lsa, uni nazariy jihatdan Yu.N. Karaulov «Rus tili va til shaxsi» (1987) monografiyasida asoslab berdi. Karaulov ta’rifiga ko‘ra, til shaxsi – nutqiy asarlar (matnlar) yaratish va idrok etish qobiliyatiga ega bo‘lgan inson; bu matnlar tuzilishining murakkabligi, voqelikni aks ettirishining chuqurligi va aniqligi hamda maqsadga yo‘nalganligi bilan farqlanadi.</w:t>
      </w:r>
    </w:p>
    <w:p>
      <w:pPr>
        <w:spacing w:after="80"/>
        <w:ind w:firstLine="709"/>
        <w:jc w:val="both"/>
      </w:pPr>
      <w:r>
        <w:t xml:space="preserve">Karaulov til shaxsi tuzilishida uch darajani ajratadi:</w:t>
      </w:r>
    </w:p>
    <w:p>
      <w:pPr>
        <w:pStyle w:val="ListParagraph"/>
        <w:numPr>
          <w:ilvl w:val="0"/>
          <w:numId w:val="3"/>
        </w:numPr>
        <w:spacing w:after="40"/>
        <w:jc w:val="both"/>
      </w:pPr>
      <w:r>
        <w:rPr>
          <w:b/>
          <w:bCs/>
        </w:rPr>
        <w:t xml:space="preserve">Verbal-semantik (leksikon) daraja</w:t>
      </w:r>
      <w:r>
        <w:t xml:space="preserve"> – oddiy tilni bilish darajasi; so‘zlar va grammatik qoidalar zaxirasi.</w:t>
      </w:r>
    </w:p>
    <w:p>
      <w:pPr>
        <w:pStyle w:val="ListParagraph"/>
        <w:numPr>
          <w:ilvl w:val="0"/>
          <w:numId w:val="3"/>
        </w:numPr>
        <w:spacing w:after="40"/>
        <w:jc w:val="both"/>
      </w:pPr>
      <w:r>
        <w:rPr>
          <w:b/>
          <w:bCs/>
        </w:rPr>
        <w:t xml:space="preserve">Lingvokognitiv (tezaurus) daraja</w:t>
      </w:r>
      <w:r>
        <w:t xml:space="preserve"> – shaxsning tushunchalar, g‘oyalar, konseptlar tizimi; olam manzarasi.</w:t>
      </w:r>
    </w:p>
    <w:p>
      <w:pPr>
        <w:pStyle w:val="ListParagraph"/>
        <w:numPr>
          <w:ilvl w:val="0"/>
          <w:numId w:val="3"/>
        </w:numPr>
        <w:spacing w:after="40"/>
        <w:jc w:val="both"/>
      </w:pPr>
      <w:r>
        <w:rPr>
          <w:b/>
          <w:bCs/>
        </w:rPr>
        <w:t xml:space="preserve">Motivatsion (pragmatikon) daraja</w:t>
      </w:r>
      <w:r>
        <w:t xml:space="preserve"> – shaxsning maqsadlari, motivlari, qiziqishlari, kommunikativ ehtiyojlari.</w:t>
      </w:r>
    </w:p>
    <w:p>
      <w:pPr>
        <w:pStyle w:val="Heading2"/>
      </w:pPr>
      <w:r>
        <w:t xml:space="preserve">5. Antroposentrik tilshunoslikning yo‘nalishlari va o‘zbek tilshunosligi</w:t>
      </w:r>
    </w:p>
    <w:p>
      <w:pPr>
        <w:spacing w:after="80"/>
        <w:ind w:firstLine="709"/>
        <w:jc w:val="both"/>
      </w:pPr>
      <w:r>
        <w:t xml:space="preserve">Antroposentrik paradigma doirasida quyidagi yo‘nalishlar shakllandi:</w:t>
      </w:r>
    </w:p>
    <w:p>
      <w:pPr>
        <w:pStyle w:val="ListParagraph"/>
        <w:numPr>
          <w:ilvl w:val="0"/>
          <w:numId w:val="3"/>
        </w:numPr>
        <w:spacing w:after="40"/>
        <w:jc w:val="both"/>
      </w:pPr>
      <w:r>
        <w:rPr>
          <w:b/>
          <w:bCs/>
        </w:rPr>
        <w:t xml:space="preserve">Kognitiv tilshunoslik</w:t>
      </w:r>
      <w:r>
        <w:t xml:space="preserve"> – til va bilish (tafakkur) munosabatini o‘rganadi.</w:t>
      </w:r>
    </w:p>
    <w:p>
      <w:pPr>
        <w:pStyle w:val="ListParagraph"/>
        <w:numPr>
          <w:ilvl w:val="0"/>
          <w:numId w:val="3"/>
        </w:numPr>
        <w:spacing w:after="40"/>
        <w:jc w:val="both"/>
      </w:pPr>
      <w:r>
        <w:rPr>
          <w:b/>
          <w:bCs/>
        </w:rPr>
        <w:t xml:space="preserve">Lingvokulturologiya</w:t>
      </w:r>
      <w:r>
        <w:t xml:space="preserve"> – til va madaniyat munosabatini o‘rganadi (V.N. Teliya, V.V. Vorob’yov, V.A. Maslova).</w:t>
      </w:r>
    </w:p>
    <w:p>
      <w:pPr>
        <w:pStyle w:val="ListParagraph"/>
        <w:numPr>
          <w:ilvl w:val="0"/>
          <w:numId w:val="3"/>
        </w:numPr>
        <w:spacing w:after="40"/>
        <w:jc w:val="both"/>
      </w:pPr>
      <w:r>
        <w:rPr>
          <w:b/>
          <w:bCs/>
        </w:rPr>
        <w:t xml:space="preserve">Psixolingvistika</w:t>
      </w:r>
      <w:r>
        <w:t xml:space="preserve"> – nutq hosil qilish va idrok etish jarayonlarini o‘rganadi (A.A. Leontyev, L.S. Vigotskiy an’analari).</w:t>
      </w:r>
    </w:p>
    <w:p>
      <w:pPr>
        <w:pStyle w:val="ListParagraph"/>
        <w:numPr>
          <w:ilvl w:val="0"/>
          <w:numId w:val="3"/>
        </w:numPr>
        <w:spacing w:after="40"/>
        <w:jc w:val="both"/>
      </w:pPr>
      <w:r>
        <w:rPr>
          <w:b/>
          <w:bCs/>
        </w:rPr>
        <w:t xml:space="preserve">Sotsiolingvistika</w:t>
      </w:r>
      <w:r>
        <w:t xml:space="preserve"> – til va jamiyat munosabatini o‘rganadi.</w:t>
      </w:r>
    </w:p>
    <w:p>
      <w:pPr>
        <w:pStyle w:val="ListParagraph"/>
        <w:numPr>
          <w:ilvl w:val="0"/>
          <w:numId w:val="3"/>
        </w:numPr>
        <w:spacing w:after="40"/>
        <w:jc w:val="both"/>
      </w:pPr>
      <w:r>
        <w:rPr>
          <w:b/>
          <w:bCs/>
        </w:rPr>
        <w:t xml:space="preserve">Pragmalingvistika</w:t>
      </w:r>
      <w:r>
        <w:t xml:space="preserve"> – til birliklarining nutq vaziyatida qo‘llanishi, so‘zlovchi niyati va ta’sirini o‘rganadi (J. Ostin, J. Syorl – nutqiy aktlar nazariyasi).</w:t>
      </w:r>
    </w:p>
    <w:p>
      <w:pPr>
        <w:pStyle w:val="ListParagraph"/>
        <w:numPr>
          <w:ilvl w:val="0"/>
          <w:numId w:val="3"/>
        </w:numPr>
        <w:spacing w:after="40"/>
        <w:jc w:val="both"/>
      </w:pPr>
      <w:r>
        <w:rPr>
          <w:b/>
          <w:bCs/>
        </w:rPr>
        <w:t xml:space="preserve">Etnolingvistika</w:t>
      </w:r>
      <w:r>
        <w:t xml:space="preserve">, </w:t>
      </w:r>
      <w:r>
        <w:rPr>
          <w:b/>
          <w:bCs/>
        </w:rPr>
        <w:t xml:space="preserve">neyrolingvistika</w:t>
      </w:r>
      <w:r>
        <w:t xml:space="preserve">, </w:t>
      </w:r>
      <w:r>
        <w:rPr>
          <w:b/>
          <w:bCs/>
        </w:rPr>
        <w:t xml:space="preserve">gender lingvistikasi</w:t>
      </w:r>
      <w:r>
        <w:t xml:space="preserve"> va boshqalar.</w:t>
      </w:r>
    </w:p>
    <w:p>
      <w:pPr>
        <w:spacing w:after="80"/>
        <w:ind w:firstLine="709"/>
        <w:jc w:val="both"/>
      </w:pPr>
      <w:r>
        <w:t xml:space="preserve">O‘zbek tilshunosligida antroposentrik yo‘nalishdagi tadqiqotlar XXI asr boshidan faollashdi. Sh. Safarovning «Kognitiv tilshunoslik» (2006) va «Pragmalingvistika» (2008) kitoblari, N. Mahmudovning «Tilning mukammal tadqiqi yo‘llarini izlab» (2012) maqolasi, D. Xudoyberganovaning «Matnning antropotsentrik tadqiqi» (2013) monografiyasi, Sh. Usmanovaning lingvokulturologiyaga oid ishlari bu boradagi muhim manbalardir. N. Mahmudov o‘z maqolasida til – inson ma’naviy olamining tashuvchisi ekanini ta’kidlab, o‘zbek tilshunosligi oldida tilni inson omili bilan bog‘liq holda o‘rganish vazifasi turganini asoslab bergan.</w:t>
      </w:r>
    </w:p>
    <w:p>
      <w:pPr>
        <w:pStyle w:val="Heading2"/>
      </w:pPr>
      <w:r>
        <w:t xml:space="preserve">Xulosa</w:t>
      </w:r>
    </w:p>
    <w:p>
      <w:pPr>
        <w:spacing w:after="80"/>
        <w:ind w:firstLine="709"/>
        <w:jc w:val="both"/>
      </w:pPr>
      <w:r>
        <w:t xml:space="preserve">Antroposentrizm tilshunoslikda tadqiqot ob’ektini kengaytirib, tilni faqat ichki tizim sifatida emas, balki inson tafakkuri, madaniyati va faoliyati bilan bog‘liq hodisa sifatida o‘rganishga yo‘l ochdi. Ushbu paradigma kognitiv tilshunoslik, lingvokulturologiya, psixolingvistika va pragmalingvistika kabi zamonaviy yo‘nalishlarning nazariy asosi hisoblanadi.</w:t>
      </w:r>
    </w:p>
    <w:p>
      <w:pPr>
        <w:keepNext/>
        <w:spacing w:after="100" w:before="240"/>
        <w:jc w:val="left"/>
      </w:pPr>
      <w:r>
        <w:rPr>
          <w:b/>
          <w:bCs/>
        </w:rPr>
        <w:t xml:space="preserve">Nazorat savollari:</w:t>
      </w:r>
    </w:p>
    <w:p>
      <w:pPr>
        <w:pStyle w:val="ListParagraph"/>
        <w:numPr>
          <w:ilvl w:val="0"/>
          <w:numId w:val="4"/>
        </w:numPr>
        <w:spacing w:after="40"/>
        <w:jc w:val="left"/>
      </w:pPr>
      <w:r>
        <w:t xml:space="preserve">Ilmiy paradigma nima? Tilshunoslikda qaysi paradigmalar ajratiladi?</w:t>
      </w:r>
    </w:p>
    <w:p>
      <w:pPr>
        <w:pStyle w:val="ListParagraph"/>
        <w:numPr>
          <w:ilvl w:val="0"/>
          <w:numId w:val="4"/>
        </w:numPr>
        <w:spacing w:after="40"/>
        <w:jc w:val="left"/>
      </w:pPr>
      <w:r>
        <w:t xml:space="preserve">Sistem-struktur va antroposentrik paradigmalarning asosiy farqi nimada?</w:t>
      </w:r>
    </w:p>
    <w:p>
      <w:pPr>
        <w:pStyle w:val="ListParagraph"/>
        <w:numPr>
          <w:ilvl w:val="0"/>
          <w:numId w:val="4"/>
        </w:numPr>
        <w:spacing w:after="40"/>
        <w:jc w:val="left"/>
      </w:pPr>
      <w:r>
        <w:t xml:space="preserve">V. fon Gumboldtning til haqidagi asosiy g‘oyalarini izohlang.</w:t>
      </w:r>
    </w:p>
    <w:p>
      <w:pPr>
        <w:pStyle w:val="ListParagraph"/>
        <w:numPr>
          <w:ilvl w:val="0"/>
          <w:numId w:val="4"/>
        </w:numPr>
        <w:spacing w:after="40"/>
        <w:jc w:val="left"/>
      </w:pPr>
      <w:r>
        <w:t xml:space="preserve">Sepir–Uorf gipotezasining kuchli va kuchsiz talqinlarini qiyoslang.</w:t>
      </w:r>
    </w:p>
    <w:p>
      <w:pPr>
        <w:pStyle w:val="ListParagraph"/>
        <w:numPr>
          <w:ilvl w:val="0"/>
          <w:numId w:val="4"/>
        </w:numPr>
        <w:spacing w:after="40"/>
        <w:jc w:val="left"/>
      </w:pPr>
      <w:r>
        <w:t xml:space="preserve">Yu.N. Karaulov til shaxsi tuzilishida qaysi darajalarni ajratadi?</w:t>
      </w:r>
    </w:p>
    <w:p>
      <w:pPr>
        <w:pStyle w:val="ListParagraph"/>
        <w:numPr>
          <w:ilvl w:val="0"/>
          <w:numId w:val="4"/>
        </w:numPr>
        <w:spacing w:after="40"/>
        <w:jc w:val="left"/>
      </w:pPr>
      <w:r>
        <w:t xml:space="preserve">Antroposentrik tilshunoslikning qaysi yo‘nalishlarini bilasiz?</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Mahmudov N. Tilning mukammal tadqiqi yo‘llarini izlab // O‘zbek tili va adabiyoti. – Toshkent, 2012. – №5.</w:t>
      </w:r>
    </w:p>
    <w:p>
      <w:pPr>
        <w:pStyle w:val="ListParagraph"/>
        <w:numPr>
          <w:ilvl w:val="0"/>
          <w:numId w:val="5"/>
        </w:numPr>
        <w:spacing w:after="40"/>
        <w:jc w:val="both"/>
      </w:pPr>
      <w:r>
        <w:t xml:space="preserve">Xudoyberganova D. Matnning antropotsentrik tadqiqi. – Toshkent: Fan, 2013.</w:t>
      </w:r>
    </w:p>
    <w:p>
      <w:pPr>
        <w:pStyle w:val="ListParagraph"/>
        <w:numPr>
          <w:ilvl w:val="0"/>
          <w:numId w:val="5"/>
        </w:numPr>
        <w:spacing w:after="40"/>
        <w:jc w:val="both"/>
      </w:pPr>
      <w:r>
        <w:t xml:space="preserve">Гумбольдт В. фон. Избранные труды по языкознанию. – М.: Прогресс, 1984.</w:t>
      </w:r>
    </w:p>
    <w:p>
      <w:pPr>
        <w:pStyle w:val="ListParagraph"/>
        <w:numPr>
          <w:ilvl w:val="0"/>
          <w:numId w:val="5"/>
        </w:numPr>
        <w:spacing w:after="40"/>
        <w:jc w:val="both"/>
      </w:pPr>
      <w:r>
        <w:t xml:space="preserve">Бенвенист Э. Общая лингвистика. – М.: Прогресс, 1974.</w:t>
      </w:r>
    </w:p>
    <w:p>
      <w:pPr>
        <w:pStyle w:val="ListParagraph"/>
        <w:numPr>
          <w:ilvl w:val="0"/>
          <w:numId w:val="5"/>
        </w:numPr>
        <w:spacing w:after="40"/>
        <w:jc w:val="both"/>
      </w:pPr>
      <w:r>
        <w:t xml:space="preserve">Караулов Ю.Н. Русский язык и языковая личность. – М.: Наука, 1987.</w:t>
      </w:r>
    </w:p>
    <w:p>
      <w:pPr>
        <w:pStyle w:val="ListParagraph"/>
        <w:numPr>
          <w:ilvl w:val="0"/>
          <w:numId w:val="5"/>
        </w:numPr>
        <w:spacing w:after="40"/>
        <w:jc w:val="both"/>
      </w:pPr>
      <w:r>
        <w:t xml:space="preserve">Кубрякова Е.С. Язык и знание: На пути получения знаний о языке: Части речи с когнитивной точки зрения. Роль языка в познании мира. – М.: Языки славянской культуры, 2004.</w:t>
      </w:r>
    </w:p>
    <w:p>
      <w:pPr>
        <w:pStyle w:val="ListParagraph"/>
        <w:numPr>
          <w:ilvl w:val="0"/>
          <w:numId w:val="5"/>
        </w:numPr>
        <w:spacing w:after="40"/>
        <w:jc w:val="both"/>
      </w:pPr>
      <w:r>
        <w:t xml:space="preserve">Попова З.Д., Стернин И.А. Когнитивная лингвистика. – М.: АСТ: Восток–Запад, 2007.</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1-MA’RUZA. TILSHUNOSLIKDA ANTROPOSENTRIZMNING SHAKLLANISHI</dc:title>
  <dc:creator>Un-named</dc:creator>
  <cp:lastModifiedBy>Un-named</cp:lastModifiedBy>
  <cp:revision>1</cp:revision>
  <dcterms:created xsi:type="dcterms:W3CDTF">2026-10-30T07:33:46.239Z</dcterms:created>
  <dcterms:modified xsi:type="dcterms:W3CDTF">2026-10-30T07:33:46.240Z</dcterms:modified>
</cp:coreProperties>
</file>

<file path=docProps/custom.xml><?xml version="1.0" encoding="utf-8"?>
<Properties xmlns="http://schemas.openxmlformats.org/officeDocument/2006/custom-properties" xmlns:vt="http://schemas.openxmlformats.org/officeDocument/2006/docPropsVTypes"/>
</file>