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</w:pPr>
      <w:r>
        <w:t xml:space="preserve">8-MA’RUZA. FREYM TUSHUNCHASI</w:t>
      </w:r>
    </w:p>
    <w:p>
      <w:pPr>
        <w:keepNext/>
        <w:spacing w:after="100" w:before="240"/>
        <w:jc w:val="center"/>
      </w:pPr>
      <w:r>
        <w:rPr>
          <w:b/>
          <w:bCs/>
        </w:rPr>
        <w:t xml:space="preserve">Reja:</w:t>
      </w:r>
    </w:p>
    <w:p>
      <w:pPr>
        <w:pStyle w:val="ListParagraph"/>
        <w:numPr>
          <w:ilvl w:val="0"/>
          <w:numId w:val="2"/>
        </w:numPr>
        <w:spacing w:after="40"/>
        <w:jc w:val="left"/>
      </w:pPr>
      <w:r>
        <w:t xml:space="preserve">Freym nazariyasining paydo bo‘lishi: M. Minskiy va I. Gofman.</w:t>
      </w:r>
    </w:p>
    <w:p>
      <w:pPr>
        <w:pStyle w:val="ListParagraph"/>
        <w:numPr>
          <w:ilvl w:val="0"/>
          <w:numId w:val="2"/>
        </w:numPr>
        <w:spacing w:after="40"/>
        <w:jc w:val="left"/>
      </w:pPr>
      <w:r>
        <w:t xml:space="preserve">Ch. Fillmorning freym semantikasi.</w:t>
      </w:r>
    </w:p>
    <w:p>
      <w:pPr>
        <w:pStyle w:val="ListParagraph"/>
        <w:numPr>
          <w:ilvl w:val="0"/>
          <w:numId w:val="2"/>
        </w:numPr>
        <w:spacing w:after="40"/>
        <w:jc w:val="left"/>
      </w:pPr>
      <w:r>
        <w:t xml:space="preserve">Freymning tuzilishi: slotlar va terminallar.</w:t>
      </w:r>
    </w:p>
    <w:p>
      <w:pPr>
        <w:pStyle w:val="ListParagraph"/>
        <w:numPr>
          <w:ilvl w:val="0"/>
          <w:numId w:val="2"/>
        </w:numPr>
        <w:spacing w:after="40"/>
        <w:jc w:val="left"/>
      </w:pPr>
      <w:r>
        <w:t xml:space="preserve">Freym turlari.</w:t>
      </w:r>
    </w:p>
    <w:p>
      <w:pPr>
        <w:pStyle w:val="ListParagraph"/>
        <w:numPr>
          <w:ilvl w:val="0"/>
          <w:numId w:val="2"/>
        </w:numPr>
        <w:spacing w:after="40"/>
        <w:jc w:val="left"/>
      </w:pPr>
      <w:r>
        <w:t xml:space="preserve">Freym tahlili va uning o‘zbek tilshunosligida qo‘llanishi.</w:t>
      </w:r>
    </w:p>
    <w:p>
      <w:pPr>
        <w:shd w:fill="EAF1F8" w:color="auto" w:val="clear"/>
        <w:spacing w:after="200" w:before="240"/>
        <w:jc w:val="both"/>
      </w:pPr>
      <w:r>
        <w:rPr>
          <w:b/>
          <w:bCs/>
        </w:rPr>
        <w:t xml:space="preserve">Tayanch tushunchalar: </w:t>
      </w:r>
      <w:r>
        <w:rPr>
          <w:i/>
          <w:iCs/>
        </w:rPr>
        <w:t xml:space="preserve">freym, slot, terminal, standart qiymat, subfreym, freym semantikasi, profillash, freym tahlili, FrameNet.</w:t>
      </w:r>
    </w:p>
    <w:p>
      <w:pPr>
        <w:pStyle w:val="Heading2"/>
      </w:pPr>
      <w:r>
        <w:t xml:space="preserve">1. Freym nazariyasining paydo bo‘lishi</w:t>
      </w:r>
    </w:p>
    <w:p>
      <w:pPr>
        <w:spacing w:after="80"/>
        <w:ind w:firstLine="709"/>
        <w:jc w:val="both"/>
      </w:pPr>
      <w:r>
        <w:t xml:space="preserve">«Freym» (ingl. frame – «ramka, karkas, qolip, tuzilma») atamasi turli fanlarda qo‘llanadi. Sun’iy intellekt sohasida uni amerikalik olim </w:t>
      </w:r>
      <w:r>
        <w:rPr>
          <w:b/>
          <w:bCs/>
        </w:rPr>
        <w:t xml:space="preserve">Marvin Minskiy</w:t>
      </w:r>
      <w:r>
        <w:t xml:space="preserve"> (1927–2016) «Bilimlarni ifodalash uchun asos» (A Framework for Representing Knowledge, 1974) maqolasida kiritgan (ruscha tarjimasi «Фреймы для представления знаний», 1979).</w:t>
      </w:r>
    </w:p>
    <w:p>
      <w:pPr>
        <w:pBdr>
          <w:left w:val="single" w:color="1F4E79" w:sz="12" w:space="8"/>
        </w:pBdr>
        <w:spacing w:after="120" w:before="80"/>
        <w:ind w:left="709" w:right="709"/>
        <w:jc w:val="both"/>
      </w:pPr>
      <w:r>
        <w:rPr>
          <w:i/>
          <w:iCs/>
        </w:rPr>
        <w:t xml:space="preserve">Freym – stereotip vaziyatni ifodalash uchun ma’lumotlar tuzilmasidir. Inson yangi vaziyatga duch kelganda xotiradan tayyor tuzilmani – freymni tanlaydi va uni detallarni o‘zgartirish orqali voqelikka moslashtiradi (M. Minskiy).</w:t>
      </w:r>
    </w:p>
    <w:p>
      <w:pPr>
        <w:spacing w:after="80"/>
        <w:ind w:firstLine="709"/>
        <w:jc w:val="both"/>
      </w:pPr>
      <w:r>
        <w:t xml:space="preserve">Minskiy freymni ikki darajali tuzilma sifatida tasavvur qilgan: yuqori darajalar qat’iy belgilangan va vaziyat uchun doimo to‘g‘ri bo‘lgan ma’lumotlardan, quyi darajalar esa muayyan ma’lumotlar bilan to‘ldiriladigan «terminallar» (yacheykalar)dan iborat.</w:t>
      </w:r>
    </w:p>
    <w:p>
      <w:pPr>
        <w:spacing w:after="80"/>
        <w:ind w:firstLine="709"/>
        <w:jc w:val="both"/>
      </w:pPr>
      <w:r>
        <w:t xml:space="preserve">Sotsiologiyada amerikalik olim </w:t>
      </w:r>
      <w:r>
        <w:rPr>
          <w:b/>
          <w:bCs/>
        </w:rPr>
        <w:t xml:space="preserve">Irving Gofman</w:t>
      </w:r>
      <w:r>
        <w:t xml:space="preserve"> «Freym tahlili: tajribani tashkil etish haqida ocherk» (Frame Analysis, 1974) kitobida freymni insonning ijtimoiy voqelikni talqin qilish sxemasi sifatida o‘rgangan.</w:t>
      </w:r>
    </w:p>
    <w:p>
      <w:pPr>
        <w:pStyle w:val="Heading2"/>
      </w:pPr>
      <w:r>
        <w:t xml:space="preserve">2. Ch. Fillmorning freym semantikasi</w:t>
      </w:r>
    </w:p>
    <w:p>
      <w:pPr>
        <w:spacing w:after="80"/>
        <w:ind w:firstLine="709"/>
        <w:jc w:val="both"/>
      </w:pPr>
      <w:r>
        <w:t xml:space="preserve">Tilshunoslikda freym nazariyasini amerikalik olim </w:t>
      </w:r>
      <w:r>
        <w:rPr>
          <w:b/>
          <w:bCs/>
        </w:rPr>
        <w:t xml:space="preserve">Charlz Fillmor</w:t>
      </w:r>
      <w:r>
        <w:t xml:space="preserve"> (1929–2014) rivojlantirdi. U avval «Kelishik uchun dalillar» (The Case for Case, 1968) maqolasida chuqur kelishiklar (agens, instrument, ob’ekt, joy va h.k.) nazariyasini yaratdi, keyinchalik «Freym semantikasi» (Frame Semantics, 1982) maqolasida bu g‘oyani rivojlantirdi.</w:t>
      </w:r>
    </w:p>
    <w:p>
      <w:pPr>
        <w:spacing w:after="80"/>
        <w:ind w:firstLine="709"/>
        <w:jc w:val="both"/>
      </w:pPr>
      <w:r>
        <w:t xml:space="preserve">Fillmor ta’rifiga ko‘ra, freym – bir-biri bilan bog‘liq tushunchalar tizimi bo‘lib, ulardan birini tushunish uchun butun tizimni tushunish zarur. So‘z muayyan freymni faollashtiradi va shu freym fonida tushuniladi.</w:t>
      </w:r>
    </w:p>
    <w:p>
      <w:pPr>
        <w:spacing w:after="80"/>
        <w:ind w:firstLine="709"/>
        <w:jc w:val="both"/>
      </w:pPr>
      <w:r>
        <w:t xml:space="preserve">Fillmorning mashhur misoli – </w:t>
      </w:r>
      <w:r>
        <w:rPr>
          <w:b/>
          <w:bCs/>
        </w:rPr>
        <w:t xml:space="preserve">«tijorat bitimi» (commercial transaction) freymi</w:t>
      </w:r>
      <w:r>
        <w:t xml:space="preserve">. Uning elementlari: xaridor (buyer), sotuvchi (seller), tovar (goods), pul (money). Turli fe’llar shu freymning turli qismlarini ta’kidlaydi (profillaydi):</w:t>
      </w:r>
    </w:p>
    <w:p>
      <w:pPr>
        <w:pStyle w:val="ListParagraph"/>
        <w:numPr>
          <w:ilvl w:val="0"/>
          <w:numId w:val="3"/>
        </w:numPr>
        <w:spacing w:after="40"/>
        <w:jc w:val="both"/>
      </w:pPr>
      <w:r>
        <w:t xml:space="preserve">«sotib olmoq» – xaridor va tovarni markazga qo‘yadi;</w:t>
      </w:r>
    </w:p>
    <w:p>
      <w:pPr>
        <w:pStyle w:val="ListParagraph"/>
        <w:numPr>
          <w:ilvl w:val="0"/>
          <w:numId w:val="3"/>
        </w:numPr>
        <w:spacing w:after="40"/>
        <w:jc w:val="both"/>
      </w:pPr>
      <w:r>
        <w:t xml:space="preserve">«sotmoq» – sotuvchi va tovarni;</w:t>
      </w:r>
    </w:p>
    <w:p>
      <w:pPr>
        <w:pStyle w:val="ListParagraph"/>
        <w:numPr>
          <w:ilvl w:val="0"/>
          <w:numId w:val="3"/>
        </w:numPr>
        <w:spacing w:after="40"/>
        <w:jc w:val="both"/>
      </w:pPr>
      <w:r>
        <w:t xml:space="preserve">«to‘lamoq» – xaridor va pulni;</w:t>
      </w:r>
    </w:p>
    <w:p>
      <w:pPr>
        <w:pStyle w:val="ListParagraph"/>
        <w:numPr>
          <w:ilvl w:val="0"/>
          <w:numId w:val="3"/>
        </w:numPr>
        <w:spacing w:after="40"/>
        <w:jc w:val="both"/>
      </w:pPr>
      <w:r>
        <w:t xml:space="preserve">«turmoq (narxi)» – tovar va pulni («Bu kitob o‘n ming so‘m turadi»).</w:t>
      </w:r>
    </w:p>
    <w:p>
      <w:pPr>
        <w:spacing w:after="80"/>
        <w:ind w:firstLine="709"/>
        <w:jc w:val="both"/>
      </w:pPr>
      <w:r>
        <w:t xml:space="preserve">Fillmorning yana bir misoli – ingliz tilidagi «land» (quruqlik) va «ground» (yer) so‘zlari. Ikkalasi ham yer yuzasini bildiradi, biroq «land» dengizga, «ground» esa havoga qarama-qarshi qo‘yilgan freymda tushuniladi. Shu sababli «qushning hayotini yerda (on the ground) o‘tkazishi» va «dengiz qushining quruqlikda (on land) o‘tkazishi» butunlay boshqa ma’nolarni beradi.</w:t>
      </w:r>
    </w:p>
    <w:p>
      <w:pPr>
        <w:spacing w:after="80"/>
        <w:ind w:firstLine="709"/>
        <w:jc w:val="both"/>
      </w:pPr>
      <w:r>
        <w:t xml:space="preserve">Fillmor rahbarligida 1997-yildan Kaliforniya universitetida (Berkli) </w:t>
      </w:r>
      <w:r>
        <w:rPr>
          <w:b/>
          <w:bCs/>
        </w:rPr>
        <w:t xml:space="preserve">FrameNet</w:t>
      </w:r>
      <w:r>
        <w:t xml:space="preserve"> loyihasi amalga oshirilib kelinmoqda – bu ingliz tili leksikasining freymlar asosidagi elektron bazasi.</w:t>
      </w:r>
    </w:p>
    <w:p>
      <w:pPr>
        <w:pStyle w:val="Heading2"/>
      </w:pPr>
      <w:r>
        <w:t xml:space="preserve">3. Freymning tuzilishi: slotlar va terminallar</w:t>
      </w:r>
    </w:p>
    <w:p>
      <w:pPr>
        <w:spacing w:after="80"/>
        <w:ind w:firstLine="709"/>
        <w:jc w:val="both"/>
      </w:pPr>
      <w:r>
        <w:t xml:space="preserve">Freym ierarxik tuzilishga ega:</w:t>
      </w:r>
    </w:p>
    <w:p>
      <w:pPr>
        <w:pStyle w:val="ListParagraph"/>
        <w:numPr>
          <w:ilvl w:val="0"/>
          <w:numId w:val="3"/>
        </w:numPr>
        <w:spacing w:after="40"/>
        <w:jc w:val="both"/>
      </w:pPr>
      <w:r>
        <w:rPr>
          <w:b/>
          <w:bCs/>
        </w:rPr>
        <w:t xml:space="preserve">Freym nomi</w:t>
      </w:r>
      <w:r>
        <w:t xml:space="preserve"> – freymni ifodalovchi tayanch so‘z (masalan, «Maktab»).</w:t>
      </w:r>
    </w:p>
    <w:p>
      <w:pPr>
        <w:pStyle w:val="ListParagraph"/>
        <w:numPr>
          <w:ilvl w:val="0"/>
          <w:numId w:val="3"/>
        </w:numPr>
        <w:spacing w:after="40"/>
        <w:jc w:val="both"/>
      </w:pPr>
      <w:r>
        <w:rPr>
          <w:b/>
          <w:bCs/>
        </w:rPr>
        <w:t xml:space="preserve">Slotlar (uyachalar)</w:t>
      </w:r>
      <w:r>
        <w:t xml:space="preserve"> – freymning tarkibiy qismlari, belgilar (masalan, «o‘qituvchi», «o‘quvchi», «sinf xonasi», «dars», «baho», «qo‘ng‘iroq»).</w:t>
      </w:r>
    </w:p>
    <w:p>
      <w:pPr>
        <w:pStyle w:val="ListParagraph"/>
        <w:numPr>
          <w:ilvl w:val="0"/>
          <w:numId w:val="3"/>
        </w:numPr>
        <w:spacing w:after="40"/>
        <w:jc w:val="both"/>
      </w:pPr>
      <w:r>
        <w:rPr>
          <w:b/>
          <w:bCs/>
        </w:rPr>
        <w:t xml:space="preserve">Terminallar (to‘ldiruvchilar)</w:t>
      </w:r>
      <w:r>
        <w:t xml:space="preserve"> – slotlarni to‘ldiruvchi aniq qiymatlar (masalan, «baho» sloti: «a’lo», «yaxshi», «qoniqarli»...).</w:t>
      </w:r>
    </w:p>
    <w:p>
      <w:pPr>
        <w:pStyle w:val="ListParagraph"/>
        <w:numPr>
          <w:ilvl w:val="0"/>
          <w:numId w:val="3"/>
        </w:numPr>
        <w:spacing w:after="40"/>
        <w:jc w:val="both"/>
      </w:pPr>
      <w:r>
        <w:rPr>
          <w:b/>
          <w:bCs/>
        </w:rPr>
        <w:t xml:space="preserve">Standart qiymatlar</w:t>
      </w:r>
      <w:r>
        <w:t xml:space="preserve"> (default values) – maxsus ma’lumot bo‘lmaganda avtomatik ravishda qabul qilinadigan qiymatlar. Masalan, «xona» freymida «to‘rtta devor», «eshik», «shift» standart qiymatlardir.</w:t>
      </w:r>
    </w:p>
    <w:p>
      <w:pPr>
        <w:spacing w:after="80"/>
        <w:ind w:firstLine="709"/>
        <w:jc w:val="both"/>
      </w:pPr>
      <w:r>
        <w:t xml:space="preserve">Freymlar o‘zaro bog‘langan holda </w:t>
      </w:r>
      <w:r>
        <w:rPr>
          <w:b/>
          <w:bCs/>
        </w:rPr>
        <w:t xml:space="preserve">freym tarmog‘ini</w:t>
      </w:r>
      <w:r>
        <w:t xml:space="preserve"> hosil qiladi: bir freymning sloti boshqa freym bo‘lishi mumkin (subfreym). Masalan, «Universitet» freymi «Fakultet», «Kafedra», «Imtihon» subfreymlarini o‘z ichiga oladi.</w:t>
      </w:r>
    </w:p>
    <w:p>
      <w:pPr>
        <w:pStyle w:val="Heading2"/>
      </w:pPr>
      <w:r>
        <w:t xml:space="preserve">4. Freym turlari</w:t>
      </w:r>
    </w:p>
    <w:p>
      <w:pPr>
        <w:spacing w:after="80"/>
        <w:ind w:firstLine="709"/>
        <w:jc w:val="both"/>
      </w:pPr>
      <w:r>
        <w:t xml:space="preserve">Freymlar turli asoslarga ko‘ra tasniflanadi:</w:t>
      </w:r>
    </w:p>
    <w:p>
      <w:pPr>
        <w:pStyle w:val="ListParagraph"/>
        <w:numPr>
          <w:ilvl w:val="0"/>
          <w:numId w:val="3"/>
        </w:numPr>
        <w:spacing w:after="40"/>
        <w:jc w:val="both"/>
      </w:pPr>
      <w:r>
        <w:rPr>
          <w:b/>
          <w:bCs/>
        </w:rPr>
        <w:t xml:space="preserve">Statik va dinamik freymlar</w:t>
      </w:r>
      <w:r>
        <w:t xml:space="preserve">: statik freym ob’ekt yoki vaziyatni tasvirlaydi («Xona», «Uy»), dinamik freym esa voqea rivojini aks ettiradi (ssenariy, skript).</w:t>
      </w:r>
    </w:p>
    <w:p>
      <w:pPr>
        <w:pStyle w:val="ListParagraph"/>
        <w:numPr>
          <w:ilvl w:val="0"/>
          <w:numId w:val="3"/>
        </w:numPr>
        <w:spacing w:after="40"/>
        <w:jc w:val="both"/>
      </w:pPr>
      <w:r>
        <w:rPr>
          <w:b/>
          <w:bCs/>
        </w:rPr>
        <w:t xml:space="preserve">Ob’ekt freymi</w:t>
      </w:r>
      <w:r>
        <w:t xml:space="preserve">, </w:t>
      </w:r>
      <w:r>
        <w:rPr>
          <w:b/>
          <w:bCs/>
        </w:rPr>
        <w:t xml:space="preserve">vaziyat freymi</w:t>
      </w:r>
      <w:r>
        <w:t xml:space="preserve">, </w:t>
      </w:r>
      <w:r>
        <w:rPr>
          <w:b/>
          <w:bCs/>
        </w:rPr>
        <w:t xml:space="preserve">harakat freymi</w:t>
      </w:r>
      <w:r>
        <w:t xml:space="preserve">, </w:t>
      </w:r>
      <w:r>
        <w:rPr>
          <w:b/>
          <w:bCs/>
        </w:rPr>
        <w:t xml:space="preserve">tushuncha freymi</w:t>
      </w:r>
      <w:r>
        <w:t xml:space="preserve">.</w:t>
      </w:r>
    </w:p>
    <w:p>
      <w:pPr>
        <w:pStyle w:val="ListParagraph"/>
        <w:numPr>
          <w:ilvl w:val="0"/>
          <w:numId w:val="3"/>
        </w:numPr>
        <w:spacing w:after="40"/>
        <w:jc w:val="both"/>
      </w:pPr>
      <w:r>
        <w:rPr>
          <w:b/>
          <w:bCs/>
        </w:rPr>
        <w:t xml:space="preserve">Universal va milliy-madaniy freymlar</w:t>
      </w:r>
      <w:r>
        <w:t xml:space="preserve">.</w:t>
      </w:r>
    </w:p>
    <w:p>
      <w:pPr>
        <w:pStyle w:val="ListParagraph"/>
        <w:numPr>
          <w:ilvl w:val="0"/>
          <w:numId w:val="3"/>
        </w:numPr>
        <w:spacing w:after="40"/>
        <w:jc w:val="both"/>
      </w:pPr>
      <w:r>
        <w:t xml:space="preserve">N.N. Boldirev </w:t>
      </w:r>
      <w:r>
        <w:rPr>
          <w:b/>
          <w:bCs/>
        </w:rPr>
        <w:t xml:space="preserve">propozitsional freymlar</w:t>
      </w:r>
      <w:r>
        <w:t xml:space="preserve">ni ajratadi: predmet freymi, harakat freymi, egalik freymi, identifikatsiya freymi, o‘xshatish freymi.</w:t>
      </w:r>
    </w:p>
    <w:p>
      <w:pPr>
        <w:pStyle w:val="Heading2"/>
      </w:pPr>
      <w:r>
        <w:t xml:space="preserve">5. Freym tahlili va uning o‘zbek tilshunosligida qo‘llanishi</w:t>
      </w:r>
    </w:p>
    <w:p>
      <w:pPr>
        <w:spacing w:after="80"/>
        <w:ind w:firstLine="709"/>
        <w:jc w:val="both"/>
      </w:pPr>
      <w:r>
        <w:t xml:space="preserve">Freym tahlili quyidagi bosqichlarda amalga oshiriladi:</w:t>
      </w:r>
    </w:p>
    <w:p>
      <w:pPr>
        <w:pStyle w:val="ListParagraph"/>
        <w:numPr>
          <w:ilvl w:val="0"/>
          <w:numId w:val="3"/>
        </w:numPr>
        <w:spacing w:after="40"/>
        <w:jc w:val="both"/>
      </w:pPr>
      <w:r>
        <w:t xml:space="preserve">tayanch so‘z (freym nomi) ni aniqlash;</w:t>
      </w:r>
    </w:p>
    <w:p>
      <w:pPr>
        <w:pStyle w:val="ListParagraph"/>
        <w:numPr>
          <w:ilvl w:val="0"/>
          <w:numId w:val="3"/>
        </w:numPr>
        <w:spacing w:after="40"/>
        <w:jc w:val="both"/>
      </w:pPr>
      <w:r>
        <w:t xml:space="preserve">izohli lug‘atlar, ensiklopediyalar, matnlar asosida freym slotlarini ajratish;</w:t>
      </w:r>
    </w:p>
    <w:p>
      <w:pPr>
        <w:pStyle w:val="ListParagraph"/>
        <w:numPr>
          <w:ilvl w:val="0"/>
          <w:numId w:val="3"/>
        </w:numPr>
        <w:spacing w:after="40"/>
        <w:jc w:val="both"/>
      </w:pPr>
      <w:r>
        <w:t xml:space="preserve">har bir slotni to‘ldiruvchi til birliklarini (leksemalar, frazeologizmlar, paremalar) aniqlash;</w:t>
      </w:r>
    </w:p>
    <w:p>
      <w:pPr>
        <w:pStyle w:val="ListParagraph"/>
        <w:numPr>
          <w:ilvl w:val="0"/>
          <w:numId w:val="3"/>
        </w:numPr>
        <w:spacing w:after="40"/>
        <w:jc w:val="both"/>
      </w:pPr>
      <w:r>
        <w:t xml:space="preserve">freymning milliy-madaniy xususiyatlarini ochish.</w:t>
      </w:r>
    </w:p>
    <w:p>
      <w:pPr>
        <w:spacing w:after="80"/>
        <w:ind w:firstLine="709"/>
        <w:jc w:val="both"/>
      </w:pPr>
      <w:r>
        <w:t xml:space="preserve">Masalan, o‘zbek tilidagi </w:t>
      </w:r>
      <w:r>
        <w:rPr>
          <w:b/>
          <w:bCs/>
        </w:rPr>
        <w:t xml:space="preserve">«Bozor» freymi</w:t>
      </w:r>
      <w:r>
        <w:t xml:space="preserve">:</w:t>
      </w:r>
    </w:p>
    <w:p>
      <w:pPr>
        <w:pStyle w:val="ListParagraph"/>
        <w:numPr>
          <w:ilvl w:val="0"/>
          <w:numId w:val="3"/>
        </w:numPr>
        <w:spacing w:after="40"/>
        <w:jc w:val="both"/>
      </w:pPr>
      <w:r>
        <w:t xml:space="preserve">Slotlar: sotuvchi, xaridor, tovar, narx, savdo joyi, savdolashish, o‘lchov.</w:t>
      </w:r>
    </w:p>
    <w:p>
      <w:pPr>
        <w:pStyle w:val="ListParagraph"/>
        <w:numPr>
          <w:ilvl w:val="0"/>
          <w:numId w:val="3"/>
        </w:numPr>
        <w:spacing w:after="40"/>
        <w:jc w:val="both"/>
      </w:pPr>
      <w:r>
        <w:t xml:space="preserve">Terminallar: «dehqon», «chayqovchi», «baqqol» (sotuvchi); «rasta», «do‘kon», «peshtaxta» (joy); «arzon», «qimmat», «tekin», «baraka topsin» (narx va savdolashish).</w:t>
      </w:r>
    </w:p>
    <w:p>
      <w:pPr>
        <w:pStyle w:val="ListParagraph"/>
        <w:numPr>
          <w:ilvl w:val="0"/>
          <w:numId w:val="3"/>
        </w:numPr>
        <w:spacing w:after="40"/>
        <w:jc w:val="both"/>
      </w:pPr>
      <w:r>
        <w:t xml:space="preserve">Milliy xususiyat: savdolashish – o‘zbek bozor madaniyatining ajralmas qismi; «Bozorda savdolashmagan – bozorni bilmagan», «Arzonning sho‘rvasi tatimas» kabi maqollar bu freymning qadriyatli komponentini ifodalaydi.</w:t>
      </w:r>
    </w:p>
    <w:p>
      <w:pPr>
        <w:spacing w:after="80"/>
        <w:ind w:firstLine="709"/>
        <w:jc w:val="both"/>
      </w:pPr>
      <w:r>
        <w:t xml:space="preserve">Freym nazariyasi o‘zbek tilshunosligida Sh. Safarov, A. Mamatov va boshqa olimlar ishlarida, shuningdek, ko‘plab dissertatsiyalarda («to‘y», «mehmondorchilik», «ta’lim», «tibbiyot» freymlari tahliliga bag‘ishlangan) qo‘llanilgan.</w:t>
      </w:r>
    </w:p>
    <w:p>
      <w:pPr>
        <w:pStyle w:val="Heading2"/>
      </w:pPr>
      <w:r>
        <w:t xml:space="preserve">Xulosa</w:t>
      </w:r>
    </w:p>
    <w:p>
      <w:pPr>
        <w:spacing w:after="80"/>
        <w:ind w:firstLine="709"/>
        <w:jc w:val="both"/>
      </w:pPr>
      <w:r>
        <w:t xml:space="preserve">Freym – stereotip vaziyat yoki ob’ekt haqidagi bilimlarni tartibga soluvchi ierarxik tuzilma. M. Minskiy tomonidan sun’iy intellekt sohasida kiritilgan bu tushuncha Ch. Fillmor tomonidan tilshunoslikka tatbiq etilib, so‘z ma’nosini u faollashtiradigan bilimlar fonida o‘rganish imkonini berdi.</w:t>
      </w:r>
    </w:p>
    <w:p>
      <w:pPr>
        <w:keepNext/>
        <w:spacing w:after="100" w:before="240"/>
        <w:jc w:val="left"/>
      </w:pPr>
      <w:r>
        <w:rPr>
          <w:b/>
          <w:bCs/>
        </w:rPr>
        <w:t xml:space="preserve">Nazorat savollari:</w:t>
      </w:r>
    </w:p>
    <w:p>
      <w:pPr>
        <w:pStyle w:val="ListParagraph"/>
        <w:numPr>
          <w:ilvl w:val="0"/>
          <w:numId w:val="4"/>
        </w:numPr>
        <w:spacing w:after="40"/>
        <w:jc w:val="left"/>
      </w:pPr>
      <w:r>
        <w:t xml:space="preserve">Freym tushunchasini kim, qachon va qaysi asarda kiritgan?</w:t>
      </w:r>
    </w:p>
    <w:p>
      <w:pPr>
        <w:pStyle w:val="ListParagraph"/>
        <w:numPr>
          <w:ilvl w:val="0"/>
          <w:numId w:val="4"/>
        </w:numPr>
        <w:spacing w:after="40"/>
        <w:jc w:val="left"/>
      </w:pPr>
      <w:r>
        <w:t xml:space="preserve">Ch. Fillmorning «tijorat bitimi» freymini tahlil qiling.</w:t>
      </w:r>
    </w:p>
    <w:p>
      <w:pPr>
        <w:pStyle w:val="ListParagraph"/>
        <w:numPr>
          <w:ilvl w:val="0"/>
          <w:numId w:val="4"/>
        </w:numPr>
        <w:spacing w:after="40"/>
        <w:jc w:val="left"/>
      </w:pPr>
      <w:r>
        <w:t xml:space="preserve">Freymning tarkibiy qismlari (slot, terminal, standart qiymat)ni izohlang.</w:t>
      </w:r>
    </w:p>
    <w:p>
      <w:pPr>
        <w:pStyle w:val="ListParagraph"/>
        <w:numPr>
          <w:ilvl w:val="0"/>
          <w:numId w:val="4"/>
        </w:numPr>
        <w:spacing w:after="40"/>
        <w:jc w:val="left"/>
      </w:pPr>
      <w:r>
        <w:t xml:space="preserve">Freymlarning qanday turlari mavjud?</w:t>
      </w:r>
    </w:p>
    <w:p>
      <w:pPr>
        <w:pStyle w:val="ListParagraph"/>
        <w:numPr>
          <w:ilvl w:val="0"/>
          <w:numId w:val="4"/>
        </w:numPr>
        <w:spacing w:after="40"/>
        <w:jc w:val="left"/>
      </w:pPr>
      <w:r>
        <w:t xml:space="preserve">O‘zbek tilidagi biror freymni (masalan, «Maktab», «Bozor», «To‘y») slotlar va terminallarga ajratib tahlil qiling.</w:t>
      </w:r>
    </w:p>
    <w:p>
      <w:pPr>
        <w:keepNext/>
        <w:spacing w:after="100" w:before="240"/>
        <w:jc w:val="left"/>
      </w:pPr>
      <w:r>
        <w:rPr>
          <w:b/>
          <w:bCs/>
        </w:rPr>
        <w:t xml:space="preserve">Foydalanilgan adabiyotlar:</w:t>
      </w:r>
    </w:p>
    <w:p>
      <w:pPr>
        <w:pStyle w:val="ListParagraph"/>
        <w:numPr>
          <w:ilvl w:val="0"/>
          <w:numId w:val="5"/>
        </w:numPr>
        <w:spacing w:after="40"/>
        <w:jc w:val="both"/>
      </w:pPr>
      <w:r>
        <w:t xml:space="preserve">Safarov Sh. Kognitiv tilshunoslik. – Jizzax: Sangzor, 2006.</w:t>
      </w:r>
    </w:p>
    <w:p>
      <w:pPr>
        <w:pStyle w:val="ListParagraph"/>
        <w:numPr>
          <w:ilvl w:val="0"/>
          <w:numId w:val="5"/>
        </w:numPr>
        <w:spacing w:after="40"/>
        <w:jc w:val="both"/>
      </w:pPr>
      <w:r>
        <w:t xml:space="preserve">Попова З.Д., Стернин И.А. Когнитивная лингвистика. – М.: АСТ: Восток–Запад, 2007.</w:t>
      </w:r>
    </w:p>
    <w:p>
      <w:pPr>
        <w:pStyle w:val="ListParagraph"/>
        <w:numPr>
          <w:ilvl w:val="0"/>
          <w:numId w:val="5"/>
        </w:numPr>
        <w:spacing w:after="40"/>
        <w:jc w:val="both"/>
      </w:pPr>
      <w:r>
        <w:t xml:space="preserve">Болдырев Н.Н. Когнитивная семантика. – Тамбов: Изд-во ТГУ, 2001.</w:t>
      </w:r>
    </w:p>
    <w:p>
      <w:pPr>
        <w:pStyle w:val="ListParagraph"/>
        <w:numPr>
          <w:ilvl w:val="0"/>
          <w:numId w:val="5"/>
        </w:numPr>
        <w:spacing w:after="40"/>
        <w:jc w:val="both"/>
      </w:pPr>
      <w:r>
        <w:t xml:space="preserve">Минский М. Фреймы для представления знаний. – М.: Энергия, 1979.</w:t>
      </w:r>
    </w:p>
    <w:p>
      <w:pPr>
        <w:pStyle w:val="ListParagraph"/>
        <w:numPr>
          <w:ilvl w:val="0"/>
          <w:numId w:val="5"/>
        </w:numPr>
        <w:spacing w:after="40"/>
        <w:jc w:val="both"/>
      </w:pPr>
      <w:r>
        <w:t xml:space="preserve">Fillmore Ch. Frame Semantics // Linguistics in the Morning Calm. – Seoul: Hanshin, 1982. – P. 111–137.</w:t>
      </w:r>
    </w:p>
    <w:p>
      <w:pPr>
        <w:pStyle w:val="ListParagraph"/>
        <w:numPr>
          <w:ilvl w:val="0"/>
          <w:numId w:val="5"/>
        </w:numPr>
        <w:spacing w:after="40"/>
        <w:jc w:val="both"/>
      </w:pPr>
      <w:r>
        <w:t xml:space="preserve">Кубрякова Е.С., Демьянков В.З., Панкрац Ю.Г., Лузина Л.Г. Краткий словарь когнитивных терминов. – М.: Филол. ф-т МГУ, 1996.</w:t>
      </w:r>
    </w:p>
    <w:p>
      <w:pPr>
        <w:pStyle w:val="ListParagraph"/>
        <w:numPr>
          <w:ilvl w:val="0"/>
          <w:numId w:val="5"/>
        </w:numPr>
        <w:spacing w:after="40"/>
        <w:jc w:val="both"/>
      </w:pPr>
      <w:r>
        <w:t xml:space="preserve">Evans V., Green M. Cognitive Linguistics: An Introduction. – Edinburgh: Edinburgh University Press, 2006.</w:t>
      </w:r>
    </w:p>
    <w:p>
      <w:pPr>
        <w:pStyle w:val="ListParagraph"/>
        <w:numPr>
          <w:ilvl w:val="0"/>
          <w:numId w:val="5"/>
        </w:numPr>
        <w:spacing w:after="40"/>
        <w:jc w:val="both"/>
      </w:pPr>
      <w:r>
        <w:t xml:space="preserve">FrameNet loyihasi: https://framenet.icsi.berkeley.edu</w:t>
      </w:r>
    </w:p>
    <w:sectPr>
      <w:footerReference w:type="default" r:id="rId7"/>
      <w:pgSz w:w="11906" w:h="16838" w:orient="portrait"/>
      <w:pgMar w:top="1134" w:right="850" w:bottom="1134" w:left="1701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sz w:val="22"/>
        <w:szCs w:val="22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1069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1069" w:hanging="360"/>
      </w:p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67" w:hanging="567"/>
      </w:pPr>
    </w:lvl>
  </w:abstractNum>
  <w:abstractNum w:abstractNumId="5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1069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5"/>
    <w:lvlOverride w:ilvl="0">
      <w:startOverride w:val="1"/>
    </w:lvlOverride>
  </w:num>
  <w:num w:numId="4">
    <w:abstractNumId w:val="3"/>
    <w:lvlOverride w:ilvl="0">
      <w:startOverride w:val="1"/>
    </w:lvlOverride>
  </w:num>
  <w:num w:numId="5">
    <w:abstractNumId w:val="4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cs="Times New Roman" w:eastAsia="Times New Roman" w:hAnsi="Times New Roman"/>
        <w:sz w:val="28"/>
        <w:szCs w:val="28"/>
      </w:rPr>
    </w:rPrDefault>
    <w:pPrDefault>
      <w:pPr>
        <w:spacing w:line="300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/>
      <w:jc w:val="center"/>
      <w:outlineLvl w:val="0"/>
    </w:pPr>
    <w:rPr>
      <w:rFonts w:ascii="Times New Roman" w:cs="Times New Roman" w:eastAsia="Times New Roman" w:hAnsi="Times New Roman"/>
      <w:b/>
      <w:bCs/>
      <w:color w:val="1F3864"/>
      <w:sz w:val="30"/>
      <w:szCs w:val="30"/>
    </w:rPr>
  </w:style>
  <w:style w:type="paragraph" w:styleId="Heading2">
    <w:name w:val="Heading 2"/>
    <w:basedOn w:val="Normal"/>
    <w:next w:val="Normal"/>
    <w:qFormat/>
    <w:pPr>
      <w:keepNext/>
      <w:spacing w:after="100" w:before="240"/>
      <w:outlineLvl w:val="1"/>
    </w:pPr>
    <w:rPr>
      <w:rFonts w:ascii="Times New Roman" w:cs="Times New Roman" w:eastAsia="Times New Roman" w:hAnsi="Times New Roman"/>
      <w:b/>
      <w:bCs/>
      <w:color w:val="1F4E79"/>
      <w:sz w:val="28"/>
      <w:szCs w:val="28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8-MA’RUZA. FREYM TUSHUNCHASI</dc:title>
  <dc:creator>Un-named</dc:creator>
  <cp:lastModifiedBy>Un-named</cp:lastModifiedBy>
  <cp:revision>1</cp:revision>
  <dcterms:created xsi:type="dcterms:W3CDTF">2026-10-30T07:33:46.344Z</dcterms:created>
  <dcterms:modified xsi:type="dcterms:W3CDTF">2026-10-30T07:33:46.344Z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