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9-MA’RUZA. GESHTALT TUSHUNCHASI</w:t>
      </w:r>
    </w:p>
    <w:p>
      <w:pPr>
        <w:keepNext/>
        <w:spacing w:after="100" w:before="240"/>
        <w:jc w:val="center"/>
      </w:pPr>
      <w:r>
        <w:rPr>
          <w:b/>
          <w:bCs/>
        </w:rPr>
        <w:t xml:space="preserve">Reja:</w:t>
      </w:r>
    </w:p>
    <w:p>
      <w:pPr>
        <w:pStyle w:val="ListParagraph"/>
        <w:numPr>
          <w:ilvl w:val="0"/>
          <w:numId w:val="2"/>
        </w:numPr>
        <w:spacing w:after="40"/>
        <w:jc w:val="left"/>
      </w:pPr>
      <w:r>
        <w:t xml:space="preserve">Geshtalt psixologiyasining paydo bo‘lishi va asosiy namoyandalari.</w:t>
      </w:r>
    </w:p>
    <w:p>
      <w:pPr>
        <w:pStyle w:val="ListParagraph"/>
        <w:numPr>
          <w:ilvl w:val="0"/>
          <w:numId w:val="2"/>
        </w:numPr>
        <w:spacing w:after="40"/>
        <w:jc w:val="left"/>
      </w:pPr>
      <w:r>
        <w:t xml:space="preserve">Idrokning geshtalt qonunlari.</w:t>
      </w:r>
    </w:p>
    <w:p>
      <w:pPr>
        <w:pStyle w:val="ListParagraph"/>
        <w:numPr>
          <w:ilvl w:val="0"/>
          <w:numId w:val="2"/>
        </w:numPr>
        <w:spacing w:after="40"/>
        <w:jc w:val="left"/>
      </w:pPr>
      <w:r>
        <w:t xml:space="preserve">«Figura va fon» tamoyili.</w:t>
      </w:r>
    </w:p>
    <w:p>
      <w:pPr>
        <w:pStyle w:val="ListParagraph"/>
        <w:numPr>
          <w:ilvl w:val="0"/>
          <w:numId w:val="2"/>
        </w:numPr>
        <w:spacing w:after="40"/>
        <w:jc w:val="left"/>
      </w:pPr>
      <w:r>
        <w:t xml:space="preserve">Lingvistik geshtaltlar (J. Lakoff) va geshtaltning til birliklarida aks etishi.</w:t>
      </w:r>
    </w:p>
    <w:p>
      <w:pPr>
        <w:pStyle w:val="ListParagraph"/>
        <w:numPr>
          <w:ilvl w:val="0"/>
          <w:numId w:val="2"/>
        </w:numPr>
        <w:spacing w:after="40"/>
        <w:jc w:val="left"/>
      </w:pPr>
      <w:r>
        <w:t xml:space="preserve">Geshtalt konsept turi sifatida.</w:t>
      </w:r>
    </w:p>
    <w:p>
      <w:pPr>
        <w:shd w:fill="EAF1F8" w:color="auto" w:val="clear"/>
        <w:spacing w:after="200" w:before="240"/>
        <w:jc w:val="both"/>
      </w:pPr>
      <w:r>
        <w:rPr>
          <w:b/>
          <w:bCs/>
        </w:rPr>
        <w:t xml:space="preserve">Tayanch tushunchalar: </w:t>
      </w:r>
      <w:r>
        <w:rPr>
          <w:i/>
          <w:iCs/>
        </w:rPr>
        <w:t xml:space="preserve">geshtalt, geshtalt sifati, fi-fenomen, insayt, figura, fon, trayektor, landmark, pregnantlik, lingvistik geshtalt, tajribaviy geshtalt.</w:t>
      </w:r>
    </w:p>
    <w:p>
      <w:pPr>
        <w:pStyle w:val="Heading2"/>
      </w:pPr>
      <w:r>
        <w:t xml:space="preserve">1. Geshtalt psixologiyasining paydo bo‘lishi</w:t>
      </w:r>
    </w:p>
    <w:p>
      <w:pPr>
        <w:spacing w:after="80"/>
        <w:ind w:firstLine="709"/>
        <w:jc w:val="both"/>
      </w:pPr>
      <w:r>
        <w:t xml:space="preserve">«Geshtalt» (nem. Gestalt – «shakl, obraz, yaxlit tuzilma») – qismlarining oddiy yig‘indisiga teng bo‘lmagan, yaxlit holda idrok etiladigan tuzilma.</w:t>
      </w:r>
    </w:p>
    <w:p>
      <w:pPr>
        <w:spacing w:after="80"/>
        <w:ind w:firstLine="709"/>
        <w:jc w:val="both"/>
      </w:pPr>
      <w:r>
        <w:t xml:space="preserve">«Geshtalt sifati» tushunchasini avstriyalik faylasuf </w:t>
      </w:r>
      <w:r>
        <w:rPr>
          <w:b/>
          <w:bCs/>
        </w:rPr>
        <w:t xml:space="preserve">Xristian fon Erenfels</w:t>
      </w:r>
      <w:r>
        <w:t xml:space="preserve"> «Geshtalt sifatlari haqida» (Über Gestaltqualitäten, 1890) maqolasida kiritgan. U kuy misolida fikrini asoslagan: kuyni boshqa tonallikka o‘tkazganda barcha tovushlar o‘zgaradi, ammo kuy o‘sha kuy bo‘lib qolaveradi. Demak, yaxlitlik qismlarga bog‘liq bo‘lmagan alohida sifatga ega.</w:t>
      </w:r>
    </w:p>
    <w:p>
      <w:pPr>
        <w:spacing w:after="80"/>
        <w:ind w:firstLine="709"/>
        <w:jc w:val="both"/>
      </w:pPr>
      <w:r>
        <w:rPr>
          <w:b/>
          <w:bCs/>
        </w:rPr>
        <w:t xml:space="preserve">Geshtalt psixologiyasi</w:t>
      </w:r>
      <w:r>
        <w:t xml:space="preserve"> maktabi 1910-yillarda Germaniyada shakllandi. Uning asoschilari:</w:t>
      </w:r>
    </w:p>
    <w:p>
      <w:pPr>
        <w:pStyle w:val="ListParagraph"/>
        <w:numPr>
          <w:ilvl w:val="0"/>
          <w:numId w:val="3"/>
        </w:numPr>
        <w:spacing w:after="40"/>
        <w:jc w:val="both"/>
      </w:pPr>
      <w:r>
        <w:rPr>
          <w:b/>
          <w:bCs/>
        </w:rPr>
        <w:t xml:space="preserve">Maks Verthaymer</w:t>
      </w:r>
      <w:r>
        <w:t xml:space="preserve"> (1880–1943) – 1912-yilda «Harakatni ko‘rishning eksperimental tadqiqi» maqolasida «fi-fenomen»ni tavsiflagan: ketma-ket yonib-o‘chuvchi ikki nuqta harakatlanayotgan bitta nuqta sifatida idrok etiladi. Bu sana geshtalt psixologiyasining tug‘ilgan yili hisoblanadi.</w:t>
      </w:r>
    </w:p>
    <w:p>
      <w:pPr>
        <w:pStyle w:val="ListParagraph"/>
        <w:numPr>
          <w:ilvl w:val="0"/>
          <w:numId w:val="3"/>
        </w:numPr>
        <w:spacing w:after="40"/>
        <w:jc w:val="both"/>
      </w:pPr>
      <w:r>
        <w:rPr>
          <w:b/>
          <w:bCs/>
        </w:rPr>
        <w:t xml:space="preserve">Volfgang Köler</w:t>
      </w:r>
      <w:r>
        <w:t xml:space="preserve"> (1887–1967) – maymunlarda «insayt» (to‘satdan anglash) hodisasini o‘rgangan.</w:t>
      </w:r>
    </w:p>
    <w:p>
      <w:pPr>
        <w:pStyle w:val="ListParagraph"/>
        <w:numPr>
          <w:ilvl w:val="0"/>
          <w:numId w:val="3"/>
        </w:numPr>
        <w:spacing w:after="40"/>
        <w:jc w:val="both"/>
      </w:pPr>
      <w:r>
        <w:rPr>
          <w:b/>
          <w:bCs/>
        </w:rPr>
        <w:t xml:space="preserve">Kurt Koffka</w:t>
      </w:r>
      <w:r>
        <w:t xml:space="preserve"> (1886–1941) – «Geshtalt psixologiyasi tamoyillari» (1935) asari muallifi.</w:t>
      </w:r>
    </w:p>
    <w:p>
      <w:pPr>
        <w:spacing w:after="80"/>
        <w:ind w:firstLine="709"/>
        <w:jc w:val="both"/>
      </w:pPr>
      <w:r>
        <w:t xml:space="preserve">Geshtalt psixologiyasining asosiy g‘oyasi: </w:t>
      </w:r>
      <w:r>
        <w:rPr>
          <w:b/>
          <w:bCs/>
        </w:rPr>
        <w:t xml:space="preserve">butun qismlar yig‘indisidan ortiq</w:t>
      </w:r>
      <w:r>
        <w:t xml:space="preserve"> (aniqrog‘i, undan farqli); inson olamni alohida elementlar (sezgilar) to‘plami sifatida emas, balki yaxlit obrazlar sifatida idrok etadi.</w:t>
      </w:r>
    </w:p>
    <w:p>
      <w:pPr>
        <w:pStyle w:val="Heading2"/>
      </w:pPr>
      <w:r>
        <w:t xml:space="preserve">2. Idrokning geshtalt qonunlari</w:t>
      </w:r>
    </w:p>
    <w:p>
      <w:pPr>
        <w:spacing w:after="80"/>
        <w:ind w:firstLine="709"/>
        <w:jc w:val="both"/>
      </w:pPr>
      <w:r>
        <w:t xml:space="preserve">Geshtalt psixologlari idrokning quyidagi tamoyillarini (qonunlarini) aniqlagan:</w:t>
      </w:r>
    </w:p>
    <w:p>
      <w:pPr>
        <w:pStyle w:val="ListParagraph"/>
        <w:numPr>
          <w:ilvl w:val="0"/>
          <w:numId w:val="3"/>
        </w:numPr>
        <w:spacing w:after="40"/>
        <w:jc w:val="both"/>
      </w:pPr>
      <w:r>
        <w:rPr>
          <w:b/>
          <w:bCs/>
        </w:rPr>
        <w:t xml:space="preserve">Yaqinlik qonuni</w:t>
      </w:r>
      <w:r>
        <w:t xml:space="preserve"> – bir-biriga yaqin joylashgan elementlar bir guruh sifatida idrok etiladi.</w:t>
      </w:r>
    </w:p>
    <w:p>
      <w:pPr>
        <w:pStyle w:val="ListParagraph"/>
        <w:numPr>
          <w:ilvl w:val="0"/>
          <w:numId w:val="3"/>
        </w:numPr>
        <w:spacing w:after="40"/>
        <w:jc w:val="both"/>
      </w:pPr>
      <w:r>
        <w:rPr>
          <w:b/>
          <w:bCs/>
        </w:rPr>
        <w:t xml:space="preserve">O‘xshashlik qonuni</w:t>
      </w:r>
      <w:r>
        <w:t xml:space="preserve"> – shakli, rangi, kattaligi o‘xshash elementlar birlashtiriladi.</w:t>
      </w:r>
    </w:p>
    <w:p>
      <w:pPr>
        <w:pStyle w:val="ListParagraph"/>
        <w:numPr>
          <w:ilvl w:val="0"/>
          <w:numId w:val="3"/>
        </w:numPr>
        <w:spacing w:after="40"/>
        <w:jc w:val="both"/>
      </w:pPr>
      <w:r>
        <w:rPr>
          <w:b/>
          <w:bCs/>
        </w:rPr>
        <w:t xml:space="preserve">Yopiqlik (tugallanganlik) qonuni</w:t>
      </w:r>
      <w:r>
        <w:t xml:space="preserve"> – ong to‘liq bo‘lmagan shakllarni tugallangan holda idrok etadi (uzilgan doira – doira sifatida).</w:t>
      </w:r>
    </w:p>
    <w:p>
      <w:pPr>
        <w:pStyle w:val="ListParagraph"/>
        <w:numPr>
          <w:ilvl w:val="0"/>
          <w:numId w:val="3"/>
        </w:numPr>
        <w:spacing w:after="40"/>
        <w:jc w:val="both"/>
      </w:pPr>
      <w:r>
        <w:rPr>
          <w:b/>
          <w:bCs/>
        </w:rPr>
        <w:t xml:space="preserve">Uzluksizlik qonuni</w:t>
      </w:r>
      <w:r>
        <w:t xml:space="preserve"> – elementlar silliq chiziq yoki yo‘nalish bo‘ylab birlashtiriladi.</w:t>
      </w:r>
    </w:p>
    <w:p>
      <w:pPr>
        <w:pStyle w:val="ListParagraph"/>
        <w:numPr>
          <w:ilvl w:val="0"/>
          <w:numId w:val="3"/>
        </w:numPr>
        <w:spacing w:after="40"/>
        <w:jc w:val="both"/>
      </w:pPr>
      <w:r>
        <w:rPr>
          <w:b/>
          <w:bCs/>
        </w:rPr>
        <w:t xml:space="preserve">Pregnantlik («yaxshi shakl») qonuni</w:t>
      </w:r>
      <w:r>
        <w:t xml:space="preserve"> – idrok eng sodda, barqaror, simmetrik shaklga intiladi.</w:t>
      </w:r>
    </w:p>
    <w:p>
      <w:pPr>
        <w:pStyle w:val="ListParagraph"/>
        <w:numPr>
          <w:ilvl w:val="0"/>
          <w:numId w:val="3"/>
        </w:numPr>
        <w:spacing w:after="40"/>
        <w:jc w:val="both"/>
      </w:pPr>
      <w:r>
        <w:rPr>
          <w:b/>
          <w:bCs/>
        </w:rPr>
        <w:t xml:space="preserve">Umumiy taqdir qonuni</w:t>
      </w:r>
      <w:r>
        <w:t xml:space="preserve"> – bir yo‘nalishda harakatlanuvchi elementlar bir guruh sifatida idrok etiladi.</w:t>
      </w:r>
    </w:p>
    <w:p>
      <w:pPr>
        <w:pStyle w:val="Heading2"/>
      </w:pPr>
      <w:r>
        <w:t xml:space="preserve">3. «Figura va fon» tamoyili</w:t>
      </w:r>
    </w:p>
    <w:p>
      <w:pPr>
        <w:spacing w:after="80"/>
        <w:ind w:firstLine="709"/>
        <w:jc w:val="both"/>
      </w:pPr>
      <w:r>
        <w:t xml:space="preserve">Daniyalik psixolog </w:t>
      </w:r>
      <w:r>
        <w:rPr>
          <w:b/>
          <w:bCs/>
        </w:rPr>
        <w:t xml:space="preserve">Edgar Rubin</w:t>
      </w:r>
      <w:r>
        <w:t xml:space="preserve"> (1915) idrok maydonida doimo </w:t>
      </w:r>
      <w:r>
        <w:rPr>
          <w:b/>
          <w:bCs/>
        </w:rPr>
        <w:t xml:space="preserve">figura</w:t>
      </w:r>
      <w:r>
        <w:t xml:space="preserve"> (diqqat markazidagi, aniq chegaralangan, «oldinga chiqib turgan» qism) va </w:t>
      </w:r>
      <w:r>
        <w:rPr>
          <w:b/>
          <w:bCs/>
        </w:rPr>
        <w:t xml:space="preserve">fon</w:t>
      </w:r>
      <w:r>
        <w:t xml:space="preserve"> (orqa plan, aniq shaklga ega bo‘lmagan qism) ajralishini ko‘rsatgan. Uning mashhur «Rubin vazasi» rasmida tomoshabin goh vazani, goh bir-biriga qarab turgan ikki yuzni ko‘radi.</w:t>
      </w:r>
    </w:p>
    <w:p>
      <w:pPr>
        <w:spacing w:after="80"/>
        <w:ind w:firstLine="709"/>
        <w:jc w:val="both"/>
      </w:pPr>
      <w:r>
        <w:t xml:space="preserve">Bu tamoyil kognitiv tilshunoslikda keng qo‘llanadi:</w:t>
      </w:r>
    </w:p>
    <w:p>
      <w:pPr>
        <w:pStyle w:val="ListParagraph"/>
        <w:numPr>
          <w:ilvl w:val="0"/>
          <w:numId w:val="3"/>
        </w:numPr>
        <w:spacing w:after="40"/>
        <w:jc w:val="both"/>
      </w:pPr>
      <w:r>
        <w:rPr>
          <w:b/>
          <w:bCs/>
        </w:rPr>
        <w:t xml:space="preserve">L. Talmi</w:t>
      </w:r>
      <w:r>
        <w:t xml:space="preserve"> tilda makoniy munosabatlarni ifodalashda «figura» (harakatlanuvchi yoki joylashuvi aniqlanuvchi ob’ekt) va «fon» (mo‘ljal ob’ekt)ni farqlaydi: «Velosiped uy yonida turibdi» gapida velosiped – figura, uy – fon. «Uy velosiped yonida turibdi» gapining g‘alati tuyulishi tilda kichik, harakatchan ob’ekt odatda figura, katta va barqaror ob’ekt esa fon sifatida tanlanishini ko‘rsatadi.</w:t>
      </w:r>
    </w:p>
    <w:p>
      <w:pPr>
        <w:pStyle w:val="ListParagraph"/>
        <w:numPr>
          <w:ilvl w:val="0"/>
          <w:numId w:val="3"/>
        </w:numPr>
        <w:spacing w:after="40"/>
        <w:jc w:val="both"/>
      </w:pPr>
      <w:r>
        <w:rPr>
          <w:b/>
          <w:bCs/>
        </w:rPr>
        <w:t xml:space="preserve">R. Lenekker</w:t>
      </w:r>
      <w:r>
        <w:t xml:space="preserve"> bu tamoyilni «trayektor» va «landmark» atamalari bilan ifodalaydi.</w:t>
      </w:r>
    </w:p>
    <w:p>
      <w:pPr>
        <w:pStyle w:val="ListParagraph"/>
        <w:numPr>
          <w:ilvl w:val="0"/>
          <w:numId w:val="3"/>
        </w:numPr>
        <w:spacing w:after="40"/>
        <w:jc w:val="both"/>
      </w:pPr>
      <w:r>
        <w:t xml:space="preserve">Gapda ega va kesim munosabati, aktiv va passiv konstruksiyalar tanlovi ham figura–fon tamoyili bilan izohlanadi: «Ali derazani sindirdi» (Ali – figura) va «Deraza sindirildi» (deraza – figura, harakat bajaruvchisi fonga o‘tgan).</w:t>
      </w:r>
    </w:p>
    <w:p>
      <w:pPr>
        <w:pStyle w:val="Heading2"/>
      </w:pPr>
      <w:r>
        <w:t xml:space="preserve">4. Lingvistik geshtaltlar</w:t>
      </w:r>
    </w:p>
    <w:p>
      <w:pPr>
        <w:spacing w:after="80"/>
        <w:ind w:firstLine="709"/>
        <w:jc w:val="both"/>
      </w:pPr>
      <w:r>
        <w:t xml:space="preserve">Tilshunoslikka geshtalt tushunchasini </w:t>
      </w:r>
      <w:r>
        <w:rPr>
          <w:b/>
          <w:bCs/>
        </w:rPr>
        <w:t xml:space="preserve">J. Lakoff</w:t>
      </w:r>
      <w:r>
        <w:t xml:space="preserve"> «Lingvistik geshtaltlar» (Linguistic Gestalts, 1977) maqolasida olib kirgan. Uning fikricha, tafakkur, idrok, emotsiya, bilish jarayonlari, til tuzilishi geshtaltlar asosida tashkil topgan; geshtaltlar ham yaxlit, ham tahlil qilinadigan bo‘ladi; ularning qismlari yaxlitlik ichidagi vazifasi bilan belgilanadi.</w:t>
      </w:r>
    </w:p>
    <w:p>
      <w:pPr>
        <w:spacing w:after="80"/>
        <w:ind w:firstLine="709"/>
        <w:jc w:val="both"/>
      </w:pPr>
      <w:r>
        <w:t xml:space="preserve">Lakoff va Jonson «Biz yashaydigan metaforalar» (1980) asarida </w:t>
      </w:r>
      <w:r>
        <w:rPr>
          <w:b/>
          <w:bCs/>
        </w:rPr>
        <w:t xml:space="preserve">tajribaviy geshtaltlar</w:t>
      </w:r>
      <w:r>
        <w:t xml:space="preserve"> (experiential gestalts) tushunchasini kiritadi: masalan, «suhbat» – ishtirokchilar, navbat bilan gapirish, mavzu, bosqichlar (boshlanish, rivojlanish, yakun) dan iborat yaxlit geshtalt.</w:t>
      </w:r>
    </w:p>
    <w:p>
      <w:pPr>
        <w:spacing w:after="80"/>
        <w:ind w:firstLine="709"/>
        <w:jc w:val="both"/>
      </w:pPr>
      <w:r>
        <w:t xml:space="preserve">Til birliklarida geshtalt tamoyilining namoyon bo‘lishi:</w:t>
      </w:r>
    </w:p>
    <w:p>
      <w:pPr>
        <w:pStyle w:val="ListParagraph"/>
        <w:numPr>
          <w:ilvl w:val="0"/>
          <w:numId w:val="3"/>
        </w:numPr>
        <w:spacing w:after="40"/>
        <w:jc w:val="both"/>
      </w:pPr>
      <w:r>
        <w:rPr>
          <w:b/>
          <w:bCs/>
        </w:rPr>
        <w:t xml:space="preserve">Frazeologizmlar</w:t>
      </w:r>
      <w:r>
        <w:t xml:space="preserve"> – ularning umumiy ma’nosi tarkibidagi so‘zlar ma’nolari yig‘indisiga teng emas: «tarvuzi qo‘ltig‘idan tushdi» (umidi puchga chiqdi), «ko‘zi ochildi», «og‘zi qulog‘ida».</w:t>
      </w:r>
    </w:p>
    <w:p>
      <w:pPr>
        <w:pStyle w:val="ListParagraph"/>
        <w:numPr>
          <w:ilvl w:val="0"/>
          <w:numId w:val="3"/>
        </w:numPr>
        <w:spacing w:after="40"/>
        <w:jc w:val="both"/>
      </w:pPr>
      <w:r>
        <w:rPr>
          <w:b/>
          <w:bCs/>
        </w:rPr>
        <w:t xml:space="preserve">Murakkab so‘zlar</w:t>
      </w:r>
      <w:r>
        <w:t xml:space="preserve">: «belbog‘», «oshqozon», «ko‘zoynak» – ma’nosi qismlar yig‘indisidan farqli.</w:t>
      </w:r>
    </w:p>
    <w:p>
      <w:pPr>
        <w:pStyle w:val="ListParagraph"/>
        <w:numPr>
          <w:ilvl w:val="0"/>
          <w:numId w:val="3"/>
        </w:numPr>
        <w:spacing w:after="40"/>
        <w:jc w:val="both"/>
      </w:pPr>
      <w:r>
        <w:rPr>
          <w:b/>
          <w:bCs/>
        </w:rPr>
        <w:t xml:space="preserve">Konstruksiyalar</w:t>
      </w:r>
      <w:r>
        <w:t xml:space="preserve"> (A. Goldberg): sintaktik qolipning o‘zi ma’noga ega.</w:t>
      </w:r>
    </w:p>
    <w:p>
      <w:pPr>
        <w:pStyle w:val="ListParagraph"/>
        <w:numPr>
          <w:ilvl w:val="0"/>
          <w:numId w:val="3"/>
        </w:numPr>
        <w:spacing w:after="40"/>
        <w:jc w:val="both"/>
      </w:pPr>
      <w:r>
        <w:rPr>
          <w:b/>
          <w:bCs/>
        </w:rPr>
        <w:t xml:space="preserve">Matn</w:t>
      </w:r>
      <w:r>
        <w:t xml:space="preserve"> – yaxlitlik (integrativlik) uning asosiy belgisi; matn alohida gaplar yig‘indisidan iborat emas.</w:t>
      </w:r>
    </w:p>
    <w:p>
      <w:pPr>
        <w:pStyle w:val="Heading2"/>
      </w:pPr>
      <w:r>
        <w:t xml:space="preserve">5. Geshtalt konsept turi sifatida</w:t>
      </w:r>
    </w:p>
    <w:p>
      <w:pPr>
        <w:spacing w:after="80"/>
        <w:ind w:firstLine="709"/>
        <w:jc w:val="both"/>
      </w:pPr>
      <w:r>
        <w:t xml:space="preserve">Z.D. Popova va I.A. Sternin geshtaltni konseptning alohida turi sifatida ajratadi: </w:t>
      </w:r>
      <w:r>
        <w:rPr>
          <w:b/>
          <w:bCs/>
        </w:rPr>
        <w:t xml:space="preserve">geshtalt</w:t>
      </w:r>
      <w:r>
        <w:t xml:space="preserve"> – predmet yoki hodisaning hissiy va ratsional elementlari birlashgan yaxlit, bo‘linmas obrazi. Masalan, «Samarqand» deganda ko‘z oldimizga Registon, ko‘k gumbazlar, Amir Temur, «Sayqali ro‘yi zamin» (Yer yuzining sayqali) kabi tasavvurlar yaxlit holda keladi. «Bahor», «bayram», «bolalik» kabi konseptlar ham geshtalt tarzida mavjud bo‘ladi.</w:t>
      </w:r>
    </w:p>
    <w:p>
      <w:pPr>
        <w:pStyle w:val="Heading2"/>
      </w:pPr>
      <w:r>
        <w:t xml:space="preserve">Xulosa</w:t>
      </w:r>
    </w:p>
    <w:p>
      <w:pPr>
        <w:spacing w:after="80"/>
        <w:ind w:firstLine="709"/>
        <w:jc w:val="both"/>
      </w:pPr>
      <w:r>
        <w:t xml:space="preserve">Geshtalt – yaxlit idrok etiladigan, qismlar yig‘indisiga teng bo‘lmagan tuzilma. Geshtalt psixologiyasining g‘oyalari (yaxlitlik, figura va fon, idrok qonunlari) kognitiv tilshunoslikda gap tuzilishi, frazeologiya, matn yaxlitligi va konseptlar tahlilida keng qo‘llanmoqda.</w:t>
      </w:r>
    </w:p>
    <w:p>
      <w:pPr>
        <w:keepNext/>
        <w:spacing w:after="100" w:before="240"/>
        <w:jc w:val="left"/>
      </w:pPr>
      <w:r>
        <w:rPr>
          <w:b/>
          <w:bCs/>
        </w:rPr>
        <w:t xml:space="preserve">Nazorat savollari:</w:t>
      </w:r>
    </w:p>
    <w:p>
      <w:pPr>
        <w:pStyle w:val="ListParagraph"/>
        <w:numPr>
          <w:ilvl w:val="0"/>
          <w:numId w:val="4"/>
        </w:numPr>
        <w:spacing w:after="40"/>
        <w:jc w:val="left"/>
      </w:pPr>
      <w:r>
        <w:t xml:space="preserve">Geshtalt tushunchasining mazmunini Erenfels misoli asosida izohlang.</w:t>
      </w:r>
    </w:p>
    <w:p>
      <w:pPr>
        <w:pStyle w:val="ListParagraph"/>
        <w:numPr>
          <w:ilvl w:val="0"/>
          <w:numId w:val="4"/>
        </w:numPr>
        <w:spacing w:after="40"/>
        <w:jc w:val="left"/>
      </w:pPr>
      <w:r>
        <w:t xml:space="preserve">Geshtalt psixologiyasining asoschilari kimlar va ularning asosiy xizmatlari nimada?</w:t>
      </w:r>
    </w:p>
    <w:p>
      <w:pPr>
        <w:pStyle w:val="ListParagraph"/>
        <w:numPr>
          <w:ilvl w:val="0"/>
          <w:numId w:val="4"/>
        </w:numPr>
        <w:spacing w:after="40"/>
        <w:jc w:val="left"/>
      </w:pPr>
      <w:r>
        <w:t xml:space="preserve">Idrokning qaysi geshtalt qonunlarini bilasiz?</w:t>
      </w:r>
    </w:p>
    <w:p>
      <w:pPr>
        <w:pStyle w:val="ListParagraph"/>
        <w:numPr>
          <w:ilvl w:val="0"/>
          <w:numId w:val="4"/>
        </w:numPr>
        <w:spacing w:after="40"/>
        <w:jc w:val="left"/>
      </w:pPr>
      <w:r>
        <w:t xml:space="preserve">«Figura va fon» tamoyilining tildagi namoyon bo‘lishini misollar bilan ko‘rsating.</w:t>
      </w:r>
    </w:p>
    <w:p>
      <w:pPr>
        <w:pStyle w:val="ListParagraph"/>
        <w:numPr>
          <w:ilvl w:val="0"/>
          <w:numId w:val="4"/>
        </w:numPr>
        <w:spacing w:after="40"/>
        <w:jc w:val="left"/>
      </w:pPr>
      <w:r>
        <w:t xml:space="preserve">Frazeologizmlarni geshtalt nuqtai nazaridan tahlil qiling.</w:t>
      </w:r>
    </w:p>
    <w:p>
      <w:pPr>
        <w:keepNext/>
        <w:spacing w:after="100" w:before="240"/>
        <w:jc w:val="left"/>
      </w:pPr>
      <w:r>
        <w:rPr>
          <w:b/>
          <w:bCs/>
        </w:rPr>
        <w:t xml:space="preserve">Foydalanilgan adabiyotlar:</w:t>
      </w:r>
    </w:p>
    <w:p>
      <w:pPr>
        <w:pStyle w:val="ListParagraph"/>
        <w:numPr>
          <w:ilvl w:val="0"/>
          <w:numId w:val="5"/>
        </w:numPr>
        <w:spacing w:after="40"/>
        <w:jc w:val="both"/>
      </w:pPr>
      <w:r>
        <w:t xml:space="preserve">Safarov Sh. Kognitiv tilshunoslik. – Jizzax: Sangzor, 2006.</w:t>
      </w:r>
    </w:p>
    <w:p>
      <w:pPr>
        <w:pStyle w:val="ListParagraph"/>
        <w:numPr>
          <w:ilvl w:val="0"/>
          <w:numId w:val="5"/>
        </w:numPr>
        <w:spacing w:after="40"/>
        <w:jc w:val="both"/>
      </w:pPr>
      <w:r>
        <w:t xml:space="preserve">Попова З.Д., Стернин И.А. Когнитивная лингвистика. – М.: АСТ: Восток–Запад, 2007.</w:t>
      </w:r>
    </w:p>
    <w:p>
      <w:pPr>
        <w:pStyle w:val="ListParagraph"/>
        <w:numPr>
          <w:ilvl w:val="0"/>
          <w:numId w:val="5"/>
        </w:numPr>
        <w:spacing w:after="40"/>
        <w:jc w:val="both"/>
      </w:pPr>
      <w:r>
        <w:t xml:space="preserve">Кубрякова Е.С., Демьянков В.З., Панкрац Ю.Г., Лузина Л.Г. Краткий словарь когнитивных терминов. – М.: Филол. ф-т МГУ, 1996.</w:t>
      </w:r>
    </w:p>
    <w:p>
      <w:pPr>
        <w:pStyle w:val="ListParagraph"/>
        <w:numPr>
          <w:ilvl w:val="0"/>
          <w:numId w:val="5"/>
        </w:numPr>
        <w:spacing w:after="40"/>
        <w:jc w:val="both"/>
      </w:pPr>
      <w:r>
        <w:t xml:space="preserve">Lakoff G. Linguistic Gestalts // Papers from the Thirteenth Regional Meeting of the Chicago Linguistic Society. – Chicago, 1977. – P. 236–287.</w:t>
      </w:r>
    </w:p>
    <w:p>
      <w:pPr>
        <w:pStyle w:val="ListParagraph"/>
        <w:numPr>
          <w:ilvl w:val="0"/>
          <w:numId w:val="5"/>
        </w:numPr>
        <w:spacing w:after="40"/>
        <w:jc w:val="both"/>
      </w:pPr>
      <w:r>
        <w:t xml:space="preserve">Koffka K. Principles of Gestalt Psychology. – New York: Harcourt, Brace and Company, 1935.</w:t>
      </w:r>
    </w:p>
    <w:p>
      <w:pPr>
        <w:pStyle w:val="ListParagraph"/>
        <w:numPr>
          <w:ilvl w:val="0"/>
          <w:numId w:val="5"/>
        </w:numPr>
        <w:spacing w:after="40"/>
        <w:jc w:val="both"/>
      </w:pPr>
      <w:r>
        <w:t xml:space="preserve">Talmy L. Toward a Cognitive Semantics. Vol. 1–2. – Cambridge, MA: MIT Press, 2000.</w:t>
      </w:r>
    </w:p>
    <w:p>
      <w:pPr>
        <w:pStyle w:val="ListParagraph"/>
        <w:numPr>
          <w:ilvl w:val="0"/>
          <w:numId w:val="5"/>
        </w:numPr>
        <w:spacing w:after="40"/>
        <w:jc w:val="both"/>
      </w:pPr>
      <w:r>
        <w:t xml:space="preserve">Evans V., Green M. Cognitive Linguistics: An Introduction. – Edinburgh: Edinburgh University Press, 2006.</w:t>
      </w:r>
    </w:p>
    <w:p>
      <w:pPr>
        <w:pStyle w:val="ListParagraph"/>
        <w:numPr>
          <w:ilvl w:val="0"/>
          <w:numId w:val="5"/>
        </w:numPr>
        <w:spacing w:after="40"/>
        <w:jc w:val="both"/>
      </w:pPr>
      <w:r>
        <w:t xml:space="preserve">Lakoff G., Johnson M. Metaphors We Live By. – Chicago: University of Chicago Press, 1980.</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9-MA’RUZA. GESHTALT TUSHUNCHASI</dc:title>
  <dc:creator>Un-named</dc:creator>
  <cp:lastModifiedBy>Un-named</cp:lastModifiedBy>
  <cp:revision>1</cp:revision>
  <dcterms:created xsi:type="dcterms:W3CDTF">2026-10-30T07:33:46.357Z</dcterms:created>
  <dcterms:modified xsi:type="dcterms:W3CDTF">2026-10-30T07:33:46.357Z</dcterms:modified>
</cp:coreProperties>
</file>

<file path=docProps/custom.xml><?xml version="1.0" encoding="utf-8"?>
<Properties xmlns="http://schemas.openxmlformats.org/officeDocument/2006/custom-properties" xmlns:vt="http://schemas.openxmlformats.org/officeDocument/2006/docPropsVTypes"/>
</file>