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10-MA’RUZA. KATEGORIYA TUSHUNCHASI. KATEGORIYALASHNING TARIXIY VA AN’ANAVIY ILDIZLARI</w:t>
      </w:r>
    </w:p>
    <w:p>
      <w:pPr>
        <w:keepNext/>
        <w:spacing w:after="100" w:before="240"/>
        <w:jc w:val="center"/>
      </w:pPr>
      <w:r>
        <w:rPr>
          <w:b/>
          <w:bCs/>
        </w:rPr>
        <w:t xml:space="preserve">Reja:</w:t>
      </w:r>
    </w:p>
    <w:p>
      <w:pPr>
        <w:pStyle w:val="ListParagraph"/>
        <w:numPr>
          <w:ilvl w:val="0"/>
          <w:numId w:val="2"/>
        </w:numPr>
        <w:spacing w:after="40"/>
        <w:jc w:val="left"/>
      </w:pPr>
      <w:r>
        <w:t xml:space="preserve">Kategoriya va kategoriyalash tushunchalari. Kategoriyalash va konseptualizatsiya.</w:t>
      </w:r>
    </w:p>
    <w:p>
      <w:pPr>
        <w:pStyle w:val="ListParagraph"/>
        <w:numPr>
          <w:ilvl w:val="0"/>
          <w:numId w:val="2"/>
        </w:numPr>
        <w:spacing w:after="40"/>
        <w:jc w:val="left"/>
      </w:pPr>
      <w:r>
        <w:t xml:space="preserve">Klassik (Aristotel) kategoriyalash nazariyasi.</w:t>
      </w:r>
    </w:p>
    <w:p>
      <w:pPr>
        <w:pStyle w:val="ListParagraph"/>
        <w:numPr>
          <w:ilvl w:val="0"/>
          <w:numId w:val="2"/>
        </w:numPr>
        <w:spacing w:after="40"/>
        <w:jc w:val="left"/>
      </w:pPr>
      <w:r>
        <w:t xml:space="preserve">L. Vitgenshteynning «oilaviy o‘xshashlik» g‘oyasi.</w:t>
      </w:r>
    </w:p>
    <w:p>
      <w:pPr>
        <w:pStyle w:val="ListParagraph"/>
        <w:numPr>
          <w:ilvl w:val="0"/>
          <w:numId w:val="2"/>
        </w:numPr>
        <w:spacing w:after="40"/>
        <w:jc w:val="left"/>
      </w:pPr>
      <w:r>
        <w:t xml:space="preserve">E. Roshning prototiplar nazariyasi va bazaviy daraja.</w:t>
      </w:r>
    </w:p>
    <w:p>
      <w:pPr>
        <w:pStyle w:val="ListParagraph"/>
        <w:numPr>
          <w:ilvl w:val="0"/>
          <w:numId w:val="2"/>
        </w:numPr>
        <w:spacing w:after="40"/>
        <w:jc w:val="left"/>
      </w:pPr>
      <w:r>
        <w:t xml:space="preserve">Tildagi kategoriyalash: leksik va grammatik kategoriyalar.</w:t>
      </w:r>
    </w:p>
    <w:p>
      <w:pPr>
        <w:shd w:fill="EAF1F8" w:color="auto" w:val="clear"/>
        <w:spacing w:after="200" w:before="240"/>
        <w:jc w:val="both"/>
      </w:pPr>
      <w:r>
        <w:rPr>
          <w:b/>
          <w:bCs/>
        </w:rPr>
        <w:t xml:space="preserve">Tayanch tushunchalar: </w:t>
      </w:r>
      <w:r>
        <w:rPr>
          <w:i/>
          <w:iCs/>
        </w:rPr>
        <w:t xml:space="preserve">kategoriya, kategoriyalash, konseptualizatsiya, klassik nazariya, oilaviy o‘xshashlik, prototip, periferiya, bazaviy daraja, radial kategoriya, idealashtirilgan kognitiv model.</w:t>
      </w:r>
    </w:p>
    <w:p>
      <w:pPr>
        <w:pStyle w:val="Heading2"/>
      </w:pPr>
      <w:r>
        <w:t xml:space="preserve">1. Kategoriya va kategoriyalash</w:t>
      </w:r>
    </w:p>
    <w:p>
      <w:pPr>
        <w:spacing w:after="80"/>
        <w:ind w:firstLine="709"/>
        <w:jc w:val="both"/>
      </w:pPr>
      <w:r>
        <w:rPr>
          <w:b/>
          <w:bCs/>
        </w:rPr>
        <w:t xml:space="preserve">Kategoriya</w:t>
      </w:r>
      <w:r>
        <w:t xml:space="preserve"> (yun. kategoria – «ko‘rsatish, belgilash, hukm») – bir xil belgilarga ega bo‘lgan ob’ektlarni birlashtiruvchi guruh; falsafada eng umumiy, fundamental tushunchalar.</w:t>
      </w:r>
    </w:p>
    <w:p>
      <w:pPr>
        <w:spacing w:after="80"/>
        <w:ind w:firstLine="709"/>
        <w:jc w:val="both"/>
      </w:pPr>
      <w:r>
        <w:rPr>
          <w:b/>
          <w:bCs/>
        </w:rPr>
        <w:t xml:space="preserve">Kategoriyalash</w:t>
      </w:r>
      <w:r>
        <w:t xml:space="preserve"> – ob’ektlarni muayyan belgilar asosida guruhlarga (kategoriyalarga) ajratish, ularni bir sinfga kiritish jarayoni. </w:t>
      </w:r>
      <w:r>
        <w:rPr>
          <w:b/>
          <w:bCs/>
        </w:rPr>
        <w:t xml:space="preserve">Konseptualizatsiya</w:t>
      </w:r>
      <w:r>
        <w:t xml:space="preserve"> esa olam haqidagi ma’lumotlarni anglash, konseptlarni hosil qilish jarayoni. E.S. Kubryakova ta’kidlaganidek, konseptualizatsiya minimal mazmun birliklarini (konseptlarni) ajratishga, kategoriyalash esa ularni kattaroq birliklarga (kategoriyalarga) birlashtirishga yo‘naltirilgan.</w:t>
      </w:r>
    </w:p>
    <w:p>
      <w:pPr>
        <w:spacing w:after="80"/>
        <w:ind w:firstLine="709"/>
        <w:jc w:val="both"/>
      </w:pPr>
      <w:r>
        <w:t xml:space="preserve">Kategoriyalash insonning eng asosiy kognitiv qobiliyatlaridan biri: usiz inson cheksiz xilma-xil olamda mo‘ljal ololmas edi. J. Lakoff ta’kidlaganidek, «biz ko‘radigan, o‘ylaydigan va qiladigan har bir narsamiz kategoriyalashga asoslanadi».</w:t>
      </w:r>
    </w:p>
    <w:p>
      <w:pPr>
        <w:pStyle w:val="Heading2"/>
      </w:pPr>
      <w:r>
        <w:t xml:space="preserve">2. Klassik (Aristotel) kategoriyalash nazariyasi</w:t>
      </w:r>
    </w:p>
    <w:p>
      <w:pPr>
        <w:spacing w:after="80"/>
        <w:ind w:firstLine="709"/>
        <w:jc w:val="both"/>
      </w:pPr>
      <w:r>
        <w:t xml:space="preserve">Kategoriyalash haqidagi dastlabki ta’limot qadimgi yunon faylasufi </w:t>
      </w:r>
      <w:r>
        <w:rPr>
          <w:b/>
          <w:bCs/>
        </w:rPr>
        <w:t xml:space="preserve">Aristotel</w:t>
      </w:r>
      <w:r>
        <w:t xml:space="preserve"> (mil. av. 384–322) nomi bilan bog‘liq. U «Kategoriyalar» asarida borliqning o‘nta eng umumiy kategoriyasini ajratgan: mohiyat (substansiya), miqdor, sifat, munosabat, joy, vaqt, holat, egalik, harakat (ta’sir etish) va ta’sirlanish.</w:t>
      </w:r>
    </w:p>
    <w:p>
      <w:pPr>
        <w:spacing w:after="80"/>
        <w:ind w:firstLine="709"/>
        <w:jc w:val="both"/>
      </w:pPr>
      <w:r>
        <w:t xml:space="preserve">Aristotel g‘oyalari Sharqda Forobiy («Ikkinchi muallim» – Aristoteldan keyingi), Ibn Sino asarlarida sharhlangan va rivojlantirilgan. Nemis faylasufi I. Kant «Sof aqlning tanqidi» (1781) asarida aqlning 12 ta kategoriyasini to‘rt guruhga (miqdor, sifat, munosabat, modallik) ajratgan.</w:t>
      </w:r>
    </w:p>
    <w:p>
      <w:pPr>
        <w:spacing w:after="80"/>
        <w:ind w:firstLine="709"/>
        <w:jc w:val="both"/>
      </w:pPr>
      <w:r>
        <w:rPr>
          <w:b/>
          <w:bCs/>
        </w:rPr>
        <w:t xml:space="preserve">Klassik nazariyaning asosiy qoidalari:</w:t>
      </w:r>
    </w:p>
    <w:p>
      <w:pPr>
        <w:pStyle w:val="ListParagraph"/>
        <w:numPr>
          <w:ilvl w:val="0"/>
          <w:numId w:val="3"/>
        </w:numPr>
        <w:spacing w:after="40"/>
        <w:jc w:val="both"/>
      </w:pPr>
      <w:r>
        <w:t xml:space="preserve">Kategoriya zarur va yetarli belgilar majmui bilan belgilanadi.</w:t>
      </w:r>
    </w:p>
    <w:p>
      <w:pPr>
        <w:pStyle w:val="ListParagraph"/>
        <w:numPr>
          <w:ilvl w:val="0"/>
          <w:numId w:val="3"/>
        </w:numPr>
        <w:spacing w:after="40"/>
        <w:jc w:val="both"/>
      </w:pPr>
      <w:r>
        <w:t xml:space="preserve">Kategoriya chegaralari aniq: ob’ekt yoki kategoriyaga kiradi, yoki kirmaydi (uchinchisi yo‘q).</w:t>
      </w:r>
    </w:p>
    <w:p>
      <w:pPr>
        <w:pStyle w:val="ListParagraph"/>
        <w:numPr>
          <w:ilvl w:val="0"/>
          <w:numId w:val="3"/>
        </w:numPr>
        <w:spacing w:after="40"/>
        <w:jc w:val="both"/>
      </w:pPr>
      <w:r>
        <w:t xml:space="preserve">Kategoriyaning barcha a’zolari teng huquqli: «yaxshiroq» yoki «yomonroq» a’zolar bo‘lmaydi.</w:t>
      </w:r>
    </w:p>
    <w:p>
      <w:pPr>
        <w:spacing w:after="80"/>
        <w:ind w:firstLine="709"/>
        <w:jc w:val="both"/>
      </w:pPr>
      <w:r>
        <w:t xml:space="preserve">Struktur tilshunoslikdagi komponent tahlil (semalarga ajratish) ham shu klassik qarashga asoslangan: masalan, «bo‘ydoq» = [+inson], [+erkak], [+voyaga yetgan], [–uylangan].</w:t>
      </w:r>
    </w:p>
    <w:p>
      <w:pPr>
        <w:pStyle w:val="Heading2"/>
      </w:pPr>
      <w:r>
        <w:t xml:space="preserve">3. L. Vitgenshteynning «oilaviy o‘xshashlik» g‘oyasi</w:t>
      </w:r>
    </w:p>
    <w:p>
      <w:pPr>
        <w:spacing w:after="80"/>
        <w:ind w:firstLine="709"/>
        <w:jc w:val="both"/>
      </w:pPr>
      <w:r>
        <w:t xml:space="preserve">Avstriyalik faylasuf </w:t>
      </w:r>
      <w:r>
        <w:rPr>
          <w:b/>
          <w:bCs/>
        </w:rPr>
        <w:t xml:space="preserve">Lyudvig Vitgenshteyn</w:t>
      </w:r>
      <w:r>
        <w:t xml:space="preserve"> (1889–1951) vafotidan keyin nashr etilgan «Falsafiy tadqiqotlar» (1953) asarida klassik nazariyani tanqid qildi. U «o‘yin» so‘zini tahlil qilib, shaxmat, futbol, karta o‘yinlari, bolalarning to‘p o‘yini kabi barcha o‘yinlar uchun umumiy bo‘lgan birorta ham belgi topib bo‘lmasligini ko‘rsatdi: ba’zilarida g‘olib bor, ba’zilarida yo‘q; ba’zilari mahorat, ba’zilari omadga bog‘liq. O‘yinlar bir oila a’zolari kabi bir-biriga turli jihatlardan o‘xshaydi – buni u </w:t>
      </w:r>
      <w:r>
        <w:rPr>
          <w:b/>
          <w:bCs/>
        </w:rPr>
        <w:t xml:space="preserve">«oilaviy o‘xshashlik»</w:t>
      </w:r>
      <w:r>
        <w:t xml:space="preserve"> (Familienähnlichkeit) deb atadi.</w:t>
      </w:r>
    </w:p>
    <w:p>
      <w:pPr>
        <w:pStyle w:val="Heading2"/>
      </w:pPr>
      <w:r>
        <w:t xml:space="preserve">4. E. Roshning prototiplar nazariyasi</w:t>
      </w:r>
    </w:p>
    <w:p>
      <w:pPr>
        <w:spacing w:after="80"/>
        <w:ind w:firstLine="709"/>
        <w:jc w:val="both"/>
      </w:pPr>
      <w:r>
        <w:t xml:space="preserve">Amerikalik psixolog </w:t>
      </w:r>
      <w:r>
        <w:rPr>
          <w:b/>
          <w:bCs/>
        </w:rPr>
        <w:t xml:space="preserve">Eleanor Rosh</w:t>
      </w:r>
      <w:r>
        <w:t xml:space="preserve"> 1970-yillarda o‘tkazgan eksperimentlari asosida </w:t>
      </w:r>
      <w:r>
        <w:rPr>
          <w:b/>
          <w:bCs/>
        </w:rPr>
        <w:t xml:space="preserve">prototiplar nazariyasini</w:t>
      </w:r>
      <w:r>
        <w:t xml:space="preserve"> yaratdi («Semantik kategoriyalarning kognitiv reprezentatsiyasi», 1975; «Kategoriyalash tamoyillari», 1978).</w:t>
      </w:r>
    </w:p>
    <w:p>
      <w:pPr>
        <w:spacing w:after="80"/>
        <w:ind w:firstLine="709"/>
        <w:jc w:val="both"/>
      </w:pPr>
      <w:r>
        <w:t xml:space="preserve">Uning dastlabki tadqiqotlari Yangi Gvineyadagi dani qabilasi bilan bog‘liq: bu qabila tilida faqat ikkita asosiy rang nomi («yorug‘» va «qorong‘i») bo‘lishiga qaramay, ular «fokal» (eng tipik) ranglarni oson eslab qolgan.</w:t>
      </w:r>
    </w:p>
    <w:p>
      <w:pPr>
        <w:spacing w:after="80"/>
        <w:ind w:firstLine="709"/>
        <w:jc w:val="both"/>
      </w:pPr>
      <w:r>
        <w:t xml:space="preserve">Rosh tajribalarida amerikalik talabalardan turli ob’ektlarning kategoriyaga qanchalik «yaxshi namuna» ekanini baholash so‘ralgan. Natijada «qush» kategoriyasida chumchuq va qizilto‘sh (robin) eng tipik (prototip) a’zolar, tovuq, tuyaqush va pingvin esa periferik a’zolar ekani aniqlangan.</w:t>
      </w:r>
    </w:p>
    <w:p>
      <w:pPr>
        <w:spacing w:after="80"/>
        <w:ind w:firstLine="709"/>
        <w:jc w:val="both"/>
      </w:pPr>
      <w:r>
        <w:rPr>
          <w:b/>
          <w:bCs/>
        </w:rPr>
        <w:t xml:space="preserve">Prototiplar nazariyasining asosiy qoidalari:</w:t>
      </w:r>
    </w:p>
    <w:p>
      <w:pPr>
        <w:pStyle w:val="ListParagraph"/>
        <w:numPr>
          <w:ilvl w:val="0"/>
          <w:numId w:val="3"/>
        </w:numPr>
        <w:spacing w:after="40"/>
        <w:jc w:val="both"/>
      </w:pPr>
      <w:r>
        <w:t xml:space="preserve">Kategoriyaning markazida </w:t>
      </w:r>
      <w:r>
        <w:rPr>
          <w:b/>
          <w:bCs/>
        </w:rPr>
        <w:t xml:space="preserve">prototip</w:t>
      </w:r>
      <w:r>
        <w:t xml:space="preserve"> – eng yaxshi, eng tipik namuna turadi.</w:t>
      </w:r>
    </w:p>
    <w:p>
      <w:pPr>
        <w:pStyle w:val="ListParagraph"/>
        <w:numPr>
          <w:ilvl w:val="0"/>
          <w:numId w:val="3"/>
        </w:numPr>
        <w:spacing w:after="40"/>
        <w:jc w:val="both"/>
      </w:pPr>
      <w:r>
        <w:t xml:space="preserve">Kategoriya a’zolari teng huquqli emas: ular prototipga o‘xshashlik darajasiga ko‘ra markaz va periferiyaga joylashadi.</w:t>
      </w:r>
    </w:p>
    <w:p>
      <w:pPr>
        <w:pStyle w:val="ListParagraph"/>
        <w:numPr>
          <w:ilvl w:val="0"/>
          <w:numId w:val="3"/>
        </w:numPr>
        <w:spacing w:after="40"/>
        <w:jc w:val="both"/>
      </w:pPr>
      <w:r>
        <w:t xml:space="preserve">Kategoriyalar chegarasi noaniq, «loyqa» (fuzzy) bo‘lishi mumkin. U. Labov (1973) idishlar bilan o‘tkazgan tajribasida «chashka» va «kosa» (cup, bowl) o‘rtasidagi chegara idish shakli va qo‘llanish vaziyatiga qarab o‘zgarishini ko‘rsatgan.</w:t>
      </w:r>
    </w:p>
    <w:p>
      <w:pPr>
        <w:spacing w:after="80"/>
        <w:ind w:firstLine="709"/>
        <w:jc w:val="both"/>
      </w:pPr>
      <w:r>
        <w:rPr>
          <w:b/>
          <w:bCs/>
        </w:rPr>
        <w:t xml:space="preserve">Kategoriyalashning bazaviy darajasi.</w:t>
      </w:r>
      <w:r>
        <w:t xml:space="preserve"> Rosh kategoriyalar ierarxiyasida uch darajani ajratadi:</w:t>
      </w:r>
    </w:p>
    <w:p>
      <w:pPr>
        <w:pStyle w:val="ListParagraph"/>
        <w:numPr>
          <w:ilvl w:val="0"/>
          <w:numId w:val="3"/>
        </w:numPr>
        <w:spacing w:after="40"/>
        <w:jc w:val="both"/>
      </w:pPr>
      <w:r>
        <w:rPr>
          <w:b/>
          <w:bCs/>
        </w:rPr>
        <w:t xml:space="preserve">Yuqori daraja</w:t>
      </w:r>
      <w:r>
        <w:t xml:space="preserve"> (superordinat): «mebel», «transport vositasi», «meva».</w:t>
      </w:r>
    </w:p>
    <w:p>
      <w:pPr>
        <w:pStyle w:val="ListParagraph"/>
        <w:numPr>
          <w:ilvl w:val="0"/>
          <w:numId w:val="3"/>
        </w:numPr>
        <w:spacing w:after="40"/>
        <w:jc w:val="both"/>
      </w:pPr>
      <w:r>
        <w:rPr>
          <w:b/>
          <w:bCs/>
        </w:rPr>
        <w:t xml:space="preserve">Bazaviy daraja</w:t>
      </w:r>
      <w:r>
        <w:t xml:space="preserve">: «stul», «avtomobil», «olma».</w:t>
      </w:r>
    </w:p>
    <w:p>
      <w:pPr>
        <w:pStyle w:val="ListParagraph"/>
        <w:numPr>
          <w:ilvl w:val="0"/>
          <w:numId w:val="3"/>
        </w:numPr>
        <w:spacing w:after="40"/>
        <w:jc w:val="both"/>
      </w:pPr>
      <w:r>
        <w:rPr>
          <w:b/>
          <w:bCs/>
        </w:rPr>
        <w:t xml:space="preserve">Quyi daraja</w:t>
      </w:r>
      <w:r>
        <w:t xml:space="preserve"> (subordinat): «oshxona stuli», «Nexia», «oq olma».</w:t>
      </w:r>
    </w:p>
    <w:p>
      <w:pPr>
        <w:spacing w:after="80"/>
        <w:ind w:firstLine="709"/>
        <w:jc w:val="both"/>
      </w:pPr>
      <w:r>
        <w:t xml:space="preserve">Bazaviy daraja kognitiv jihatdan eng muhim: bolalar bu darajadagi so‘zlarni birinchi o‘zlashtiradi; bu darajadagi nomlar odatda qisqa, ko‘p qo‘llanadigan bo‘ladi; bu darajada ob’ektlar yaxlit obraz sifatida tasavvur qilinadi va ular bilan muayyan harakat dasturi bog‘liq (stulga o‘tiriladi, «mebel»ning esa yagona tasviri yo‘q).</w:t>
      </w:r>
    </w:p>
    <w:p>
      <w:pPr>
        <w:spacing w:after="80"/>
        <w:ind w:firstLine="709"/>
        <w:jc w:val="both"/>
      </w:pPr>
      <w:r>
        <w:t xml:space="preserve">J. Lakoff «Ayollar, olov va xavfli narsalar» (1987) kitobida prototip nazariyasini rivojlantirib, </w:t>
      </w:r>
      <w:r>
        <w:rPr>
          <w:b/>
          <w:bCs/>
        </w:rPr>
        <w:t xml:space="preserve">radial kategoriyalar</w:t>
      </w:r>
      <w:r>
        <w:t xml:space="preserve"> va </w:t>
      </w:r>
      <w:r>
        <w:rPr>
          <w:b/>
          <w:bCs/>
        </w:rPr>
        <w:t xml:space="preserve">idealashtirilgan kognitiv modellar</w:t>
      </w:r>
      <w:r>
        <w:t xml:space="preserve"> (IKM) nazariyasini yaratdi. Kitob nomi avstraliyalik dyirbal tilidagi «balan» klassifikatoriga ishora: bu turkumga ayollar, olov va xavfli narsalar kiradi – bu kategoriyalashning madaniyatga bog‘liqligini ko‘rsatadi.</w:t>
      </w:r>
    </w:p>
    <w:p>
      <w:pPr>
        <w:pStyle w:val="Heading2"/>
      </w:pPr>
      <w:r>
        <w:t xml:space="preserve">5. Tildagi kategoriyalash</w:t>
      </w:r>
    </w:p>
    <w:p>
      <w:pPr>
        <w:spacing w:after="80"/>
        <w:ind w:firstLine="709"/>
        <w:jc w:val="both"/>
      </w:pPr>
      <w:r>
        <w:t xml:space="preserve">Til – kategoriyalash natijalarini mustahkamlovchi asosiy vosita. Tilda kategoriyalash ikki darajada namoyon bo‘ladi:</w:t>
      </w:r>
    </w:p>
    <w:p>
      <w:pPr>
        <w:pStyle w:val="ListParagraph"/>
        <w:numPr>
          <w:ilvl w:val="0"/>
          <w:numId w:val="3"/>
        </w:numPr>
        <w:spacing w:after="40"/>
        <w:jc w:val="both"/>
      </w:pPr>
      <w:r>
        <w:rPr>
          <w:b/>
          <w:bCs/>
        </w:rPr>
        <w:t xml:space="preserve">Leksik kategoriyalash</w:t>
      </w:r>
      <w:r>
        <w:t xml:space="preserve"> – so‘zlar orqali olamdagi narsa va hodisalarni nomlash va tasniflash (giponimik qatorlar, leksik-semantik guruhlar). Masalan, o‘zbek tilida «qovun» navlari («handalak», «ich-qizil», «bo‘rikalla», «shakarpalak», «qora qosh»...) yoki «ot» rangining nomlari («to‘riq», «saman», «qashqa», «jiyron», «bo‘z») chuqur kategoriyalashni ko‘rsatadi.</w:t>
      </w:r>
    </w:p>
    <w:p>
      <w:pPr>
        <w:pStyle w:val="ListParagraph"/>
        <w:numPr>
          <w:ilvl w:val="0"/>
          <w:numId w:val="3"/>
        </w:numPr>
        <w:spacing w:after="40"/>
        <w:jc w:val="both"/>
      </w:pPr>
      <w:r>
        <w:rPr>
          <w:b/>
          <w:bCs/>
        </w:rPr>
        <w:t xml:space="preserve">Grammatik kategoriyalash</w:t>
      </w:r>
      <w:r>
        <w:t xml:space="preserve"> – so‘z turkumlari, kelishik, son, zamon, shaxs kabi grammatik kategoriyalar orqali olamning eng umumiy belgilarini tasniflash. Masalan, o‘zbek tilidagi «-ibdi», «ekan», «emish» shakllari ma’lumot manbaiga ko‘ra kategoriyalashni (evidensiallik) ifodalaydi: «U keldi» (so‘zlovchi voqeaga guvoh) – «U kelibdi» (so‘zlovchi natijani ko‘rib bilgan) – «U kelgan emish» (so‘zlovchi boshqalardan eshitgan).</w:t>
      </w:r>
    </w:p>
    <w:p>
      <w:pPr>
        <w:spacing w:after="80"/>
        <w:ind w:firstLine="709"/>
        <w:jc w:val="both"/>
      </w:pPr>
      <w:r>
        <w:t xml:space="preserve">So‘z turkumlarini ham prototip nuqtai nazaridan qarash mumkin: masalan, «ot» turkumining prototipik a’zolari konkret, sanaladigan predmetlarni bildiradi («kitob», «daraxt»), periferik a’zolari esa abstrakt yoki harakat nomlari («o‘qish», «baxt»).</w:t>
      </w:r>
    </w:p>
    <w:p>
      <w:pPr>
        <w:pStyle w:val="Heading2"/>
      </w:pPr>
      <w:r>
        <w:t xml:space="preserve">Xulosa</w:t>
      </w:r>
    </w:p>
    <w:p>
      <w:pPr>
        <w:spacing w:after="80"/>
        <w:ind w:firstLine="709"/>
        <w:jc w:val="both"/>
      </w:pPr>
      <w:r>
        <w:t xml:space="preserve">Kategoriyalash – insonning olamni tartibga solishdagi asosiy kognitiv jarayoni. Aristotelning klassik nazariyasidan Vitgenshteynning oilaviy o‘xshashlik g‘oyasi va E. Roshning prototiplar nazariyasigacha bo‘lgan rivojlanish kategoriyalar aniq chegarali mantiqiy sinflar emas, balki markaz va periferiyaga ega bo‘lgan, inson tajribasi va madaniyatiga bog‘liq tuzilmalar ekanini ko‘rsatdi.</w:t>
      </w:r>
    </w:p>
    <w:p>
      <w:pPr>
        <w:keepNext/>
        <w:spacing w:after="100" w:before="240"/>
        <w:jc w:val="left"/>
      </w:pPr>
      <w:r>
        <w:rPr>
          <w:b/>
          <w:bCs/>
        </w:rPr>
        <w:t xml:space="preserve">Nazorat savollari:</w:t>
      </w:r>
    </w:p>
    <w:p>
      <w:pPr>
        <w:pStyle w:val="ListParagraph"/>
        <w:numPr>
          <w:ilvl w:val="0"/>
          <w:numId w:val="4"/>
        </w:numPr>
        <w:spacing w:after="40"/>
        <w:jc w:val="left"/>
      </w:pPr>
      <w:r>
        <w:t xml:space="preserve">Kategoriyalash va konseptualizatsiya qanday farqlanadi?</w:t>
      </w:r>
    </w:p>
    <w:p>
      <w:pPr>
        <w:pStyle w:val="ListParagraph"/>
        <w:numPr>
          <w:ilvl w:val="0"/>
          <w:numId w:val="4"/>
        </w:numPr>
        <w:spacing w:after="40"/>
        <w:jc w:val="left"/>
      </w:pPr>
      <w:r>
        <w:t xml:space="preserve">Aristotelning kategoriyalari va klassik nazariyaning asosiy qoidalarini izohlang.</w:t>
      </w:r>
    </w:p>
    <w:p>
      <w:pPr>
        <w:pStyle w:val="ListParagraph"/>
        <w:numPr>
          <w:ilvl w:val="0"/>
          <w:numId w:val="4"/>
        </w:numPr>
        <w:spacing w:after="40"/>
        <w:jc w:val="left"/>
      </w:pPr>
      <w:r>
        <w:t xml:space="preserve">L. Vitgenshteyn «o‘yin» misolida nimani isbotlagan?</w:t>
      </w:r>
    </w:p>
    <w:p>
      <w:pPr>
        <w:pStyle w:val="ListParagraph"/>
        <w:numPr>
          <w:ilvl w:val="0"/>
          <w:numId w:val="4"/>
        </w:numPr>
        <w:spacing w:after="40"/>
        <w:jc w:val="left"/>
      </w:pPr>
      <w:r>
        <w:t xml:space="preserve">E. Roshning prototiplar nazariyasi va bazaviy daraja haqidagi g‘oyalarini tushuntiring.</w:t>
      </w:r>
    </w:p>
    <w:p>
      <w:pPr>
        <w:pStyle w:val="ListParagraph"/>
        <w:numPr>
          <w:ilvl w:val="0"/>
          <w:numId w:val="4"/>
        </w:numPr>
        <w:spacing w:after="40"/>
        <w:jc w:val="left"/>
      </w:pPr>
      <w:r>
        <w:t xml:space="preserve">O‘zbek tilidan leksik va grammatik kategoriyalashga misollar keltiring.</w:t>
      </w:r>
    </w:p>
    <w:p>
      <w:pPr>
        <w:keepNext/>
        <w:spacing w:after="100" w:before="240"/>
        <w:jc w:val="left"/>
      </w:pPr>
      <w:r>
        <w:rPr>
          <w:b/>
          <w:bCs/>
        </w:rPr>
        <w:t xml:space="preserve">Foydalanilgan adabiyotlar:</w:t>
      </w:r>
    </w:p>
    <w:p>
      <w:pPr>
        <w:pStyle w:val="ListParagraph"/>
        <w:numPr>
          <w:ilvl w:val="0"/>
          <w:numId w:val="5"/>
        </w:numPr>
        <w:spacing w:after="40"/>
        <w:jc w:val="both"/>
      </w:pPr>
      <w:r>
        <w:t xml:space="preserve">Safarov Sh. Kognitiv tilshunoslik. – Jizzax: Sangzor, 2006.</w:t>
      </w:r>
    </w:p>
    <w:p>
      <w:pPr>
        <w:pStyle w:val="ListParagraph"/>
        <w:numPr>
          <w:ilvl w:val="0"/>
          <w:numId w:val="5"/>
        </w:numPr>
        <w:spacing w:after="40"/>
        <w:jc w:val="both"/>
      </w:pPr>
      <w:r>
        <w:t xml:space="preserve">Лакофф Дж. Женщины, огонь и опасные вещи: Что категории языка говорят нам о мышлении. – М.: Языки славянской культуры, 2004.</w:t>
      </w:r>
    </w:p>
    <w:p>
      <w:pPr>
        <w:pStyle w:val="ListParagraph"/>
        <w:numPr>
          <w:ilvl w:val="0"/>
          <w:numId w:val="5"/>
        </w:numPr>
        <w:spacing w:after="40"/>
        <w:jc w:val="both"/>
      </w:pPr>
      <w:r>
        <w:t xml:space="preserve">Lakoff G. Women, Fire, and Dangerous Things: What Categories Reveal about the Mind. – Chicago: University of Chicago Press, 1987.</w:t>
      </w:r>
    </w:p>
    <w:p>
      <w:pPr>
        <w:pStyle w:val="ListParagraph"/>
        <w:numPr>
          <w:ilvl w:val="0"/>
          <w:numId w:val="5"/>
        </w:numPr>
        <w:spacing w:after="40"/>
        <w:jc w:val="both"/>
      </w:pPr>
      <w:r>
        <w:t xml:space="preserve">Rosch E. Principles of Categorization // Cognition and Categorization / Eds. E. Rosch, B.B. Lloyd. – Hillsdale, NJ: Lawrence Erlbaum, 1978. – P. 27–48.</w:t>
      </w:r>
    </w:p>
    <w:p>
      <w:pPr>
        <w:pStyle w:val="ListParagraph"/>
        <w:numPr>
          <w:ilvl w:val="0"/>
          <w:numId w:val="5"/>
        </w:numPr>
        <w:spacing w:after="40"/>
        <w:jc w:val="both"/>
      </w:pPr>
      <w:r>
        <w:t xml:space="preserve">Попова З.Д., Стернин И.А. Когнитивная лингвистика. – М.: АСТ: Восток–Запад, 2007.</w:t>
      </w:r>
    </w:p>
    <w:p>
      <w:pPr>
        <w:pStyle w:val="ListParagraph"/>
        <w:numPr>
          <w:ilvl w:val="0"/>
          <w:numId w:val="5"/>
        </w:numPr>
        <w:spacing w:after="40"/>
        <w:jc w:val="both"/>
      </w:pPr>
      <w:r>
        <w:t xml:space="preserve">Болдырев Н.Н. Когнитивная семантика. – Тамбов: Изд-во ТГУ, 2001.</w:t>
      </w:r>
    </w:p>
    <w:p>
      <w:pPr>
        <w:pStyle w:val="ListParagraph"/>
        <w:numPr>
          <w:ilvl w:val="0"/>
          <w:numId w:val="5"/>
        </w:numPr>
        <w:spacing w:after="40"/>
        <w:jc w:val="both"/>
      </w:pPr>
      <w:r>
        <w:t xml:space="preserve">Ungerer F., Schmid H.-J. An Introduction to Cognitive Linguistics. – 2nd ed. – London: Pearson Longman, 2006.</w:t>
      </w:r>
    </w:p>
    <w:p>
      <w:pPr>
        <w:pStyle w:val="ListParagraph"/>
        <w:numPr>
          <w:ilvl w:val="0"/>
          <w:numId w:val="5"/>
        </w:numPr>
        <w:spacing w:after="40"/>
        <w:jc w:val="both"/>
      </w:pPr>
      <w:r>
        <w:t xml:space="preserve">Croft W., Cruse D.A. Cognitive Linguistics. – Cambridge: Cambridge University Press, 2004.</w:t>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bullet"/>
      <w:lvlText w:val="•"/>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00" w:before="240"/>
      <w:outlineLvl w:val="1"/>
    </w:pPr>
    <w:rPr>
      <w:rFonts w:ascii="Times New Roman" w:cs="Times New Roman" w:eastAsia="Times New Roman" w:hAnsi="Times New Roman"/>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10-MA’RUZA. KATEGORIYA TUSHUNCHASI. KATEGORIYALASHNING TARIXIY VA AN’ANAVIY ILDIZLARI</dc:title>
  <dc:creator>Un-named</dc:creator>
  <cp:lastModifiedBy>Un-named</cp:lastModifiedBy>
  <cp:revision>1</cp:revision>
  <dcterms:created xsi:type="dcterms:W3CDTF">2026-10-30T07:33:46.368Z</dcterms:created>
  <dcterms:modified xsi:type="dcterms:W3CDTF">2026-10-30T07:33:46.368Z</dcterms:modified>
</cp:coreProperties>
</file>

<file path=docProps/custom.xml><?xml version="1.0" encoding="utf-8"?>
<Properties xmlns="http://schemas.openxmlformats.org/officeDocument/2006/custom-properties" xmlns:vt="http://schemas.openxmlformats.org/officeDocument/2006/docPropsVTypes"/>
</file>