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12-MA’RUZA. LISON VA MADANIYAT MUNOSABATI</w:t>
      </w:r>
    </w:p>
    <w:p>
      <w:pPr>
        <w:keepNext/>
        <w:spacing w:after="100" w:before="240"/>
        <w:jc w:val="center"/>
      </w:pPr>
      <w:r>
        <w:rPr>
          <w:b/>
          <w:bCs/>
        </w:rPr>
        <w:t xml:space="preserve">Reja:</w:t>
      </w:r>
    </w:p>
    <w:p>
      <w:pPr>
        <w:pStyle w:val="ListParagraph"/>
        <w:numPr>
          <w:ilvl w:val="0"/>
          <w:numId w:val="2"/>
        </w:numPr>
        <w:spacing w:after="40"/>
        <w:jc w:val="left"/>
      </w:pPr>
      <w:r>
        <w:t xml:space="preserve">Madaniyat tushunchasi va uning til bilan bog‘liqligi.</w:t>
      </w:r>
    </w:p>
    <w:p>
      <w:pPr>
        <w:pStyle w:val="ListParagraph"/>
        <w:numPr>
          <w:ilvl w:val="0"/>
          <w:numId w:val="2"/>
        </w:numPr>
        <w:spacing w:after="40"/>
        <w:jc w:val="left"/>
      </w:pPr>
      <w:r>
        <w:t xml:space="preserve">Til va madaniyat munosabati haqidagi asosiy qarashlar.</w:t>
      </w:r>
    </w:p>
    <w:p>
      <w:pPr>
        <w:pStyle w:val="ListParagraph"/>
        <w:numPr>
          <w:ilvl w:val="0"/>
          <w:numId w:val="2"/>
        </w:numPr>
        <w:spacing w:after="40"/>
        <w:jc w:val="left"/>
      </w:pPr>
      <w:r>
        <w:t xml:space="preserve">Lingvokulturologiya fan sifatida: predmeti, vazifalari, birliklari.</w:t>
      </w:r>
    </w:p>
    <w:p>
      <w:pPr>
        <w:pStyle w:val="ListParagraph"/>
        <w:numPr>
          <w:ilvl w:val="0"/>
          <w:numId w:val="2"/>
        </w:numPr>
        <w:spacing w:after="40"/>
        <w:jc w:val="left"/>
      </w:pPr>
      <w:r>
        <w:t xml:space="preserve">Lingvokulturema, madaniy konnotatsiya, presedent birliklar.</w:t>
      </w:r>
    </w:p>
    <w:p>
      <w:pPr>
        <w:pStyle w:val="ListParagraph"/>
        <w:numPr>
          <w:ilvl w:val="0"/>
          <w:numId w:val="2"/>
        </w:numPr>
        <w:spacing w:after="40"/>
        <w:jc w:val="left"/>
      </w:pPr>
      <w:r>
        <w:t xml:space="preserve">O‘zbek lingvokulturologiyasining rivojlanishi.</w:t>
      </w:r>
    </w:p>
    <w:p>
      <w:pPr>
        <w:shd w:fill="EAF1F8" w:color="auto" w:val="clear"/>
        <w:spacing w:after="200" w:before="240"/>
        <w:jc w:val="both"/>
      </w:pPr>
      <w:r>
        <w:rPr>
          <w:b/>
          <w:bCs/>
        </w:rPr>
        <w:t xml:space="preserve">Tayanch tushunchalar: </w:t>
      </w:r>
      <w:r>
        <w:rPr>
          <w:i/>
          <w:iCs/>
        </w:rPr>
        <w:t xml:space="preserve">madaniyat, lingvokulturologiya, lingvokulturema, madaniy konnotatsiya, madaniyat etaloni, madaniyat kodi, presedent birlik, konstanta.</w:t>
      </w:r>
    </w:p>
    <w:p>
      <w:pPr>
        <w:pStyle w:val="Heading2"/>
      </w:pPr>
      <w:r>
        <w:t xml:space="preserve">1. Madaniyat tushunchasi va uning til bilan bog‘liqligi</w:t>
      </w:r>
    </w:p>
    <w:p>
      <w:pPr>
        <w:spacing w:after="80"/>
        <w:ind w:firstLine="709"/>
        <w:jc w:val="both"/>
      </w:pPr>
      <w:r>
        <w:t xml:space="preserve">«Madaniyat» so‘zi arabcha «madina» (shahar) so‘zidan olingan bo‘lib, dastlab «shaharlik, shahar hayotiga xos» ma’nosini anglatgan. Yevropa tillaridagi «culture» so‘zi lotincha </w:t>
      </w:r>
      <w:r>
        <w:rPr>
          <w:b/>
          <w:bCs/>
        </w:rPr>
        <w:t xml:space="preserve">cultura</w:t>
      </w:r>
      <w:r>
        <w:t xml:space="preserve"> – «yerni ishlash, parvarish qilish» so‘zidan kelib chiqqan.</w:t>
      </w:r>
    </w:p>
    <w:p>
      <w:pPr>
        <w:spacing w:after="80"/>
        <w:ind w:firstLine="709"/>
        <w:jc w:val="both"/>
      </w:pPr>
      <w:r>
        <w:t xml:space="preserve">Madaniyatning yuzlab ta’riflari mavjud. Amerikalik antropologlar A. Kroeber va K. Klakxon «Madaniyat: tushuncha va ta’riflarning tanqidiy sharhi» (1952) kitobida madaniyatning 164 ta ta’rifini tahlil qilgan. Umumlashtirib aytganda, </w:t>
      </w:r>
      <w:r>
        <w:rPr>
          <w:b/>
          <w:bCs/>
        </w:rPr>
        <w:t xml:space="preserve">madaniyat</w:t>
      </w:r>
      <w:r>
        <w:t xml:space="preserve"> – insoniyat yoki muayyan xalq tomonidan yaratilgan moddiy va ma’naviy qadriyatlar, me’yorlar, an’analar, xulq-atvor namunalari va ularni yaratish, saqlash va uzatish usullari majmui.</w:t>
      </w:r>
    </w:p>
    <w:p>
      <w:pPr>
        <w:spacing w:after="80"/>
        <w:ind w:firstLine="709"/>
        <w:jc w:val="both"/>
      </w:pPr>
      <w:r>
        <w:t xml:space="preserve">Amerikalik antropolog E. Xoll madaniyatni «aysberg»ga qiyoslagan: uning ko‘rinadigan qismi (til, oshxona, kiyim, bayramlar) kichik, ko‘rinmaydigan qismi (qadriyatlar, vaqtga munosabat, shaxsiy masofa, muloqot uslubi) esa ancha katta.</w:t>
      </w:r>
    </w:p>
    <w:p>
      <w:pPr>
        <w:pStyle w:val="Heading2"/>
      </w:pPr>
      <w:r>
        <w:t xml:space="preserve">2. Til va madaniyat munosabati haqidagi asosiy qarashlar</w:t>
      </w:r>
    </w:p>
    <w:p>
      <w:pPr>
        <w:spacing w:after="80"/>
        <w:ind w:firstLine="709"/>
        <w:jc w:val="both"/>
      </w:pPr>
      <w:r>
        <w:t xml:space="preserve">Til va madaniyat munosabati masalasida turli qarashlar mavjud:</w:t>
      </w:r>
    </w:p>
    <w:p>
      <w:pPr>
        <w:pStyle w:val="ListParagraph"/>
        <w:numPr>
          <w:ilvl w:val="0"/>
          <w:numId w:val="3"/>
        </w:numPr>
        <w:spacing w:after="40"/>
        <w:jc w:val="both"/>
      </w:pPr>
      <w:r>
        <w:rPr>
          <w:b/>
          <w:bCs/>
        </w:rPr>
        <w:t xml:space="preserve">Til madaniyatni aks ettiradi</w:t>
      </w:r>
      <w:r>
        <w:t xml:space="preserve"> (ko‘zgu metaforasi): tilda xalq hayoti, tarixi, urf-odatlari aks etadi. Biroq S.G. Ter-Minasova ta’kidlaganidek, bu «ko‘zgu» tekis emas – u voqelikni so‘zlovchilar nuqtai nazaridan, madaniy prizma orqali aks ettiradi.</w:t>
      </w:r>
    </w:p>
    <w:p>
      <w:pPr>
        <w:pStyle w:val="ListParagraph"/>
        <w:numPr>
          <w:ilvl w:val="0"/>
          <w:numId w:val="3"/>
        </w:numPr>
        <w:spacing w:after="40"/>
        <w:jc w:val="both"/>
      </w:pPr>
      <w:r>
        <w:rPr>
          <w:b/>
          <w:bCs/>
        </w:rPr>
        <w:t xml:space="preserve">Til madaniyatning bir qismi</w:t>
      </w:r>
      <w:r>
        <w:t xml:space="preserve">: til madaniyatning tarkibiy qismi, uning asosiy «quroli».</w:t>
      </w:r>
    </w:p>
    <w:p>
      <w:pPr>
        <w:pStyle w:val="ListParagraph"/>
        <w:numPr>
          <w:ilvl w:val="0"/>
          <w:numId w:val="3"/>
        </w:numPr>
        <w:spacing w:after="40"/>
        <w:jc w:val="both"/>
      </w:pPr>
      <w:r>
        <w:rPr>
          <w:b/>
          <w:bCs/>
        </w:rPr>
        <w:t xml:space="preserve">Til madaniyatning sharti va asosi</w:t>
      </w:r>
      <w:r>
        <w:t xml:space="preserve">: madaniyat til vositasida shakllanadi, saqlanadi va uzatiladi.</w:t>
      </w:r>
    </w:p>
    <w:p>
      <w:pPr>
        <w:pStyle w:val="ListParagraph"/>
        <w:numPr>
          <w:ilvl w:val="0"/>
          <w:numId w:val="3"/>
        </w:numPr>
        <w:spacing w:after="40"/>
        <w:jc w:val="both"/>
      </w:pPr>
      <w:r>
        <w:rPr>
          <w:b/>
          <w:bCs/>
        </w:rPr>
        <w:t xml:space="preserve">Til va madaniyat o‘zaro ta’sir qiluvchi semiotik tizimlar</w:t>
      </w:r>
      <w:r>
        <w:t xml:space="preserve"> (V.N. Teliya, V.A. Maslova): ular o‘xshash va farqli jihatlarga ega bo‘lib, bir-birini to‘ldiradi.</w:t>
      </w:r>
    </w:p>
    <w:p>
      <w:pPr>
        <w:spacing w:after="80"/>
        <w:ind w:firstLine="709"/>
        <w:jc w:val="both"/>
      </w:pPr>
      <w:r>
        <w:t xml:space="preserve">Til va madaniyatning </w:t>
      </w:r>
      <w:r>
        <w:rPr>
          <w:b/>
          <w:bCs/>
        </w:rPr>
        <w:t xml:space="preserve">o‘xshash jihatlari</w:t>
      </w:r>
      <w:r>
        <w:t xml:space="preserve">: ikkalasi ham ong shakllari bo‘lib, insonning dunyoqarashini aks ettiradi; ikkalasi ham ijtimoiy hodisa; ikkalasi ham me’yoriy; ikkalasi ham tarixiy taraqqiyot mahsuli. </w:t>
      </w:r>
      <w:r>
        <w:rPr>
          <w:b/>
          <w:bCs/>
        </w:rPr>
        <w:t xml:space="preserve">Farqli jihatlari</w:t>
      </w:r>
      <w:r>
        <w:t xml:space="preserve">: til ommaga, madaniyat ko‘proq elitaga yo‘naltirilgan qadriyatlarni ham o‘z ichiga oladi; til o‘z-o‘zidan rivojlanadigan, madaniyat ko‘proq ongli ravishda yaratiladigan hodisa.</w:t>
      </w:r>
    </w:p>
    <w:p>
      <w:pPr>
        <w:pStyle w:val="Heading2"/>
      </w:pPr>
      <w:r>
        <w:t xml:space="preserve">3. Lingvokulturologiya fan sifatida</w:t>
      </w:r>
    </w:p>
    <w:p>
      <w:pPr>
        <w:spacing w:after="80"/>
        <w:ind w:firstLine="709"/>
        <w:jc w:val="both"/>
      </w:pPr>
      <w:r>
        <w:rPr>
          <w:b/>
          <w:bCs/>
        </w:rPr>
        <w:t xml:space="preserve">Lingvokulturologiya</w:t>
      </w:r>
      <w:r>
        <w:t xml:space="preserve"> – til va madaniyatning o‘zaro munosabati va ta’sirini o‘rganuvchi, filologiya va madaniyatshunoslik kesishmasida paydo bo‘lgan fan. U 1990-yillarda Rossiyada mustaqil soha sifatida shakllandi. Asosiy maktablar va namoyandalar:</w:t>
      </w:r>
    </w:p>
    <w:p>
      <w:pPr>
        <w:pStyle w:val="ListParagraph"/>
        <w:numPr>
          <w:ilvl w:val="0"/>
          <w:numId w:val="3"/>
        </w:numPr>
        <w:spacing w:after="40"/>
        <w:jc w:val="both"/>
      </w:pPr>
      <w:r>
        <w:rPr>
          <w:b/>
          <w:bCs/>
        </w:rPr>
        <w:t xml:space="preserve">Yu.S. Stepanov</w:t>
      </w:r>
      <w:r>
        <w:t xml:space="preserve"> – madaniyat konstantalarini diaxronik o‘rganish («Konstantalar: rus madaniyati lug‘ati», 1997).</w:t>
      </w:r>
    </w:p>
    <w:p>
      <w:pPr>
        <w:pStyle w:val="ListParagraph"/>
        <w:numPr>
          <w:ilvl w:val="0"/>
          <w:numId w:val="3"/>
        </w:numPr>
        <w:spacing w:after="40"/>
        <w:jc w:val="both"/>
      </w:pPr>
      <w:r>
        <w:rPr>
          <w:b/>
          <w:bCs/>
        </w:rPr>
        <w:t xml:space="preserve">N.D. Arutyunova</w:t>
      </w:r>
      <w:r>
        <w:t xml:space="preserve"> – «Tilning mantiqiy tahlili» seriyasi, madaniy konseptlar.</w:t>
      </w:r>
    </w:p>
    <w:p>
      <w:pPr>
        <w:pStyle w:val="ListParagraph"/>
        <w:numPr>
          <w:ilvl w:val="0"/>
          <w:numId w:val="3"/>
        </w:numPr>
        <w:spacing w:after="40"/>
        <w:jc w:val="both"/>
      </w:pPr>
      <w:r>
        <w:rPr>
          <w:b/>
          <w:bCs/>
        </w:rPr>
        <w:t xml:space="preserve">V.N. Teliya</w:t>
      </w:r>
      <w:r>
        <w:t xml:space="preserve"> – frazeologizmlarning madaniy konnotatsiyasi (Moskva frazeologik maktabi, «Rus frazeologiyasi», 1996).</w:t>
      </w:r>
    </w:p>
    <w:p>
      <w:pPr>
        <w:pStyle w:val="ListParagraph"/>
        <w:numPr>
          <w:ilvl w:val="0"/>
          <w:numId w:val="3"/>
        </w:numPr>
        <w:spacing w:after="40"/>
        <w:jc w:val="both"/>
      </w:pPr>
      <w:r>
        <w:rPr>
          <w:b/>
          <w:bCs/>
        </w:rPr>
        <w:t xml:space="preserve">V.V. Vorob’yov</w:t>
      </w:r>
      <w:r>
        <w:t xml:space="preserve"> – «Lingvokulturologiya (nazariya va metodlar)» (1997), lingvokulturema tushunchasini kiritgan.</w:t>
      </w:r>
    </w:p>
    <w:p>
      <w:pPr>
        <w:pStyle w:val="ListParagraph"/>
        <w:numPr>
          <w:ilvl w:val="0"/>
          <w:numId w:val="3"/>
        </w:numPr>
        <w:spacing w:after="40"/>
        <w:jc w:val="both"/>
      </w:pPr>
      <w:r>
        <w:rPr>
          <w:b/>
          <w:bCs/>
        </w:rPr>
        <w:t xml:space="preserve">V.A. Maslova</w:t>
      </w:r>
      <w:r>
        <w:t xml:space="preserve"> – «Lingvokulturologiya» o‘quv qo‘llanmasi (2001).</w:t>
      </w:r>
    </w:p>
    <w:p>
      <w:pPr>
        <w:pStyle w:val="ListParagraph"/>
        <w:numPr>
          <w:ilvl w:val="0"/>
          <w:numId w:val="3"/>
        </w:numPr>
        <w:spacing w:after="40"/>
        <w:jc w:val="both"/>
      </w:pPr>
      <w:r>
        <w:rPr>
          <w:b/>
          <w:bCs/>
        </w:rPr>
        <w:t xml:space="preserve">V.V. Krasnix, D.B. Gudkov</w:t>
      </w:r>
      <w:r>
        <w:t xml:space="preserve"> – presedent fenomenlar nazariyasi.</w:t>
      </w:r>
    </w:p>
    <w:p>
      <w:pPr>
        <w:spacing w:after="80"/>
        <w:ind w:firstLine="709"/>
        <w:jc w:val="both"/>
      </w:pPr>
      <w:r>
        <w:t xml:space="preserve">Lingvokulturologiyaning </w:t>
      </w:r>
      <w:r>
        <w:rPr>
          <w:b/>
          <w:bCs/>
        </w:rPr>
        <w:t xml:space="preserve">predmeti</w:t>
      </w:r>
      <w:r>
        <w:t xml:space="preserve"> – tilda aks etgan va mustahkamlangan madaniy axborot; madaniy semantikaga ega til birliklari.</w:t>
      </w:r>
    </w:p>
    <w:p>
      <w:pPr>
        <w:spacing w:after="80"/>
        <w:ind w:firstLine="709"/>
        <w:jc w:val="both"/>
      </w:pPr>
      <w:r>
        <w:t xml:space="preserve">Lingvokulturologiyaning </w:t>
      </w:r>
      <w:r>
        <w:rPr>
          <w:b/>
          <w:bCs/>
        </w:rPr>
        <w:t xml:space="preserve">vazifalari</w:t>
      </w:r>
      <w:r>
        <w:t xml:space="preserve">: til birliklarining madaniy ma’nosini aniqlash; milliy konseptlarni tavsiflash; madaniyat kodlarini ochish; lingvokulturologik lug‘atlar tuzish.</w:t>
      </w:r>
    </w:p>
    <w:p>
      <w:pPr>
        <w:pStyle w:val="Heading2"/>
      </w:pPr>
      <w:r>
        <w:t xml:space="preserve">4. Lingvokulturema, madaniy konnotatsiya, presedent birliklar</w:t>
      </w:r>
    </w:p>
    <w:p>
      <w:pPr>
        <w:spacing w:after="80"/>
        <w:ind w:firstLine="709"/>
        <w:jc w:val="both"/>
      </w:pPr>
      <w:r>
        <w:rPr>
          <w:b/>
          <w:bCs/>
        </w:rPr>
        <w:t xml:space="preserve">Lingvokulturema</w:t>
      </w:r>
      <w:r>
        <w:t xml:space="preserve"> (V.V. Vorob’yov) – lingvistik va ekstralingvistik (madaniy) mazmunning dialektik birligini ifodalovchi kompleks birlik. U so‘z, so‘z birikmasi, frazeologizm, matn bo‘lishi mumkin. Masalan, «sumalak» lingvokulturemasi orqasida Navro‘z bayrami, ayollarning tun bo‘yi qozon atrofida qo‘shiq aytishi, niyat qilish odatlari turadi.</w:t>
      </w:r>
    </w:p>
    <w:p>
      <w:pPr>
        <w:spacing w:after="80"/>
        <w:ind w:firstLine="709"/>
        <w:jc w:val="both"/>
      </w:pPr>
      <w:r>
        <w:rPr>
          <w:b/>
          <w:bCs/>
        </w:rPr>
        <w:t xml:space="preserve">Madaniy konnotatsiya</w:t>
      </w:r>
      <w:r>
        <w:t xml:space="preserve"> (V.N. Teliya) – til birligining madaniyat kategoriyalari va etalonlari, simvollari, stereotiplari nuqtai nazaridan talqin qilinishi. Masalan, «tulki» – ayyorlik etaloni, «sher» – jasorat etaloni, «sarv» – qomat go‘zalligi etaloni («sarvqomat»), «oy» – go‘zallik etaloni («oyday go‘zal»).</w:t>
      </w:r>
    </w:p>
    <w:p>
      <w:pPr>
        <w:spacing w:after="80"/>
        <w:ind w:firstLine="709"/>
        <w:jc w:val="both"/>
      </w:pPr>
      <w:r>
        <w:rPr>
          <w:b/>
          <w:bCs/>
        </w:rPr>
        <w:t xml:space="preserve">Presedent birliklar</w:t>
      </w:r>
      <w:r>
        <w:t xml:space="preserve"> (Yu.N. Karaulov, D.B. Gudkov) – muayyan til jamoasi uchun yaxshi tanish, tez-tez murojaat qilinadigan matnlar, ismlar, iboralar va vaziyatlar:</w:t>
      </w:r>
    </w:p>
    <w:p>
      <w:pPr>
        <w:pStyle w:val="ListParagraph"/>
        <w:numPr>
          <w:ilvl w:val="0"/>
          <w:numId w:val="3"/>
        </w:numPr>
        <w:spacing w:after="40"/>
        <w:jc w:val="both"/>
      </w:pPr>
      <w:r>
        <w:t xml:space="preserve">presedent ism: «Farhod», «Majnun», «Nasriddin Afandi», «Alpomish»;</w:t>
      </w:r>
    </w:p>
    <w:p>
      <w:pPr>
        <w:pStyle w:val="ListParagraph"/>
        <w:numPr>
          <w:ilvl w:val="0"/>
          <w:numId w:val="3"/>
        </w:numPr>
        <w:spacing w:after="40"/>
        <w:jc w:val="both"/>
      </w:pPr>
      <w:r>
        <w:t xml:space="preserve">presedent ibora: «Ilm olish – igna bilan quduq qazish», «Sen yetim emassan» (G‘. G‘ulom);</w:t>
      </w:r>
    </w:p>
    <w:p>
      <w:pPr>
        <w:pStyle w:val="ListParagraph"/>
        <w:numPr>
          <w:ilvl w:val="0"/>
          <w:numId w:val="3"/>
        </w:numPr>
        <w:spacing w:after="40"/>
        <w:jc w:val="both"/>
      </w:pPr>
      <w:r>
        <w:t xml:space="preserve">presedent vaziyat: «Farhod va Shirin» qissasi asosidagi «tog‘ni qazish».</w:t>
      </w:r>
    </w:p>
    <w:p>
      <w:pPr>
        <w:spacing w:after="80"/>
        <w:ind w:firstLine="709"/>
        <w:jc w:val="both"/>
      </w:pPr>
      <w:r>
        <w:rPr>
          <w:b/>
          <w:bCs/>
        </w:rPr>
        <w:t xml:space="preserve">Madaniyat kodlari</w:t>
      </w:r>
      <w:r>
        <w:t xml:space="preserve"> (V.V. Krasnix): somatik (tana: «ko‘ngil», «yurak», «jigar»), zoomorf (hayvonlar), vegetativ (o‘simliklar), predmetli, makoniy, vaqtiy, ma’naviy kodlar.</w:t>
      </w:r>
    </w:p>
    <w:p>
      <w:pPr>
        <w:pStyle w:val="Heading2"/>
      </w:pPr>
      <w:r>
        <w:t xml:space="preserve">5. O‘zbek lingvokulturologiyasining rivojlanishi</w:t>
      </w:r>
    </w:p>
    <w:p>
      <w:pPr>
        <w:spacing w:after="80"/>
        <w:ind w:firstLine="709"/>
        <w:jc w:val="both"/>
      </w:pPr>
      <w:r>
        <w:t xml:space="preserve">O‘zbek tilshunosligida lingvokulturologik tadqiqotlar XXI asrning birinchi o‘n yilligidan faollashdi. N. Mahmudovning maqolalari, D. Xudoyberganovaning «Lingvokulturologiya terminlarining qisqacha izohli lug‘ati» (2015), Sh. Usmanovaning «Lingvokulturologiya» (2019) o‘quv qo‘llanmasi, Z. Xolmonova, G‘. Rahimov, M. Xolbekov va boshqalarning ishlari bu yo‘nalishning shakllanishiga xizmat qildi. O‘zbek tilidagi ko‘plab dissertatsiyalarda «ona», «vatan», «mehmon», «non», «sabr», «baxt», «hayo» kabi konseptlar va o‘zbek tilining somatik, zoomorf, fitonim frazeologizmlari lingvokulturologik jihatdan tadqiq etildi.</w:t>
      </w:r>
    </w:p>
    <w:p>
      <w:pPr>
        <w:pStyle w:val="Heading2"/>
      </w:pPr>
      <w:r>
        <w:t xml:space="preserve">Xulosa</w:t>
      </w:r>
    </w:p>
    <w:p>
      <w:pPr>
        <w:spacing w:after="80"/>
        <w:ind w:firstLine="709"/>
        <w:jc w:val="both"/>
      </w:pPr>
      <w:r>
        <w:t xml:space="preserve">Til va madaniyat ajralmas bog‘liqlikda: til madaniyatning ko‘zgusi, uni saqlovchi va uzatuvchi vosita, ayni paytda madaniyatning bir qismidir. Lingvokulturologiya bu munosabatni o‘rganib, til birliklaridagi madaniy axborotni aniqlaydi va tavsiflaydi.</w:t>
      </w:r>
    </w:p>
    <w:p>
      <w:pPr>
        <w:keepNext/>
        <w:spacing w:after="100" w:before="240"/>
        <w:jc w:val="left"/>
      </w:pPr>
      <w:r>
        <w:rPr>
          <w:b/>
          <w:bCs/>
        </w:rPr>
        <w:t xml:space="preserve">Nazorat savollari:</w:t>
      </w:r>
    </w:p>
    <w:p>
      <w:pPr>
        <w:pStyle w:val="ListParagraph"/>
        <w:numPr>
          <w:ilvl w:val="0"/>
          <w:numId w:val="4"/>
        </w:numPr>
        <w:spacing w:after="40"/>
        <w:jc w:val="left"/>
      </w:pPr>
      <w:r>
        <w:t xml:space="preserve">«Madaniyat» so‘zining etimologiyasi va ta’riflarini izohlang.</w:t>
      </w:r>
    </w:p>
    <w:p>
      <w:pPr>
        <w:pStyle w:val="ListParagraph"/>
        <w:numPr>
          <w:ilvl w:val="0"/>
          <w:numId w:val="4"/>
        </w:numPr>
        <w:spacing w:after="40"/>
        <w:jc w:val="left"/>
      </w:pPr>
      <w:r>
        <w:t xml:space="preserve">Til va madaniyat munosabati haqidagi asosiy qarashlarni tavsiflang.</w:t>
      </w:r>
    </w:p>
    <w:p>
      <w:pPr>
        <w:pStyle w:val="ListParagraph"/>
        <w:numPr>
          <w:ilvl w:val="0"/>
          <w:numId w:val="4"/>
        </w:numPr>
        <w:spacing w:after="40"/>
        <w:jc w:val="left"/>
      </w:pPr>
      <w:r>
        <w:t xml:space="preserve">Lingvokulturologiyaning predmeti va vazifalari nimadan iborat?</w:t>
      </w:r>
    </w:p>
    <w:p>
      <w:pPr>
        <w:pStyle w:val="ListParagraph"/>
        <w:numPr>
          <w:ilvl w:val="0"/>
          <w:numId w:val="4"/>
        </w:numPr>
        <w:spacing w:after="40"/>
        <w:jc w:val="left"/>
      </w:pPr>
      <w:r>
        <w:t xml:space="preserve">Lingvokulturema, madaniy konnotatsiya va presedent birliklarga o‘zbek tilidan misollar keltiring.</w:t>
      </w:r>
    </w:p>
    <w:p>
      <w:pPr>
        <w:pStyle w:val="ListParagraph"/>
        <w:numPr>
          <w:ilvl w:val="0"/>
          <w:numId w:val="4"/>
        </w:numPr>
        <w:spacing w:after="40"/>
        <w:jc w:val="left"/>
      </w:pPr>
      <w:r>
        <w:t xml:space="preserve">Madaniyat kodlarining qanday turlari mavjud?</w:t>
      </w:r>
    </w:p>
    <w:p>
      <w:pPr>
        <w:keepNext/>
        <w:spacing w:after="100" w:before="240"/>
        <w:jc w:val="left"/>
      </w:pPr>
      <w:r>
        <w:rPr>
          <w:b/>
          <w:bCs/>
        </w:rPr>
        <w:t xml:space="preserve">Foydalanilgan adabiyotlar:</w:t>
      </w:r>
    </w:p>
    <w:p>
      <w:pPr>
        <w:pStyle w:val="ListParagraph"/>
        <w:numPr>
          <w:ilvl w:val="0"/>
          <w:numId w:val="5"/>
        </w:numPr>
        <w:spacing w:after="40"/>
        <w:jc w:val="both"/>
      </w:pPr>
      <w:r>
        <w:t xml:space="preserve">Xudoyberganova D. Lingvokulturologiya terminlarining qisqacha izohli lug‘ati. – Toshkent: Turon zamin ziyo, 2015.</w:t>
      </w:r>
    </w:p>
    <w:p>
      <w:pPr>
        <w:pStyle w:val="ListParagraph"/>
        <w:numPr>
          <w:ilvl w:val="0"/>
          <w:numId w:val="5"/>
        </w:numPr>
        <w:spacing w:after="40"/>
        <w:jc w:val="both"/>
      </w:pPr>
      <w:r>
        <w:t xml:space="preserve">Usmanova Sh. Lingvokulturologiya: o‘quv qo‘llanma. – Toshkent, 2019.</w:t>
      </w:r>
    </w:p>
    <w:p>
      <w:pPr>
        <w:pStyle w:val="ListParagraph"/>
        <w:numPr>
          <w:ilvl w:val="0"/>
          <w:numId w:val="5"/>
        </w:numPr>
        <w:spacing w:after="40"/>
        <w:jc w:val="both"/>
      </w:pPr>
      <w:r>
        <w:t xml:space="preserve">Маслова В.А. Лингвокультурология. – М.: Академия, 2001.</w:t>
      </w:r>
    </w:p>
    <w:p>
      <w:pPr>
        <w:pStyle w:val="ListParagraph"/>
        <w:numPr>
          <w:ilvl w:val="0"/>
          <w:numId w:val="5"/>
        </w:numPr>
        <w:spacing w:after="40"/>
        <w:jc w:val="both"/>
      </w:pPr>
      <w:r>
        <w:t xml:space="preserve">Воробьёв В.В. Лингвокультурология (теория и методы). – М.: Изд-во РУДН, 1997.</w:t>
      </w:r>
    </w:p>
    <w:p>
      <w:pPr>
        <w:pStyle w:val="ListParagraph"/>
        <w:numPr>
          <w:ilvl w:val="0"/>
          <w:numId w:val="5"/>
        </w:numPr>
        <w:spacing w:after="40"/>
        <w:jc w:val="both"/>
      </w:pPr>
      <w:r>
        <w:t xml:space="preserve">Телия В.Н. Русская фразеология: Семантический, прагматический и лингвокультурологический аспекты. – М.: Языки русской культуры, 1996.</w:t>
      </w:r>
    </w:p>
    <w:p>
      <w:pPr>
        <w:pStyle w:val="ListParagraph"/>
        <w:numPr>
          <w:ilvl w:val="0"/>
          <w:numId w:val="5"/>
        </w:numPr>
        <w:spacing w:after="40"/>
        <w:jc w:val="both"/>
      </w:pPr>
      <w:r>
        <w:t xml:space="preserve">Тер-Минасова С.Г. Язык и межкультурная коммуникация. – М.: Слово, 2000.</w:t>
      </w:r>
    </w:p>
    <w:p>
      <w:pPr>
        <w:pStyle w:val="ListParagraph"/>
        <w:numPr>
          <w:ilvl w:val="0"/>
          <w:numId w:val="5"/>
        </w:numPr>
        <w:spacing w:after="40"/>
        <w:jc w:val="both"/>
      </w:pPr>
      <w:r>
        <w:t xml:space="preserve">Верещагин Е.М., Костомаров В.Г. Язык и культура. – М.: Изд-во МГУ, 1973.</w:t>
      </w:r>
    </w:p>
    <w:p>
      <w:pPr>
        <w:pStyle w:val="ListParagraph"/>
        <w:numPr>
          <w:ilvl w:val="0"/>
          <w:numId w:val="5"/>
        </w:numPr>
        <w:spacing w:after="40"/>
        <w:jc w:val="both"/>
      </w:pPr>
      <w:r>
        <w:t xml:space="preserve">Степанов Ю.С. Константы: Словарь русской культуры. Опыт исследования. – М.: Языки русской культуры, 1997.</w:t>
      </w:r>
    </w:p>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567" w:hanging="567"/>
      </w:pPr>
    </w:lvl>
  </w:abstractNum>
  <w:abstractNum w:abstractNumId="5" w15:restartNumberingAfterBreak="0">
    <w:multiLevelType w:val="hybridMultilevel"/>
    <w:lvl w:ilvl="0" w15:tentative="1">
      <w:start w:val="1"/>
      <w:numFmt w:val="bullet"/>
      <w:lvlText w:val="•"/>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jc w:val="cente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00" w:before="240"/>
      <w:outlineLvl w:val="1"/>
    </w:pPr>
    <w:rPr>
      <w:rFonts w:ascii="Times New Roman" w:cs="Times New Roman" w:eastAsia="Times New Roman" w:hAnsi="Times New Roman"/>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12-MA’RUZA. LISON VA MADANIYAT MUNOSABATI</dc:title>
  <dc:creator>Un-named</dc:creator>
  <cp:lastModifiedBy>Un-named</cp:lastModifiedBy>
  <cp:revision>1</cp:revision>
  <dcterms:created xsi:type="dcterms:W3CDTF">2026-10-30T07:33:46.382Z</dcterms:created>
  <dcterms:modified xsi:type="dcterms:W3CDTF">2026-10-30T07:33:46.382Z</dcterms:modified>
</cp:coreProperties>
</file>

<file path=docProps/custom.xml><?xml version="1.0" encoding="utf-8"?>
<Properties xmlns="http://schemas.openxmlformats.org/officeDocument/2006/custom-properties" xmlns:vt="http://schemas.openxmlformats.org/officeDocument/2006/docPropsVTypes"/>
</file>