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13-MA’RUZA. LISONIY HODISALARNING KOGNITIV TAHLILI</w:t>
      </w:r>
    </w:p>
    <w:p>
      <w:pPr>
        <w:keepNext/>
        <w:spacing w:after="100" w:before="240"/>
        <w:jc w:val="center"/>
      </w:pPr>
      <w:r>
        <w:rPr>
          <w:b/>
          <w:bCs/>
        </w:rPr>
        <w:t xml:space="preserve">Reja:</w:t>
      </w:r>
    </w:p>
    <w:p>
      <w:pPr>
        <w:pStyle w:val="ListParagraph"/>
        <w:numPr>
          <w:ilvl w:val="0"/>
          <w:numId w:val="2"/>
        </w:numPr>
        <w:spacing w:after="40"/>
        <w:jc w:val="left"/>
      </w:pPr>
      <w:r>
        <w:t xml:space="preserve">Konseptual metafora nazariyasi.</w:t>
      </w:r>
    </w:p>
    <w:p>
      <w:pPr>
        <w:pStyle w:val="ListParagraph"/>
        <w:numPr>
          <w:ilvl w:val="0"/>
          <w:numId w:val="2"/>
        </w:numPr>
        <w:spacing w:after="40"/>
        <w:jc w:val="left"/>
      </w:pPr>
      <w:r>
        <w:t xml:space="preserve">Konseptual metonimiya.</w:t>
      </w:r>
    </w:p>
    <w:p>
      <w:pPr>
        <w:pStyle w:val="ListParagraph"/>
        <w:numPr>
          <w:ilvl w:val="0"/>
          <w:numId w:val="2"/>
        </w:numPr>
        <w:spacing w:after="40"/>
        <w:jc w:val="left"/>
      </w:pPr>
      <w:r>
        <w:t xml:space="preserve">Tasvir sxemalari (obrazli sxemalar).</w:t>
      </w:r>
    </w:p>
    <w:p>
      <w:pPr>
        <w:pStyle w:val="ListParagraph"/>
        <w:numPr>
          <w:ilvl w:val="0"/>
          <w:numId w:val="2"/>
        </w:numPr>
        <w:spacing w:after="40"/>
        <w:jc w:val="left"/>
      </w:pPr>
      <w:r>
        <w:t xml:space="preserve">Polisemiyaning kognitiv tahlili: radial kategoriya.</w:t>
      </w:r>
    </w:p>
    <w:p>
      <w:pPr>
        <w:pStyle w:val="ListParagraph"/>
        <w:numPr>
          <w:ilvl w:val="0"/>
          <w:numId w:val="2"/>
        </w:numPr>
        <w:spacing w:after="40"/>
        <w:jc w:val="left"/>
      </w:pPr>
      <w:r>
        <w:t xml:space="preserve">Grammatik hodisalarning kognitiv tahlili.</w:t>
      </w:r>
    </w:p>
    <w:p>
      <w:pPr>
        <w:pStyle w:val="ListParagraph"/>
        <w:numPr>
          <w:ilvl w:val="0"/>
          <w:numId w:val="2"/>
        </w:numPr>
        <w:spacing w:after="40"/>
        <w:jc w:val="left"/>
      </w:pPr>
      <w:r>
        <w:t xml:space="preserve">Konsept tahlilining bosqichlari (amaliy namuna).</w:t>
      </w:r>
    </w:p>
    <w:p>
      <w:pPr>
        <w:shd w:fill="EAF1F8" w:color="auto" w:val="clear"/>
        <w:spacing w:after="200" w:before="240"/>
        <w:jc w:val="both"/>
      </w:pPr>
      <w:r>
        <w:rPr>
          <w:b/>
          <w:bCs/>
        </w:rPr>
        <w:t xml:space="preserve">Tayanch tushunchalar: </w:t>
      </w:r>
      <w:r>
        <w:rPr>
          <w:i/>
          <w:iCs/>
        </w:rPr>
        <w:t xml:space="preserve">konseptual metafora, manba soha, maqsad soha, proyeksiya, konseptual metonimiya, tasvir sxemasi, radial kategoriya, konstruallanish, ikoniklik, semantik-kognitiv tahlil.</w:t>
      </w:r>
    </w:p>
    <w:p>
      <w:pPr>
        <w:pStyle w:val="Heading2"/>
      </w:pPr>
      <w:r>
        <w:t xml:space="preserve">1. Konseptual metafora nazariyasi</w:t>
      </w:r>
    </w:p>
    <w:p>
      <w:pPr>
        <w:spacing w:after="80"/>
        <w:ind w:firstLine="709"/>
        <w:jc w:val="both"/>
      </w:pPr>
      <w:r>
        <w:t xml:space="preserve">J. Lakoff va M. Jonson «Biz yashaydigan metaforalar» (1980) asarida metaforani faqat badiiy bezak emas, balki tafakkur mexanizmi sifatida talqin qildi:</w:t>
      </w:r>
    </w:p>
    <w:p>
      <w:pPr>
        <w:pBdr>
          <w:left w:val="single" w:color="1F4E79" w:sz="12" w:space="8"/>
        </w:pBdr>
        <w:spacing w:after="120" w:before="80"/>
        <w:ind w:left="709" w:right="709"/>
        <w:jc w:val="both"/>
      </w:pPr>
      <w:r>
        <w:rPr>
          <w:i/>
          <w:iCs/>
        </w:rPr>
        <w:t xml:space="preserve">Metaforaning mohiyati bir turdagi narsani boshqa turdagi narsa orqali tushunish va tajriba qilishdadir (J. Lakoff, M. Jonson).</w:t>
      </w:r>
    </w:p>
    <w:p>
      <w:pPr>
        <w:spacing w:after="80"/>
        <w:ind w:firstLine="709"/>
        <w:jc w:val="both"/>
      </w:pPr>
      <w:r>
        <w:rPr>
          <w:b/>
          <w:bCs/>
        </w:rPr>
        <w:t xml:space="preserve">Konseptual metafora</w:t>
      </w:r>
      <w:r>
        <w:t xml:space="preserve"> – bir konseptual soha (</w:t>
      </w:r>
      <w:r>
        <w:rPr>
          <w:b/>
          <w:bCs/>
        </w:rPr>
        <w:t xml:space="preserve">manba soha</w:t>
      </w:r>
      <w:r>
        <w:t xml:space="preserve">, source domain) orqali boshqa konseptual sohani (</w:t>
      </w:r>
      <w:r>
        <w:rPr>
          <w:b/>
          <w:bCs/>
        </w:rPr>
        <w:t xml:space="preserve">maqsad soha</w:t>
      </w:r>
      <w:r>
        <w:t xml:space="preserve">, target domain) tushunish. Odatda konkret, tajribada yaxshi tanish soha mavhum sohani tushunish uchun manba bo‘lib xizmat qiladi. Manba va maqsad sohalari o‘rtasidagi muvofiqliklar </w:t>
      </w:r>
      <w:r>
        <w:rPr>
          <w:b/>
          <w:bCs/>
        </w:rPr>
        <w:t xml:space="preserve">proyeksiya</w:t>
      </w:r>
      <w:r>
        <w:t xml:space="preserve"> (mapping) deyiladi. Konseptual metaforalar odatda KATTA HARFLAR bilan yoziladi.</w:t>
      </w:r>
    </w:p>
    <w:p>
      <w:pPr>
        <w:spacing w:after="80"/>
        <w:ind w:firstLine="709"/>
        <w:jc w:val="both"/>
      </w:pPr>
      <w:r>
        <w:t xml:space="preserve">Lakoff va Jonson metaforalarning uch turini ajratgan:</w:t>
      </w:r>
    </w:p>
    <w:p>
      <w:pPr>
        <w:pStyle w:val="ListParagraph"/>
        <w:numPr>
          <w:ilvl w:val="0"/>
          <w:numId w:val="3"/>
        </w:numPr>
        <w:spacing w:after="40"/>
        <w:jc w:val="both"/>
      </w:pPr>
      <w:r>
        <w:rPr>
          <w:b/>
          <w:bCs/>
        </w:rPr>
        <w:t xml:space="preserve">Strukturaviy metaforalar</w:t>
      </w:r>
      <w:r>
        <w:t xml:space="preserve"> – bir konsept boshqasi asosida tuziladi: BAHS – URUSH («fikrini yanchib tashladi», «hujumga o‘tdi», «pozitsiyasini himoya qildi»); VAQT – PUL («vaqtni sarflamoq», «vaqtni tejamoq», «vaqtim yo‘q»).</w:t>
      </w:r>
    </w:p>
    <w:p>
      <w:pPr>
        <w:pStyle w:val="ListParagraph"/>
        <w:numPr>
          <w:ilvl w:val="0"/>
          <w:numId w:val="3"/>
        </w:numPr>
        <w:spacing w:after="40"/>
        <w:jc w:val="both"/>
      </w:pPr>
      <w:r>
        <w:rPr>
          <w:b/>
          <w:bCs/>
        </w:rPr>
        <w:t xml:space="preserve">Orientatsion metaforalar</w:t>
      </w:r>
      <w:r>
        <w:t xml:space="preserve"> – makoniy yo‘nalishlar asosida: XURSANDLIK – YUQORI, QAYG‘U – PAST («boshi osmonga yetdi», «ruhi tushdi», «kayfiyati ko‘tarildi»); KO‘P – YUQORI («narxlar oshdi», «daromad tushib ketdi»).</w:t>
      </w:r>
    </w:p>
    <w:p>
      <w:pPr>
        <w:pStyle w:val="ListParagraph"/>
        <w:numPr>
          <w:ilvl w:val="0"/>
          <w:numId w:val="3"/>
        </w:numPr>
        <w:spacing w:after="40"/>
        <w:jc w:val="both"/>
      </w:pPr>
      <w:r>
        <w:rPr>
          <w:b/>
          <w:bCs/>
        </w:rPr>
        <w:t xml:space="preserve">Ontologik metaforalar</w:t>
      </w:r>
      <w:r>
        <w:t xml:space="preserve"> – mavhum tushunchalarni narsa, modda, idish sifatida tasavvur qilish: ONG – IDISH («boshimga sig‘maydi», «xayolidan chiqmaydi»), YURAK – IDISH («yuragi to‘lib ketdi», «yuragiga sig‘dirolmadi»), INSON TANASI – IDISH («ichi qora», «ichi to‘la gap»).</w:t>
      </w:r>
    </w:p>
    <w:p>
      <w:pPr>
        <w:spacing w:after="80"/>
        <w:ind w:firstLine="709"/>
        <w:jc w:val="both"/>
      </w:pPr>
      <w:r>
        <w:t xml:space="preserve">O‘zbek tilidan konseptual metafora misollari: HAYOT – YO‘L («hayot yo‘li», «yo‘ldan adashdi», «turmush chorrahasida»); VATAN – ONA («Ona Vatan», «Vatan – onang»); G‘AZAB – OLOV («g‘azabi alangalandi», «o‘t bo‘lib yondi»); SO‘Z – QUROL («so‘z o‘qi», «tili o‘tkir»).</w:t>
      </w:r>
    </w:p>
    <w:p>
      <w:pPr>
        <w:pStyle w:val="Heading2"/>
      </w:pPr>
      <w:r>
        <w:t xml:space="preserve">2. Konseptual metonimiya</w:t>
      </w:r>
    </w:p>
    <w:p>
      <w:pPr>
        <w:spacing w:after="80"/>
        <w:ind w:firstLine="709"/>
        <w:jc w:val="both"/>
      </w:pPr>
      <w:r>
        <w:rPr>
          <w:b/>
          <w:bCs/>
        </w:rPr>
        <w:t xml:space="preserve">Konseptual metonimiya</w:t>
      </w:r>
      <w:r>
        <w:t xml:space="preserve"> – bir konseptual soha ichida bir elementning boshqasini ifodalashi (aloqadorlik asosida). Metaforadan farqli ravishda u ikki soha o‘rtasida emas, bitta soha ichida amal qiladi. Asosiy modellar:</w:t>
      </w:r>
    </w:p>
    <w:p>
      <w:pPr>
        <w:pStyle w:val="ListParagraph"/>
        <w:numPr>
          <w:ilvl w:val="0"/>
          <w:numId w:val="3"/>
        </w:numPr>
        <w:spacing w:after="40"/>
        <w:jc w:val="both"/>
      </w:pPr>
      <w:r>
        <w:t xml:space="preserve">QISM – BUTUN UCHUN: «Uyda besh jon bor», «oila boshi», «qo‘l kerak» (ishchi kuchi);</w:t>
      </w:r>
    </w:p>
    <w:p>
      <w:pPr>
        <w:pStyle w:val="ListParagraph"/>
        <w:numPr>
          <w:ilvl w:val="0"/>
          <w:numId w:val="3"/>
        </w:numPr>
        <w:spacing w:after="40"/>
        <w:jc w:val="both"/>
      </w:pPr>
      <w:r>
        <w:t xml:space="preserve">IDISH – ICHIDAGI UCHUN: «bir piyola ichdi», «butun mahalla yig‘ildi»;</w:t>
      </w:r>
    </w:p>
    <w:p>
      <w:pPr>
        <w:pStyle w:val="ListParagraph"/>
        <w:numPr>
          <w:ilvl w:val="0"/>
          <w:numId w:val="3"/>
        </w:numPr>
        <w:spacing w:after="40"/>
        <w:jc w:val="both"/>
      </w:pPr>
      <w:r>
        <w:t xml:space="preserve">JOY – MUASSASA UCHUN: «Toshkent qaror qildi», «Oqsaroy»;</w:t>
      </w:r>
    </w:p>
    <w:p>
      <w:pPr>
        <w:pStyle w:val="ListParagraph"/>
        <w:numPr>
          <w:ilvl w:val="0"/>
          <w:numId w:val="3"/>
        </w:numPr>
        <w:spacing w:after="40"/>
        <w:jc w:val="both"/>
      </w:pPr>
      <w:r>
        <w:t xml:space="preserve">MUALLIF – ASAR UCHUN: «Navoiyni o‘qidim»;</w:t>
      </w:r>
    </w:p>
    <w:p>
      <w:pPr>
        <w:pStyle w:val="ListParagraph"/>
        <w:numPr>
          <w:ilvl w:val="0"/>
          <w:numId w:val="3"/>
        </w:numPr>
        <w:spacing w:after="40"/>
        <w:jc w:val="both"/>
      </w:pPr>
      <w:r>
        <w:t xml:space="preserve">KIYIM – SHAXS UCHUN: «oq xalatlilar» (shifokorlar).</w:t>
      </w:r>
    </w:p>
    <w:p>
      <w:pPr>
        <w:pStyle w:val="Heading2"/>
      </w:pPr>
      <w:r>
        <w:t xml:space="preserve">3. Tasvir sxemalari</w:t>
      </w:r>
    </w:p>
    <w:p>
      <w:pPr>
        <w:spacing w:after="80"/>
        <w:ind w:firstLine="709"/>
        <w:jc w:val="both"/>
      </w:pPr>
      <w:r>
        <w:rPr>
          <w:b/>
          <w:bCs/>
        </w:rPr>
        <w:t xml:space="preserve">Tasvir sxemalari</w:t>
      </w:r>
      <w:r>
        <w:t xml:space="preserve"> (image schemas) – M. Jonson «Ongdagi tana» (The Body in the Mind, 1987) asarida kiritgan tushuncha. Ular inson tanasining olam bilan o‘zaro ta’siri (harakat, idrok, predmetlar bilan muomala) natijasida shakllanadigan, takrorlanuvchi, sodda, dinamik sxemalardir. Asosiy tasvir sxemalari:</w:t>
      </w:r>
    </w:p>
    <w:p>
      <w:pPr>
        <w:pStyle w:val="ListParagraph"/>
        <w:numPr>
          <w:ilvl w:val="0"/>
          <w:numId w:val="3"/>
        </w:numPr>
        <w:spacing w:after="40"/>
        <w:jc w:val="both"/>
      </w:pPr>
      <w:r>
        <w:rPr>
          <w:b/>
          <w:bCs/>
        </w:rPr>
        <w:t xml:space="preserve">IDISH</w:t>
      </w:r>
      <w:r>
        <w:t xml:space="preserve"> (ichkari – tashqari – chegara): «uyga kirdi», «hayotiga kirib keldi», «tushkunlikdan chiqdi», «gapning ichida gap bor».</w:t>
      </w:r>
    </w:p>
    <w:p>
      <w:pPr>
        <w:pStyle w:val="ListParagraph"/>
        <w:numPr>
          <w:ilvl w:val="0"/>
          <w:numId w:val="3"/>
        </w:numPr>
        <w:spacing w:after="40"/>
        <w:jc w:val="both"/>
      </w:pPr>
      <w:r>
        <w:rPr>
          <w:b/>
          <w:bCs/>
        </w:rPr>
        <w:t xml:space="preserve">YO‘L</w:t>
      </w:r>
      <w:r>
        <w:t xml:space="preserve"> (MANBA – YO‘L – MAQSAD): «maqsad sari», «Toshkentdan Samarqandga», «muvaffaqiyatga erishdi».</w:t>
      </w:r>
    </w:p>
    <w:p>
      <w:pPr>
        <w:pStyle w:val="ListParagraph"/>
        <w:numPr>
          <w:ilvl w:val="0"/>
          <w:numId w:val="3"/>
        </w:numPr>
        <w:spacing w:after="40"/>
        <w:jc w:val="both"/>
      </w:pPr>
      <w:r>
        <w:rPr>
          <w:b/>
          <w:bCs/>
        </w:rPr>
        <w:t xml:space="preserve">YUQORI – PAST</w:t>
      </w:r>
      <w:r>
        <w:t xml:space="preserve">, </w:t>
      </w:r>
      <w:r>
        <w:rPr>
          <w:b/>
          <w:bCs/>
        </w:rPr>
        <w:t xml:space="preserve">OLD – ORQA</w:t>
      </w:r>
      <w:r>
        <w:t xml:space="preserve">, </w:t>
      </w:r>
      <w:r>
        <w:rPr>
          <w:b/>
          <w:bCs/>
        </w:rPr>
        <w:t xml:space="preserve">MARKAZ – PERIFERIYA</w:t>
      </w:r>
      <w:r>
        <w:t xml:space="preserve">, </w:t>
      </w:r>
      <w:r>
        <w:rPr>
          <w:b/>
          <w:bCs/>
        </w:rPr>
        <w:t xml:space="preserve">QISM – BUTUN</w:t>
      </w:r>
      <w:r>
        <w:t xml:space="preserve">, </w:t>
      </w:r>
      <w:r>
        <w:rPr>
          <w:b/>
          <w:bCs/>
        </w:rPr>
        <w:t xml:space="preserve">BOG‘LANISH</w:t>
      </w:r>
      <w:r>
        <w:t xml:space="preserve">, </w:t>
      </w:r>
      <w:r>
        <w:rPr>
          <w:b/>
          <w:bCs/>
        </w:rPr>
        <w:t xml:space="preserve">KUCH</w:t>
      </w:r>
      <w:r>
        <w:t xml:space="preserve"> (to‘siq, majburlash).</w:t>
      </w:r>
    </w:p>
    <w:p>
      <w:pPr>
        <w:spacing w:after="80"/>
        <w:ind w:firstLine="709"/>
        <w:jc w:val="both"/>
      </w:pPr>
      <w:r>
        <w:t xml:space="preserve">O‘zbek tilidagi ko‘makchilar va o‘rin-payt shakllari («ichida», «ustida», «ostida», «oldida», «orqasida») tasvir sxemalari asosida ham makoniy, ham mavhum ma’nolarni ifodalaydi: «stol ustida» – «loyiha ustida ishlamoq»; «uy ichida» – «muammolar ichida qolmoq».</w:t>
      </w:r>
    </w:p>
    <w:p>
      <w:pPr>
        <w:pStyle w:val="Heading2"/>
      </w:pPr>
      <w:r>
        <w:t xml:space="preserve">4. Polisemiyaning kognitiv tahlili</w:t>
      </w:r>
    </w:p>
    <w:p>
      <w:pPr>
        <w:spacing w:after="80"/>
        <w:ind w:firstLine="709"/>
        <w:jc w:val="both"/>
      </w:pPr>
      <w:r>
        <w:t xml:space="preserve">Kognitiv tilshunoslikda ko‘p ma’nolilik </w:t>
      </w:r>
      <w:r>
        <w:rPr>
          <w:b/>
          <w:bCs/>
        </w:rPr>
        <w:t xml:space="preserve">radial kategoriya</w:t>
      </w:r>
      <w:r>
        <w:t xml:space="preserve"> sifatida talqin qilinadi (J. Lakoff, K. Bryugman): so‘zning markaziy (prototipik) ma’nosi va undan metafora, metonimiya, tasvir sxemasi o‘zgarishlari orqali hosil bo‘lgan periferik ma’nolar tarmog‘i. Lakoff ingliz tilidagi «over» predlogining o‘nlab ma’nolarini shunday tahlil qilgan.</w:t>
      </w:r>
    </w:p>
    <w:p>
      <w:pPr>
        <w:spacing w:after="80"/>
        <w:ind w:firstLine="709"/>
        <w:jc w:val="both"/>
      </w:pPr>
      <w:r>
        <w:t xml:space="preserve">O‘zbek tilidagi </w:t>
      </w:r>
      <w:r>
        <w:rPr>
          <w:b/>
          <w:bCs/>
        </w:rPr>
        <w:t xml:space="preserve">«bosh»</w:t>
      </w:r>
      <w:r>
        <w:t xml:space="preserve"> so‘zining radial tuzilishi:</w:t>
      </w:r>
    </w:p>
    <w:p>
      <w:pPr>
        <w:pStyle w:val="ListParagraph"/>
        <w:numPr>
          <w:ilvl w:val="0"/>
          <w:numId w:val="3"/>
        </w:numPr>
        <w:spacing w:after="40"/>
        <w:jc w:val="both"/>
      </w:pPr>
      <w:r>
        <w:t xml:space="preserve">markaziy ma’no: tananing yuqori qismi («boshi og‘ridi»);</w:t>
      </w:r>
    </w:p>
    <w:p>
      <w:pPr>
        <w:pStyle w:val="ListParagraph"/>
        <w:numPr>
          <w:ilvl w:val="0"/>
          <w:numId w:val="3"/>
        </w:numPr>
        <w:spacing w:after="40"/>
        <w:jc w:val="both"/>
      </w:pPr>
      <w:r>
        <w:t xml:space="preserve">metafora (YUQORI qism): «tog‘ boshi», «daraxt boshi»;</w:t>
      </w:r>
    </w:p>
    <w:p>
      <w:pPr>
        <w:pStyle w:val="ListParagraph"/>
        <w:numPr>
          <w:ilvl w:val="0"/>
          <w:numId w:val="3"/>
        </w:numPr>
        <w:spacing w:after="40"/>
        <w:jc w:val="both"/>
      </w:pPr>
      <w:r>
        <w:t xml:space="preserve">metafora (BOSHLANISH): «yil boshi», «ko‘cha boshi», «ishning boshi»;</w:t>
      </w:r>
    </w:p>
    <w:p>
      <w:pPr>
        <w:pStyle w:val="ListParagraph"/>
        <w:numPr>
          <w:ilvl w:val="0"/>
          <w:numId w:val="3"/>
        </w:numPr>
        <w:spacing w:after="40"/>
        <w:jc w:val="both"/>
      </w:pPr>
      <w:r>
        <w:t xml:space="preserve">metonimiya/metafora (RAHBAR): «oila boshi», «bo‘lim boshlig‘i»;</w:t>
      </w:r>
    </w:p>
    <w:p>
      <w:pPr>
        <w:pStyle w:val="ListParagraph"/>
        <w:numPr>
          <w:ilvl w:val="0"/>
          <w:numId w:val="3"/>
        </w:numPr>
        <w:spacing w:after="40"/>
        <w:jc w:val="both"/>
      </w:pPr>
      <w:r>
        <w:t xml:space="preserve">metonimiya (DONA): «bir bosh piyoz», «yuz bosh qo‘y»;</w:t>
      </w:r>
    </w:p>
    <w:p>
      <w:pPr>
        <w:pStyle w:val="ListParagraph"/>
        <w:numPr>
          <w:ilvl w:val="0"/>
          <w:numId w:val="3"/>
        </w:numPr>
        <w:spacing w:after="40"/>
        <w:jc w:val="both"/>
      </w:pPr>
      <w:r>
        <w:t xml:space="preserve">frazeologik ma’nolar: «boshi qotdi», «bosh egmoq», «boshiga yetdi».</w:t>
      </w:r>
    </w:p>
    <w:p>
      <w:pPr>
        <w:spacing w:after="80"/>
        <w:ind w:firstLine="709"/>
        <w:jc w:val="both"/>
      </w:pPr>
      <w:r>
        <w:t xml:space="preserve">Bu ma’nolar tasodifiy emas: ular inson tanasi tajribasi (bosh – yuqorida, muhim, oldinda) asosida motivlangan.</w:t>
      </w:r>
    </w:p>
    <w:p>
      <w:pPr>
        <w:pStyle w:val="Heading2"/>
      </w:pPr>
      <w:r>
        <w:t xml:space="preserve">5. Grammatik hodisalarning kognitiv tahlili</w:t>
      </w:r>
    </w:p>
    <w:p>
      <w:pPr>
        <w:spacing w:after="80"/>
        <w:ind w:firstLine="709"/>
        <w:jc w:val="both"/>
      </w:pPr>
      <w:r>
        <w:t xml:space="preserve">Kognitiv grammatikada (R. Lenekker) grammatik shakllar ham ma’noga ega deb qaraladi. Bir vaziyatning turlicha </w:t>
      </w:r>
      <w:r>
        <w:rPr>
          <w:b/>
          <w:bCs/>
        </w:rPr>
        <w:t xml:space="preserve">konstruallanishi</w:t>
      </w:r>
      <w:r>
        <w:t xml:space="preserve"> (talqin qilinishi) turli grammatik shakllarda aks etadi:</w:t>
      </w:r>
    </w:p>
    <w:p>
      <w:pPr>
        <w:pStyle w:val="ListParagraph"/>
        <w:numPr>
          <w:ilvl w:val="0"/>
          <w:numId w:val="3"/>
        </w:numPr>
        <w:spacing w:after="40"/>
        <w:jc w:val="both"/>
      </w:pPr>
      <w:r>
        <w:rPr>
          <w:b/>
          <w:bCs/>
        </w:rPr>
        <w:t xml:space="preserve">Aktiv va passiv</w:t>
      </w:r>
      <w:r>
        <w:t xml:space="preserve">: «Ishchilar ko‘prik qurdi» – «Ko‘prik qurildi» (diqqat markazining o‘zgarishi).</w:t>
      </w:r>
    </w:p>
    <w:p>
      <w:pPr>
        <w:pStyle w:val="ListParagraph"/>
        <w:numPr>
          <w:ilvl w:val="0"/>
          <w:numId w:val="3"/>
        </w:numPr>
        <w:spacing w:after="40"/>
        <w:jc w:val="both"/>
      </w:pPr>
      <w:r>
        <w:rPr>
          <w:b/>
          <w:bCs/>
        </w:rPr>
        <w:t xml:space="preserve">Ko‘rish nuqtasi</w:t>
      </w:r>
      <w:r>
        <w:t xml:space="preserve">: «Ali Valiga kitob berdi» – «Vali Alidan kitob oldi».</w:t>
      </w:r>
    </w:p>
    <w:p>
      <w:pPr>
        <w:pStyle w:val="ListParagraph"/>
        <w:numPr>
          <w:ilvl w:val="0"/>
          <w:numId w:val="3"/>
        </w:numPr>
        <w:spacing w:after="40"/>
        <w:jc w:val="both"/>
      </w:pPr>
      <w:r>
        <w:rPr>
          <w:b/>
          <w:bCs/>
        </w:rPr>
        <w:t xml:space="preserve">Ikoniklik</w:t>
      </w:r>
      <w:r>
        <w:t xml:space="preserve"> – shakl va mazmun o‘rtasidagi o‘xshashlik: «Keldi, ko‘rdi, g‘olib bo‘ldi» (gapdagi tartib voqealar tartibini aks ettiradi); takror orqali ko‘plik yoki davomiylikni ifodalash («uzoq-uzoqlarda», «kulib-kulib»).</w:t>
      </w:r>
    </w:p>
    <w:p>
      <w:pPr>
        <w:pStyle w:val="ListParagraph"/>
        <w:numPr>
          <w:ilvl w:val="0"/>
          <w:numId w:val="3"/>
        </w:numPr>
        <w:spacing w:after="40"/>
        <w:jc w:val="both"/>
      </w:pPr>
      <w:r>
        <w:rPr>
          <w:b/>
          <w:bCs/>
        </w:rPr>
        <w:t xml:space="preserve">Konstruksion grammatika</w:t>
      </w:r>
      <w:r>
        <w:t xml:space="preserve"> (A. Goldberg, 1995): sintaktik qolip o‘zi ma’no tashiydi. Masalan, «X Y-ni Z-ga aylantirdi» qolipi o‘zgarish ma’nosini beradi.</w:t>
      </w:r>
    </w:p>
    <w:p>
      <w:pPr>
        <w:pStyle w:val="Heading2"/>
      </w:pPr>
      <w:r>
        <w:t xml:space="preserve">6. Konsept tahlilining bosqichlari (amaliy namuna)</w:t>
      </w:r>
    </w:p>
    <w:p>
      <w:pPr>
        <w:spacing w:after="80"/>
        <w:ind w:firstLine="709"/>
        <w:jc w:val="both"/>
      </w:pPr>
      <w:r>
        <w:t xml:space="preserve">Z.D. Popova va I.A. Sternin taklif qilgan </w:t>
      </w:r>
      <w:r>
        <w:rPr>
          <w:b/>
          <w:bCs/>
        </w:rPr>
        <w:t xml:space="preserve">semantik-kognitiv tahlil</w:t>
      </w:r>
      <w:r>
        <w:t xml:space="preserve"> quyidagi bosqichlardan iborat:</w:t>
      </w:r>
    </w:p>
    <w:p>
      <w:pPr>
        <w:pStyle w:val="ListParagraph"/>
        <w:numPr>
          <w:ilvl w:val="0"/>
          <w:numId w:val="3"/>
        </w:numPr>
        <w:spacing w:after="40"/>
        <w:jc w:val="both"/>
      </w:pPr>
      <w:r>
        <w:t xml:space="preserve">konseptni ifodalovchi tayanch so‘z (nomlovchi) ni aniqlash;</w:t>
      </w:r>
    </w:p>
    <w:p>
      <w:pPr>
        <w:pStyle w:val="ListParagraph"/>
        <w:numPr>
          <w:ilvl w:val="0"/>
          <w:numId w:val="3"/>
        </w:numPr>
        <w:spacing w:after="40"/>
        <w:jc w:val="both"/>
      </w:pPr>
      <w:r>
        <w:t xml:space="preserve">tayanch so‘zning izohli lug‘atlardagi ma’nolarini tahlil qilish;</w:t>
      </w:r>
    </w:p>
    <w:p>
      <w:pPr>
        <w:pStyle w:val="ListParagraph"/>
        <w:numPr>
          <w:ilvl w:val="0"/>
          <w:numId w:val="3"/>
        </w:numPr>
        <w:spacing w:after="40"/>
        <w:jc w:val="both"/>
      </w:pPr>
      <w:r>
        <w:t xml:space="preserve">sinonimlar, antonimlar, so‘z yasash uyasi, frazeologizmlar va maqollarni yig‘ish;</w:t>
      </w:r>
    </w:p>
    <w:p>
      <w:pPr>
        <w:pStyle w:val="ListParagraph"/>
        <w:numPr>
          <w:ilvl w:val="0"/>
          <w:numId w:val="3"/>
        </w:numPr>
        <w:spacing w:after="40"/>
        <w:jc w:val="both"/>
      </w:pPr>
      <w:r>
        <w:t xml:space="preserve">badiiy va publitsistik matnlardan misollar to‘plash;</w:t>
      </w:r>
    </w:p>
    <w:p>
      <w:pPr>
        <w:pStyle w:val="ListParagraph"/>
        <w:numPr>
          <w:ilvl w:val="0"/>
          <w:numId w:val="3"/>
        </w:numPr>
        <w:spacing w:after="40"/>
        <w:jc w:val="both"/>
      </w:pPr>
      <w:r>
        <w:t xml:space="preserve">assotsiativ eksperiment o‘tkazish;</w:t>
      </w:r>
    </w:p>
    <w:p>
      <w:pPr>
        <w:pStyle w:val="ListParagraph"/>
        <w:numPr>
          <w:ilvl w:val="0"/>
          <w:numId w:val="3"/>
        </w:numPr>
        <w:spacing w:after="40"/>
        <w:jc w:val="both"/>
      </w:pPr>
      <w:r>
        <w:t xml:space="preserve">olingan kognitiv belgilarni umumlashtirish va konseptning yadro va periferiyasini aniqlash;</w:t>
      </w:r>
    </w:p>
    <w:p>
      <w:pPr>
        <w:pStyle w:val="ListParagraph"/>
        <w:numPr>
          <w:ilvl w:val="0"/>
          <w:numId w:val="3"/>
        </w:numPr>
        <w:spacing w:after="40"/>
        <w:jc w:val="both"/>
      </w:pPr>
      <w:r>
        <w:t xml:space="preserve">konseptning milliy-madaniy o‘ziga xosligini aniqlash.</w:t>
      </w:r>
    </w:p>
    <w:p>
      <w:pPr>
        <w:spacing w:after="80"/>
        <w:ind w:firstLine="709"/>
        <w:jc w:val="both"/>
      </w:pPr>
      <w:r>
        <w:t xml:space="preserve">Masalan, </w:t>
      </w:r>
      <w:r>
        <w:rPr>
          <w:b/>
          <w:bCs/>
        </w:rPr>
        <w:t xml:space="preserve">«mehmon» konsepti</w:t>
      </w:r>
      <w:r>
        <w:t xml:space="preserve"> tahlilida: lug‘aviy ma’no («biror kishinikiga kelgan yoki taklif qilingan kishi»); sinonimlar («mehmon», «g‘arib», «musofir»); so‘z yasalishi («mehmondo‘st», «mehmondorchilik», «mehmonxona»); maqollar («Mehmon atoyi Xudo», «Mehmon kelar eshikdan, rizqi kelar teshikdan», «Mehmon otangdan ulug‘»); kognitiv belgilar: hurmat ob’ekti, uy egasining sharafi, baraka manbai, qadriyatli munosabat. Yadroda «hurmatga sazovor tashrif buyuruvchi» belgisi, periferiyada «baraka keltiruvchi», «uy egasini sinovchi» belgilari joylashadi.</w:t>
      </w:r>
    </w:p>
    <w:p>
      <w:pPr>
        <w:pStyle w:val="Heading2"/>
      </w:pPr>
      <w:r>
        <w:t xml:space="preserve">Xulosa</w:t>
      </w:r>
    </w:p>
    <w:p>
      <w:pPr>
        <w:spacing w:after="80"/>
        <w:ind w:firstLine="709"/>
        <w:jc w:val="both"/>
      </w:pPr>
      <w:r>
        <w:t xml:space="preserve">Lisoniy hodisalarning kognitiv tahlili til birliklarini inson tafakkuri va tajribasi bilan bog‘liq holda o‘rganadi. Konseptual metafora va metonimiya, tasvir sxemalari, radial kategoriyalar, konstruallanish kabi tushunchalar leksika, frazeologiya va grammatika hodisalarini yangicha izohlash imkonini beradi.</w:t>
      </w:r>
    </w:p>
    <w:p>
      <w:pPr>
        <w:keepNext/>
        <w:spacing w:after="100" w:before="240"/>
        <w:jc w:val="left"/>
      </w:pPr>
      <w:r>
        <w:rPr>
          <w:b/>
          <w:bCs/>
        </w:rPr>
        <w:t xml:space="preserve">Nazorat savollari:</w:t>
      </w:r>
    </w:p>
    <w:p>
      <w:pPr>
        <w:pStyle w:val="ListParagraph"/>
        <w:numPr>
          <w:ilvl w:val="0"/>
          <w:numId w:val="4"/>
        </w:numPr>
        <w:spacing w:after="40"/>
        <w:jc w:val="left"/>
      </w:pPr>
      <w:r>
        <w:t xml:space="preserve">Konseptual metaforaning mohiyatini va turlarini izohlang.</w:t>
      </w:r>
    </w:p>
    <w:p>
      <w:pPr>
        <w:pStyle w:val="ListParagraph"/>
        <w:numPr>
          <w:ilvl w:val="0"/>
          <w:numId w:val="4"/>
        </w:numPr>
        <w:spacing w:after="40"/>
        <w:jc w:val="left"/>
      </w:pPr>
      <w:r>
        <w:t xml:space="preserve">Konseptual metafora va metonimiya qanday farqlanadi?</w:t>
      </w:r>
    </w:p>
    <w:p>
      <w:pPr>
        <w:pStyle w:val="ListParagraph"/>
        <w:numPr>
          <w:ilvl w:val="0"/>
          <w:numId w:val="4"/>
        </w:numPr>
        <w:spacing w:after="40"/>
        <w:jc w:val="left"/>
      </w:pPr>
      <w:r>
        <w:t xml:space="preserve">Tasvir sxemalari nima? O‘zbek tilidan misollar keltiring.</w:t>
      </w:r>
    </w:p>
    <w:p>
      <w:pPr>
        <w:pStyle w:val="ListParagraph"/>
        <w:numPr>
          <w:ilvl w:val="0"/>
          <w:numId w:val="4"/>
        </w:numPr>
        <w:spacing w:after="40"/>
        <w:jc w:val="left"/>
      </w:pPr>
      <w:r>
        <w:t xml:space="preserve">Polisemiyani radial kategoriya sifatida tahlil qiling (o‘zbek tilidagi biror so‘z misolida).</w:t>
      </w:r>
    </w:p>
    <w:p>
      <w:pPr>
        <w:pStyle w:val="ListParagraph"/>
        <w:numPr>
          <w:ilvl w:val="0"/>
          <w:numId w:val="4"/>
        </w:numPr>
        <w:spacing w:after="40"/>
        <w:jc w:val="left"/>
      </w:pPr>
      <w:r>
        <w:t xml:space="preserve">Popova–Sterninning semantik-kognitiv tahlil bosqichlarini sanang va biror konsept misolida qo‘llang.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Лакофф Дж., Джонсон М. Метафоры, которыми мы живём. – М.: Едиториал УРСС, 2004.</w:t>
      </w:r>
    </w:p>
    <w:p>
      <w:pPr>
        <w:pStyle w:val="ListParagraph"/>
        <w:numPr>
          <w:ilvl w:val="0"/>
          <w:numId w:val="5"/>
        </w:numPr>
        <w:spacing w:after="40"/>
        <w:jc w:val="both"/>
      </w:pPr>
      <w:r>
        <w:t xml:space="preserve">Lakoff G., Johnson M. Metaphors We Live By. – Chicago: University of Chicago Press, 1980.</w:t>
      </w:r>
    </w:p>
    <w:p>
      <w:pPr>
        <w:pStyle w:val="ListParagraph"/>
        <w:numPr>
          <w:ilvl w:val="0"/>
          <w:numId w:val="5"/>
        </w:numPr>
        <w:spacing w:after="40"/>
        <w:jc w:val="both"/>
      </w:pPr>
      <w:r>
        <w:t xml:space="preserve">Johnson M. The Body in the Mind: The Bodily Basis of Meaning, Imagination, and Reason. – Chicago: University of Chicago Press, 1987.</w:t>
      </w:r>
    </w:p>
    <w:p>
      <w:pPr>
        <w:pStyle w:val="ListParagraph"/>
        <w:numPr>
          <w:ilvl w:val="0"/>
          <w:numId w:val="5"/>
        </w:numPr>
        <w:spacing w:after="40"/>
        <w:jc w:val="both"/>
      </w:pPr>
      <w:r>
        <w:t xml:space="preserve">Langacker R.W. Foundations of Cognitive Grammar. Vol. 1: Theoretical Prerequisites. – Stanford: Stanford University Press, 1987.</w:t>
      </w:r>
    </w:p>
    <w:p>
      <w:pPr>
        <w:pStyle w:val="ListParagraph"/>
        <w:numPr>
          <w:ilvl w:val="0"/>
          <w:numId w:val="5"/>
        </w:numPr>
        <w:spacing w:after="40"/>
        <w:jc w:val="both"/>
      </w:pPr>
      <w:r>
        <w:t xml:space="preserve">Goldberg A. Constructions: A Construction Grammar Approach to Argument Structure. – Chicago: University of Chicago Press, 1995.</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Evans V., Green M. Cognitive Linguistics: An Introduction. – Edinburgh: Edinburgh University Press, 2006.</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13-MA’RUZA. LISONIY HODISALARNING KOGNITIV TAHLILI</dc:title>
  <dc:creator>Un-named</dc:creator>
  <cp:lastModifiedBy>Un-named</cp:lastModifiedBy>
  <cp:revision>1</cp:revision>
  <dcterms:created xsi:type="dcterms:W3CDTF">2026-10-30T07:33:46.390Z</dcterms:created>
  <dcterms:modified xsi:type="dcterms:W3CDTF">2026-10-30T07:33:46.390Z</dcterms:modified>
</cp:coreProperties>
</file>

<file path=docProps/custom.xml><?xml version="1.0" encoding="utf-8"?>
<Properties xmlns="http://schemas.openxmlformats.org/officeDocument/2006/custom-properties" xmlns:vt="http://schemas.openxmlformats.org/officeDocument/2006/docPropsVTypes"/>
</file>