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15-MA’RUZA. KOGNITIV TILSHUNOSLIKNING TAYANCH ATAMA VA TUSHUNCHALARI IZOHI (2-qism): TAHLIL VOSITALARI VA QO‘SHNI SOHALAR ATAMALARI</w:t>
      </w:r>
    </w:p>
    <w:p>
      <w:pPr>
        <w:keepNext/>
        <w:spacing w:after="100" w:before="240"/>
        <w:jc w:val="center"/>
      </w:pPr>
      <w:r>
        <w:rPr>
          <w:b/>
          <w:bCs/>
        </w:rPr>
        <w:t xml:space="preserve">Reja:</w:t>
      </w:r>
    </w:p>
    <w:p>
      <w:pPr>
        <w:pStyle w:val="ListParagraph"/>
        <w:numPr>
          <w:ilvl w:val="0"/>
          <w:numId w:val="2"/>
        </w:numPr>
        <w:spacing w:after="40"/>
        <w:jc w:val="left"/>
      </w:pPr>
      <w:r>
        <w:t xml:space="preserve">Kognitiv semantika va kognitiv grammatika atamalari.</w:t>
      </w:r>
    </w:p>
    <w:p>
      <w:pPr>
        <w:pStyle w:val="ListParagraph"/>
        <w:numPr>
          <w:ilvl w:val="0"/>
          <w:numId w:val="2"/>
        </w:numPr>
        <w:spacing w:after="40"/>
        <w:jc w:val="left"/>
      </w:pPr>
      <w:r>
        <w:t xml:space="preserve">Metafora, metonimiya va konseptual integratsiya bilan bog‘liq atamalar.</w:t>
      </w:r>
    </w:p>
    <w:p>
      <w:pPr>
        <w:pStyle w:val="ListParagraph"/>
        <w:numPr>
          <w:ilvl w:val="0"/>
          <w:numId w:val="2"/>
        </w:numPr>
        <w:spacing w:after="40"/>
        <w:jc w:val="left"/>
      </w:pPr>
      <w:r>
        <w:t xml:space="preserve">Lingvokulturologiya va kommunikatsiya bilan bog‘liq atamalar.</w:t>
      </w:r>
    </w:p>
    <w:p>
      <w:pPr>
        <w:pStyle w:val="ListParagraph"/>
        <w:numPr>
          <w:ilvl w:val="0"/>
          <w:numId w:val="2"/>
        </w:numPr>
        <w:spacing w:after="40"/>
        <w:jc w:val="left"/>
      </w:pPr>
      <w:r>
        <w:t xml:space="preserve">Tahlil metodlari bilan bog‘liq atamalar.</w:t>
      </w:r>
    </w:p>
    <w:p>
      <w:pPr>
        <w:shd w:fill="EAF1F8" w:color="auto" w:val="clear"/>
        <w:spacing w:after="200" w:before="240"/>
        <w:jc w:val="both"/>
      </w:pPr>
      <w:r>
        <w:rPr>
          <w:b/>
          <w:bCs/>
        </w:rPr>
        <w:t xml:space="preserve">Tayanch tushunchalar: </w:t>
      </w:r>
      <w:r>
        <w:rPr>
          <w:i/>
          <w:iCs/>
        </w:rPr>
        <w:t xml:space="preserve">konstruallanish, profil, baza, trayektor, landmark, mental makon, konseptual integratsiya, diskurs, presuppozitsiya, implikatura, assotsiativ eksperiment, kognitiv belgi.</w:t>
      </w:r>
    </w:p>
    <w:p>
      <w:pPr>
        <w:pStyle w:val="Heading2"/>
      </w:pPr>
      <w:r>
        <w:t xml:space="preserve">1. Kognitiv semantika va kognitiv grammatika atamalari</w:t>
      </w:r>
    </w:p>
    <w:p>
      <w:pPr>
        <w:pStyle w:val="ListParagraph"/>
        <w:numPr>
          <w:ilvl w:val="0"/>
          <w:numId w:val="3"/>
        </w:numPr>
        <w:spacing w:after="40"/>
        <w:jc w:val="both"/>
      </w:pPr>
      <w:r>
        <w:rPr>
          <w:b/>
          <w:bCs/>
        </w:rPr>
        <w:t xml:space="preserve">Konstruallanish (construal)</w:t>
      </w:r>
      <w:r>
        <w:t xml:space="preserve"> – bir vaziyatni turli yo‘llar bilan konseptuallashtirish va tilda ifodalash qobiliyati (R. Lenekker).</w:t>
      </w:r>
    </w:p>
    <w:p>
      <w:pPr>
        <w:pStyle w:val="ListParagraph"/>
        <w:numPr>
          <w:ilvl w:val="0"/>
          <w:numId w:val="3"/>
        </w:numPr>
        <w:spacing w:after="40"/>
        <w:jc w:val="both"/>
      </w:pPr>
      <w:r>
        <w:rPr>
          <w:b/>
          <w:bCs/>
        </w:rPr>
        <w:t xml:space="preserve">Profil va baza</w:t>
      </w:r>
      <w:r>
        <w:t xml:space="preserve"> – til birligi ifodalaydigan va diqqat markaziga qo‘yilgan konsept qismi (profil) va u tushuniladigan fon (baza). Masalan, «gipotenuza» – profil, «to‘g‘ri burchakli uchburchak» – baza.</w:t>
      </w:r>
    </w:p>
    <w:p>
      <w:pPr>
        <w:pStyle w:val="ListParagraph"/>
        <w:numPr>
          <w:ilvl w:val="0"/>
          <w:numId w:val="3"/>
        </w:numPr>
        <w:spacing w:after="40"/>
        <w:jc w:val="both"/>
      </w:pPr>
      <w:r>
        <w:rPr>
          <w:b/>
          <w:bCs/>
        </w:rPr>
        <w:t xml:space="preserve">Trayektor va landmark</w:t>
      </w:r>
      <w:r>
        <w:t xml:space="preserve"> – munosabatda asosiy (harakatlanuvchi, aniqlanuvchi) ishtirokchi va mo‘ljal (orientir) ishtirokchi.</w:t>
      </w:r>
    </w:p>
    <w:p>
      <w:pPr>
        <w:pStyle w:val="ListParagraph"/>
        <w:numPr>
          <w:ilvl w:val="0"/>
          <w:numId w:val="3"/>
        </w:numPr>
        <w:spacing w:after="40"/>
        <w:jc w:val="both"/>
      </w:pPr>
      <w:r>
        <w:rPr>
          <w:b/>
          <w:bCs/>
        </w:rPr>
        <w:t xml:space="preserve">Figura va fon</w:t>
      </w:r>
      <w:r>
        <w:t xml:space="preserve"> – idrok va til tuzilishida ajratiladigan diqqat markazi va orqa plan (L. Talmi).</w:t>
      </w:r>
    </w:p>
    <w:p>
      <w:pPr>
        <w:pStyle w:val="ListParagraph"/>
        <w:numPr>
          <w:ilvl w:val="0"/>
          <w:numId w:val="3"/>
        </w:numPr>
        <w:spacing w:after="40"/>
        <w:jc w:val="both"/>
      </w:pPr>
      <w:r>
        <w:rPr>
          <w:b/>
          <w:bCs/>
        </w:rPr>
        <w:t xml:space="preserve">Ko‘rish nuqtasi (perspektiva)</w:t>
      </w:r>
      <w:r>
        <w:t xml:space="preserve"> – vaziyat qaysi nuqtai nazardan tasvirlanishi.</w:t>
      </w:r>
    </w:p>
    <w:p>
      <w:pPr>
        <w:pStyle w:val="ListParagraph"/>
        <w:numPr>
          <w:ilvl w:val="0"/>
          <w:numId w:val="3"/>
        </w:numPr>
        <w:spacing w:after="40"/>
        <w:jc w:val="both"/>
      </w:pPr>
      <w:r>
        <w:rPr>
          <w:b/>
          <w:bCs/>
        </w:rPr>
        <w:t xml:space="preserve">Ikoniklik</w:t>
      </w:r>
      <w:r>
        <w:t xml:space="preserve"> – til shakli va mazmuni o‘rtasidagi o‘xshashlik, motivlanganlik.</w:t>
      </w:r>
    </w:p>
    <w:p>
      <w:pPr>
        <w:pStyle w:val="ListParagraph"/>
        <w:numPr>
          <w:ilvl w:val="0"/>
          <w:numId w:val="3"/>
        </w:numPr>
        <w:spacing w:after="40"/>
        <w:jc w:val="both"/>
      </w:pPr>
      <w:r>
        <w:rPr>
          <w:b/>
          <w:bCs/>
        </w:rPr>
        <w:t xml:space="preserve">Konstruksiya</w:t>
      </w:r>
      <w:r>
        <w:t xml:space="preserve"> – shakl va ma’noning an’anaviy birligi (konstruksion grammatika, A. Goldberg).</w:t>
      </w:r>
    </w:p>
    <w:p>
      <w:pPr>
        <w:pStyle w:val="ListParagraph"/>
        <w:numPr>
          <w:ilvl w:val="0"/>
          <w:numId w:val="3"/>
        </w:numPr>
        <w:spacing w:after="40"/>
        <w:jc w:val="both"/>
      </w:pPr>
      <w:r>
        <w:rPr>
          <w:b/>
          <w:bCs/>
        </w:rPr>
        <w:t xml:space="preserve">Radial kategoriya</w:t>
      </w:r>
      <w:r>
        <w:t xml:space="preserve"> – markaziy a’zo va undan turli yo‘llar bilan hosil bo‘lgan a’zolardan iborat kategoriya (J. Lakoff).</w:t>
      </w:r>
    </w:p>
    <w:p>
      <w:pPr>
        <w:pStyle w:val="ListParagraph"/>
        <w:numPr>
          <w:ilvl w:val="0"/>
          <w:numId w:val="3"/>
        </w:numPr>
        <w:spacing w:after="40"/>
        <w:jc w:val="both"/>
      </w:pPr>
      <w:r>
        <w:rPr>
          <w:b/>
          <w:bCs/>
        </w:rPr>
        <w:t xml:space="preserve">Qo‘llanishga asoslangan model (usage-based model)</w:t>
      </w:r>
      <w:r>
        <w:t xml:space="preserve"> – til tizimi uni qo‘llash tajribasi asosida shakllanadi, degan qarash.</w:t>
      </w:r>
    </w:p>
    <w:p>
      <w:pPr>
        <w:pStyle w:val="Heading2"/>
      </w:pPr>
      <w:r>
        <w:t xml:space="preserve">2. Metafora, metonimiya va konseptual integratsiya bilan bog‘liq atamalar</w:t>
      </w:r>
    </w:p>
    <w:p>
      <w:pPr>
        <w:pStyle w:val="ListParagraph"/>
        <w:numPr>
          <w:ilvl w:val="0"/>
          <w:numId w:val="3"/>
        </w:numPr>
        <w:spacing w:after="40"/>
        <w:jc w:val="both"/>
      </w:pPr>
      <w:r>
        <w:rPr>
          <w:b/>
          <w:bCs/>
        </w:rPr>
        <w:t xml:space="preserve">Konseptual metafora</w:t>
      </w:r>
      <w:r>
        <w:t xml:space="preserve"> – bir konseptual soha orqali boshqasini tushunish (BAHS – URUSH).</w:t>
      </w:r>
    </w:p>
    <w:p>
      <w:pPr>
        <w:pStyle w:val="ListParagraph"/>
        <w:numPr>
          <w:ilvl w:val="0"/>
          <w:numId w:val="3"/>
        </w:numPr>
        <w:spacing w:after="40"/>
        <w:jc w:val="both"/>
      </w:pPr>
      <w:r>
        <w:rPr>
          <w:b/>
          <w:bCs/>
        </w:rPr>
        <w:t xml:space="preserve">Manba soha (source domain)</w:t>
      </w:r>
      <w:r>
        <w:t xml:space="preserve"> – metaforada asos bo‘luvchi, odatda konkret soha.</w:t>
      </w:r>
    </w:p>
    <w:p>
      <w:pPr>
        <w:pStyle w:val="ListParagraph"/>
        <w:numPr>
          <w:ilvl w:val="0"/>
          <w:numId w:val="3"/>
        </w:numPr>
        <w:spacing w:after="40"/>
        <w:jc w:val="both"/>
      </w:pPr>
      <w:r>
        <w:rPr>
          <w:b/>
          <w:bCs/>
        </w:rPr>
        <w:t xml:space="preserve">Maqsad soha (target domain)</w:t>
      </w:r>
      <w:r>
        <w:t xml:space="preserve"> – metafora orqali tushuniladigan, odatda mavhum soha.</w:t>
      </w:r>
    </w:p>
    <w:p>
      <w:pPr>
        <w:pStyle w:val="ListParagraph"/>
        <w:numPr>
          <w:ilvl w:val="0"/>
          <w:numId w:val="3"/>
        </w:numPr>
        <w:spacing w:after="40"/>
        <w:jc w:val="both"/>
      </w:pPr>
      <w:r>
        <w:rPr>
          <w:b/>
          <w:bCs/>
        </w:rPr>
        <w:t xml:space="preserve">Proyeksiya (mapping)</w:t>
      </w:r>
      <w:r>
        <w:t xml:space="preserve"> – manba va maqsad sohalari elementlari o‘rtasidagi muvofiqlik.</w:t>
      </w:r>
    </w:p>
    <w:p>
      <w:pPr>
        <w:pStyle w:val="ListParagraph"/>
        <w:numPr>
          <w:ilvl w:val="0"/>
          <w:numId w:val="3"/>
        </w:numPr>
        <w:spacing w:after="40"/>
        <w:jc w:val="both"/>
      </w:pPr>
      <w:r>
        <w:rPr>
          <w:b/>
          <w:bCs/>
        </w:rPr>
        <w:t xml:space="preserve">Konseptual metonimiya</w:t>
      </w:r>
      <w:r>
        <w:t xml:space="preserve"> – bir soha ichida bir elementning boshqasini ifodalashi.</w:t>
      </w:r>
    </w:p>
    <w:p>
      <w:pPr>
        <w:pStyle w:val="ListParagraph"/>
        <w:numPr>
          <w:ilvl w:val="0"/>
          <w:numId w:val="3"/>
        </w:numPr>
        <w:spacing w:after="40"/>
        <w:jc w:val="both"/>
      </w:pPr>
      <w:r>
        <w:rPr>
          <w:b/>
          <w:bCs/>
        </w:rPr>
        <w:t xml:space="preserve">Tasvir sxemasi (image schema)</w:t>
      </w:r>
      <w:r>
        <w:t xml:space="preserve"> – tana tajribasi asosida shakllangan sodda, takrorlanuvchi sxema (IDISH, YO‘L, YUQORI–PAST).</w:t>
      </w:r>
    </w:p>
    <w:p>
      <w:pPr>
        <w:pStyle w:val="ListParagraph"/>
        <w:numPr>
          <w:ilvl w:val="0"/>
          <w:numId w:val="3"/>
        </w:numPr>
        <w:spacing w:after="40"/>
        <w:jc w:val="both"/>
      </w:pPr>
      <w:r>
        <w:rPr>
          <w:b/>
          <w:bCs/>
        </w:rPr>
        <w:t xml:space="preserve">Mental makonlar (mental spaces)</w:t>
      </w:r>
      <w:r>
        <w:t xml:space="preserve"> – nutq jarayonida tushunish va harakat qilish uchun hosil qilinadigan kichik konseptual «paketlar» (J. Fokonye, 1985).</w:t>
      </w:r>
    </w:p>
    <w:p>
      <w:pPr>
        <w:pStyle w:val="ListParagraph"/>
        <w:numPr>
          <w:ilvl w:val="0"/>
          <w:numId w:val="3"/>
        </w:numPr>
        <w:spacing w:after="40"/>
        <w:jc w:val="both"/>
      </w:pPr>
      <w:r>
        <w:rPr>
          <w:b/>
          <w:bCs/>
        </w:rPr>
        <w:t xml:space="preserve">Konseptual integratsiya (blending)</w:t>
      </w:r>
      <w:r>
        <w:t xml:space="preserve"> – ikki yoki undan ortiq mental makonni birlashtirib, yangi ma’noli «aralash makon» hosil qilish (J. Fokonye, M. Terner, «Biz qanday fikrlaymiz», 2002). Masalan, «Bu jarroh – qassob» gapida jarrohlik va qassoblik makonlari birlashib, «jarrohning nomaqbulligi» degan yangi ma’no paydo bo‘ladi.</w:t>
      </w:r>
    </w:p>
    <w:p>
      <w:pPr>
        <w:pStyle w:val="Heading2"/>
      </w:pPr>
      <w:r>
        <w:t xml:space="preserve">3. Lingvokulturologiya va kommunikatsiya bilan bog‘liq atamalar</w:t>
      </w:r>
    </w:p>
    <w:p>
      <w:pPr>
        <w:pStyle w:val="ListParagraph"/>
        <w:numPr>
          <w:ilvl w:val="0"/>
          <w:numId w:val="3"/>
        </w:numPr>
        <w:spacing w:after="40"/>
        <w:jc w:val="both"/>
      </w:pPr>
      <w:r>
        <w:rPr>
          <w:b/>
          <w:bCs/>
        </w:rPr>
        <w:t xml:space="preserve">Lingvokulturologiya</w:t>
      </w:r>
      <w:r>
        <w:t xml:space="preserve"> – til va madaniyat munosabatini o‘rganuvchi fan.</w:t>
      </w:r>
    </w:p>
    <w:p>
      <w:pPr>
        <w:pStyle w:val="ListParagraph"/>
        <w:numPr>
          <w:ilvl w:val="0"/>
          <w:numId w:val="3"/>
        </w:numPr>
        <w:spacing w:after="40"/>
        <w:jc w:val="both"/>
      </w:pPr>
      <w:r>
        <w:rPr>
          <w:b/>
          <w:bCs/>
        </w:rPr>
        <w:t xml:space="preserve">Lingvokulturema</w:t>
      </w:r>
      <w:r>
        <w:t xml:space="preserve"> – lisoniy va madaniy mazmun birligini ifodalovchi kompleks birlik (V.V. Vorob’yov).</w:t>
      </w:r>
    </w:p>
    <w:p>
      <w:pPr>
        <w:pStyle w:val="ListParagraph"/>
        <w:numPr>
          <w:ilvl w:val="0"/>
          <w:numId w:val="3"/>
        </w:numPr>
        <w:spacing w:after="40"/>
        <w:jc w:val="both"/>
      </w:pPr>
      <w:r>
        <w:rPr>
          <w:b/>
          <w:bCs/>
        </w:rPr>
        <w:t xml:space="preserve">Madaniy konnotatsiya</w:t>
      </w:r>
      <w:r>
        <w:t xml:space="preserve"> – til birligining madaniyat etalonlari, simvollari, stereotiplari nuqtai nazaridan talqini (V.N. Teliya).</w:t>
      </w:r>
    </w:p>
    <w:p>
      <w:pPr>
        <w:pStyle w:val="ListParagraph"/>
        <w:numPr>
          <w:ilvl w:val="0"/>
          <w:numId w:val="3"/>
        </w:numPr>
        <w:spacing w:after="40"/>
        <w:jc w:val="both"/>
      </w:pPr>
      <w:r>
        <w:rPr>
          <w:b/>
          <w:bCs/>
        </w:rPr>
        <w:t xml:space="preserve">Madaniyat etaloni</w:t>
      </w:r>
      <w:r>
        <w:t xml:space="preserve"> – xalq ongida muayyan sifatning o‘lchovi bo‘lgan narsa («tulkiday ayyor», «qo‘yday yuvosh»).</w:t>
      </w:r>
    </w:p>
    <w:p>
      <w:pPr>
        <w:pStyle w:val="ListParagraph"/>
        <w:numPr>
          <w:ilvl w:val="0"/>
          <w:numId w:val="3"/>
        </w:numPr>
        <w:spacing w:after="40"/>
        <w:jc w:val="both"/>
      </w:pPr>
      <w:r>
        <w:rPr>
          <w:b/>
          <w:bCs/>
        </w:rPr>
        <w:t xml:space="preserve">Stereotip</w:t>
      </w:r>
      <w:r>
        <w:t xml:space="preserve"> – ongda qat’iy o‘rnashgan, soddalashtirilgan tasavvur.</w:t>
      </w:r>
    </w:p>
    <w:p>
      <w:pPr>
        <w:pStyle w:val="ListParagraph"/>
        <w:numPr>
          <w:ilvl w:val="0"/>
          <w:numId w:val="3"/>
        </w:numPr>
        <w:spacing w:after="40"/>
        <w:jc w:val="both"/>
      </w:pPr>
      <w:r>
        <w:rPr>
          <w:b/>
          <w:bCs/>
        </w:rPr>
        <w:t xml:space="preserve">Presedent fenomen</w:t>
      </w:r>
      <w:r>
        <w:t xml:space="preserve"> – til jamoasi uchun yaxshi tanish, tez-tez murojaat qilinadigan matn, ism, ibora yoki vaziyat.</w:t>
      </w:r>
    </w:p>
    <w:p>
      <w:pPr>
        <w:pStyle w:val="ListParagraph"/>
        <w:numPr>
          <w:ilvl w:val="0"/>
          <w:numId w:val="3"/>
        </w:numPr>
        <w:spacing w:after="40"/>
        <w:jc w:val="both"/>
      </w:pPr>
      <w:r>
        <w:rPr>
          <w:b/>
          <w:bCs/>
        </w:rPr>
        <w:t xml:space="preserve">Lakuna</w:t>
      </w:r>
      <w:r>
        <w:t xml:space="preserve"> – bir tilda nomlangan tushunchaning boshqa tilda nomlanmay qolishi.</w:t>
      </w:r>
    </w:p>
    <w:p>
      <w:pPr>
        <w:pStyle w:val="ListParagraph"/>
        <w:numPr>
          <w:ilvl w:val="0"/>
          <w:numId w:val="3"/>
        </w:numPr>
        <w:spacing w:after="40"/>
        <w:jc w:val="both"/>
      </w:pPr>
      <w:r>
        <w:rPr>
          <w:b/>
          <w:bCs/>
        </w:rPr>
        <w:t xml:space="preserve">Ekvivalentsiz leksika</w:t>
      </w:r>
      <w:r>
        <w:t xml:space="preserve"> – boshqa tilda muqobili bo‘lmagan so‘zlar.</w:t>
      </w:r>
    </w:p>
    <w:p>
      <w:pPr>
        <w:pStyle w:val="ListParagraph"/>
        <w:numPr>
          <w:ilvl w:val="0"/>
          <w:numId w:val="3"/>
        </w:numPr>
        <w:spacing w:after="40"/>
        <w:jc w:val="both"/>
      </w:pPr>
      <w:r>
        <w:rPr>
          <w:b/>
          <w:bCs/>
        </w:rPr>
        <w:t xml:space="preserve">Diskurs</w:t>
      </w:r>
      <w:r>
        <w:t xml:space="preserve"> – kontekstga, kommunikativ vaziyatga va ekstralingvistik omillarga bog‘liq holda olingan matn; «hayotga cho‘mgan nutq» (N.D. Arutyunova).</w:t>
      </w:r>
    </w:p>
    <w:p>
      <w:pPr>
        <w:pStyle w:val="ListParagraph"/>
        <w:numPr>
          <w:ilvl w:val="0"/>
          <w:numId w:val="3"/>
        </w:numPr>
        <w:spacing w:after="40"/>
        <w:jc w:val="both"/>
      </w:pPr>
      <w:r>
        <w:rPr>
          <w:b/>
          <w:bCs/>
        </w:rPr>
        <w:t xml:space="preserve">Presuppozitsiya</w:t>
      </w:r>
      <w:r>
        <w:t xml:space="preserve"> – gapning ma’nosini to‘g‘ri tushunish uchun zarur bo‘lgan, so‘zlovchi va tinglovchiga ma’lum deb hisoblanadigan bilim («Akmal chekishni tashladi» – presuppozitsiya: «Akmal avval chekkan»).</w:t>
      </w:r>
    </w:p>
    <w:p>
      <w:pPr>
        <w:pStyle w:val="ListParagraph"/>
        <w:numPr>
          <w:ilvl w:val="0"/>
          <w:numId w:val="3"/>
        </w:numPr>
        <w:spacing w:after="40"/>
        <w:jc w:val="both"/>
      </w:pPr>
      <w:r>
        <w:rPr>
          <w:b/>
          <w:bCs/>
        </w:rPr>
        <w:t xml:space="preserve">Implikatura</w:t>
      </w:r>
      <w:r>
        <w:t xml:space="preserve"> – gapda bevosita aytilmagan, lekin kontekstdan anglashiladigan ma’no (P. Grays).</w:t>
      </w:r>
    </w:p>
    <w:p>
      <w:pPr>
        <w:pStyle w:val="Heading2"/>
      </w:pPr>
      <w:r>
        <w:t xml:space="preserve">4. Tahlil metodlari bilan bog‘liq atamalar</w:t>
      </w:r>
    </w:p>
    <w:p>
      <w:pPr>
        <w:pStyle w:val="ListParagraph"/>
        <w:numPr>
          <w:ilvl w:val="0"/>
          <w:numId w:val="3"/>
        </w:numPr>
        <w:spacing w:after="40"/>
        <w:jc w:val="both"/>
      </w:pPr>
      <w:r>
        <w:rPr>
          <w:b/>
          <w:bCs/>
        </w:rPr>
        <w:t xml:space="preserve">Konseptual tahlil</w:t>
      </w:r>
      <w:r>
        <w:t xml:space="preserve"> – konsept tarkibi va tuzilishini til birliklari asosida aniqlash metodi.</w:t>
      </w:r>
    </w:p>
    <w:p>
      <w:pPr>
        <w:pStyle w:val="ListParagraph"/>
        <w:numPr>
          <w:ilvl w:val="0"/>
          <w:numId w:val="3"/>
        </w:numPr>
        <w:spacing w:after="40"/>
        <w:jc w:val="both"/>
      </w:pPr>
      <w:r>
        <w:rPr>
          <w:b/>
          <w:bCs/>
        </w:rPr>
        <w:t xml:space="preserve">Semantik-kognitiv tahlil</w:t>
      </w:r>
      <w:r>
        <w:t xml:space="preserve"> – til birliklari semantikasi orqali konseptning kognitiv belgilarini aniqlash (Z.D. Popova, I.A. Sternin).</w:t>
      </w:r>
    </w:p>
    <w:p>
      <w:pPr>
        <w:pStyle w:val="ListParagraph"/>
        <w:numPr>
          <w:ilvl w:val="0"/>
          <w:numId w:val="3"/>
        </w:numPr>
        <w:spacing w:after="40"/>
        <w:jc w:val="both"/>
      </w:pPr>
      <w:r>
        <w:rPr>
          <w:b/>
          <w:bCs/>
        </w:rPr>
        <w:t xml:space="preserve">Freym tahlili</w:t>
      </w:r>
      <w:r>
        <w:t xml:space="preserve"> – bilimni slot va terminallar tuzilmasi sifatida tavsiflash.</w:t>
      </w:r>
    </w:p>
    <w:p>
      <w:pPr>
        <w:pStyle w:val="ListParagraph"/>
        <w:numPr>
          <w:ilvl w:val="0"/>
          <w:numId w:val="3"/>
        </w:numPr>
        <w:spacing w:after="40"/>
        <w:jc w:val="both"/>
      </w:pPr>
      <w:r>
        <w:rPr>
          <w:b/>
          <w:bCs/>
        </w:rPr>
        <w:t xml:space="preserve">Assotsiativ eksperiment</w:t>
      </w:r>
      <w:r>
        <w:t xml:space="preserve"> – respondentlarga so‘z-stimul berib, ularning reaksiyalarini to‘plash va tahlil qilish metodi. Erkin, yo‘naltirilgan va zanjirli turlari mavjud.</w:t>
      </w:r>
    </w:p>
    <w:p>
      <w:pPr>
        <w:pStyle w:val="ListParagraph"/>
        <w:numPr>
          <w:ilvl w:val="0"/>
          <w:numId w:val="3"/>
        </w:numPr>
        <w:spacing w:after="40"/>
        <w:jc w:val="both"/>
      </w:pPr>
      <w:r>
        <w:rPr>
          <w:b/>
          <w:bCs/>
        </w:rPr>
        <w:t xml:space="preserve">Kognitiv belgi</w:t>
      </w:r>
      <w:r>
        <w:t xml:space="preserve"> – konseptning mazmunini tashkil qiluvchi alohida belgi.</w:t>
      </w:r>
    </w:p>
    <w:p>
      <w:pPr>
        <w:pStyle w:val="ListParagraph"/>
        <w:numPr>
          <w:ilvl w:val="0"/>
          <w:numId w:val="3"/>
        </w:numPr>
        <w:spacing w:after="40"/>
        <w:jc w:val="both"/>
      </w:pPr>
      <w:r>
        <w:rPr>
          <w:b/>
          <w:bCs/>
        </w:rPr>
        <w:t xml:space="preserve">Yadro va periferiya</w:t>
      </w:r>
      <w:r>
        <w:t xml:space="preserve"> – konseptning eng aniq, barchaga ma’lum belgilari (yadro) va kamroq aniq, individual belgilari (periferiya).</w:t>
      </w:r>
    </w:p>
    <w:p>
      <w:pPr>
        <w:pStyle w:val="ListParagraph"/>
        <w:numPr>
          <w:ilvl w:val="0"/>
          <w:numId w:val="3"/>
        </w:numPr>
        <w:spacing w:after="40"/>
        <w:jc w:val="both"/>
      </w:pPr>
      <w:r>
        <w:rPr>
          <w:b/>
          <w:bCs/>
        </w:rPr>
        <w:t xml:space="preserve">Etimologik tahlil</w:t>
      </w:r>
      <w:r>
        <w:t xml:space="preserve"> – konseptning ichki shaklini aniqlash metodi.</w:t>
      </w:r>
    </w:p>
    <w:p>
      <w:pPr>
        <w:pStyle w:val="ListParagraph"/>
        <w:numPr>
          <w:ilvl w:val="0"/>
          <w:numId w:val="3"/>
        </w:numPr>
        <w:spacing w:after="40"/>
        <w:jc w:val="both"/>
      </w:pPr>
      <w:r>
        <w:rPr>
          <w:b/>
          <w:bCs/>
        </w:rPr>
        <w:t xml:space="preserve">Korpus tahlili</w:t>
      </w:r>
      <w:r>
        <w:t xml:space="preserve"> – katta elektron matn bazalarida til birliklarining qo‘llanishini o‘rganish metodi. O‘zbek tilida «O‘zbek tili milliy korpusi» loyihasi rivojlanmoqda.</w:t>
      </w:r>
    </w:p>
    <w:p>
      <w:pPr>
        <w:pStyle w:val="Heading2"/>
      </w:pPr>
      <w:r>
        <w:t xml:space="preserve">Xulosa</w:t>
      </w:r>
    </w:p>
    <w:p>
      <w:pPr>
        <w:spacing w:after="80"/>
        <w:ind w:firstLine="709"/>
        <w:jc w:val="both"/>
      </w:pPr>
      <w:r>
        <w:t xml:space="preserve">Kognitiv semantika, kognitiv grammatika, lingvokulturologiya va tahlil metodlariga oid atamalar kognitiv tilshunoslikning amaliy tadqiqot apparatini tashkil etadi. Ularni o‘zlashtirish talabalarga o‘zbek tili materiallarini zamonaviy kognitiv yondashuv asosida tahlil qilish imkonini beradi.</w:t>
      </w:r>
    </w:p>
    <w:p>
      <w:pPr>
        <w:keepNext/>
        <w:spacing w:after="100" w:before="240"/>
        <w:jc w:val="left"/>
      </w:pPr>
      <w:r>
        <w:rPr>
          <w:b/>
          <w:bCs/>
        </w:rPr>
        <w:t xml:space="preserve">Nazorat savollari:</w:t>
      </w:r>
    </w:p>
    <w:p>
      <w:pPr>
        <w:pStyle w:val="ListParagraph"/>
        <w:numPr>
          <w:ilvl w:val="0"/>
          <w:numId w:val="4"/>
        </w:numPr>
        <w:spacing w:after="40"/>
        <w:jc w:val="left"/>
      </w:pPr>
      <w:r>
        <w:t xml:space="preserve">Profil va baza, trayektor va landmark tushunchalarini misollar bilan izohlang.</w:t>
      </w:r>
    </w:p>
    <w:p>
      <w:pPr>
        <w:pStyle w:val="ListParagraph"/>
        <w:numPr>
          <w:ilvl w:val="0"/>
          <w:numId w:val="4"/>
        </w:numPr>
        <w:spacing w:after="40"/>
        <w:jc w:val="left"/>
      </w:pPr>
      <w:r>
        <w:t xml:space="preserve">Mental makonlar va konseptual integratsiya nazariyasining mohiyati nimada?</w:t>
      </w:r>
    </w:p>
    <w:p>
      <w:pPr>
        <w:pStyle w:val="ListParagraph"/>
        <w:numPr>
          <w:ilvl w:val="0"/>
          <w:numId w:val="4"/>
        </w:numPr>
        <w:spacing w:after="40"/>
        <w:jc w:val="left"/>
      </w:pPr>
      <w:r>
        <w:t xml:space="preserve">Presuppozitsiya va implikaturani farqlang.</w:t>
      </w:r>
    </w:p>
    <w:p>
      <w:pPr>
        <w:pStyle w:val="ListParagraph"/>
        <w:numPr>
          <w:ilvl w:val="0"/>
          <w:numId w:val="4"/>
        </w:numPr>
        <w:spacing w:after="40"/>
        <w:jc w:val="left"/>
      </w:pPr>
      <w:r>
        <w:t xml:space="preserve">Lingvokulturologiyaga oid asosiy atamalarni sanab, ularni izohlang.</w:t>
      </w:r>
    </w:p>
    <w:p>
      <w:pPr>
        <w:pStyle w:val="ListParagraph"/>
        <w:numPr>
          <w:ilvl w:val="0"/>
          <w:numId w:val="4"/>
        </w:numPr>
        <w:spacing w:after="40"/>
        <w:jc w:val="left"/>
      </w:pPr>
      <w:r>
        <w:t xml:space="preserve">Kognitiv tilshunoslikda qo‘llanadigan tahlil metodlarini tavsiflang.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Xudoyberganova D. Lingvokulturologiya terminlarining qisqacha izohli lug‘ati. – Toshkent: Turon zamin ziyo, 2015.</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Fauconnier G., Turner M. The Way We Think: Conceptual Blending and the Mind’s Hidden Complexities. – New York: Basic Books, 2002.</w:t>
      </w:r>
    </w:p>
    <w:p>
      <w:pPr>
        <w:pStyle w:val="ListParagraph"/>
        <w:numPr>
          <w:ilvl w:val="0"/>
          <w:numId w:val="5"/>
        </w:numPr>
        <w:spacing w:after="40"/>
        <w:jc w:val="both"/>
      </w:pPr>
      <w:r>
        <w:t xml:space="preserve">Langacker R.W. Foundations of Cognitive Grammar. Vol. 1: Theoretical Prerequisites. – Stanford: Stanford University Press, 1987.</w:t>
      </w:r>
    </w:p>
    <w:p>
      <w:pPr>
        <w:pStyle w:val="ListParagraph"/>
        <w:numPr>
          <w:ilvl w:val="0"/>
          <w:numId w:val="5"/>
        </w:numPr>
        <w:spacing w:after="40"/>
        <w:jc w:val="both"/>
      </w:pPr>
      <w:r>
        <w:t xml:space="preserve">Talmy L. Toward a Cognitive Semantics. Vol. 1–2. – Cambridge, MA: MIT Press, 2000.</w:t>
      </w:r>
    </w:p>
    <w:p>
      <w:pPr>
        <w:pStyle w:val="ListParagraph"/>
        <w:numPr>
          <w:ilvl w:val="0"/>
          <w:numId w:val="5"/>
        </w:numPr>
        <w:spacing w:after="40"/>
        <w:jc w:val="both"/>
      </w:pPr>
      <w:r>
        <w:t xml:space="preserve">Воробьёв В.В. Лингвокультурология (теория и методы). – М.: Изд-во РУДН, 1997.</w:t>
      </w:r>
    </w:p>
    <w:p>
      <w:pPr>
        <w:pStyle w:val="ListParagraph"/>
        <w:numPr>
          <w:ilvl w:val="0"/>
          <w:numId w:val="5"/>
        </w:numPr>
        <w:spacing w:after="40"/>
        <w:jc w:val="both"/>
      </w:pPr>
      <w:r>
        <w:t xml:space="preserve">Телия В.Н. Русская фразеология: Семантический, прагматический и лингвокультурологический аспекты. – М.: Языки русской культуры, 1996.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15-MA’RUZA. KOGNITIV TILSHUNOSLIKNING TAYANCH ATAMA VA TUSHUNCHALARI IZOHI (2-qism): TAHLIL VOSITALARI VA QO‘SHNI SOHALAR ATAMALARI</dc:title>
  <dc:creator>Un-named</dc:creator>
  <cp:lastModifiedBy>Un-named</cp:lastModifiedBy>
  <cp:revision>1</cp:revision>
  <dcterms:created xsi:type="dcterms:W3CDTF">2026-10-30T07:33:46.413Z</dcterms:created>
  <dcterms:modified xsi:type="dcterms:W3CDTF">2026-10-30T07:33:46.413Z</dcterms:modified>
</cp:coreProperties>
</file>

<file path=docProps/custom.xml><?xml version="1.0" encoding="utf-8"?>
<Properties xmlns="http://schemas.openxmlformats.org/officeDocument/2006/custom-properties" xmlns:vt="http://schemas.openxmlformats.org/officeDocument/2006/docPropsVTypes"/>
</file>