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5-MA'RUZA</w:t>
      </w:r>
    </w:p>
    <w:p>
      <w:pPr>
        <w:spacing w:after="120" w:line="360"/>
        <w:jc w:val="center"/>
      </w:pPr>
      <w:r>
        <w:rPr>
          <w:rFonts w:ascii="Times New Roman" w:cs="Times New Roman" w:eastAsia="Times New Roman" w:hAnsi="Times New Roman"/>
          <w:b/>
          <w:bCs/>
          <w:sz w:val="28"/>
          <w:szCs w:val="28"/>
        </w:rPr>
        <w:t xml:space="preserve">KOMMUNIKATSIYA ETNOGRAFIYASI VA INTERAKSION SOTSIOLINGVISTIKA. D. HYMES: SPEAKING MODELI VA KOMMUNIKATIV KOMPETENSIYA. J. GUMPERZ: KONTEKSTLASHTIRISH BELGILARI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Kommunikatsiya etnografiyasining paydo bo'lishi</w:t>
      </w:r>
    </w:p>
    <w:p>
      <w:pPr>
        <w:pStyle w:val="ListParagraph"/>
        <w:numPr>
          <w:ilvl w:val="0"/>
          <w:numId w:val="2"/>
        </w:numPr>
        <w:spacing w:line="360"/>
        <w:jc w:val="both"/>
      </w:pPr>
      <w:r>
        <w:rPr>
          <w:rFonts w:ascii="Times New Roman" w:cs="Times New Roman" w:eastAsia="Times New Roman" w:hAnsi="Times New Roman"/>
          <w:sz w:val="28"/>
          <w:szCs w:val="28"/>
        </w:rPr>
        <w:t xml:space="preserve">D. Hymes: kommunikativ kompetensiya tushunchasi</w:t>
      </w:r>
    </w:p>
    <w:p>
      <w:pPr>
        <w:pStyle w:val="ListParagraph"/>
        <w:numPr>
          <w:ilvl w:val="0"/>
          <w:numId w:val="2"/>
        </w:numPr>
        <w:spacing w:line="360"/>
        <w:jc w:val="both"/>
      </w:pPr>
      <w:r>
        <w:rPr>
          <w:rFonts w:ascii="Times New Roman" w:cs="Times New Roman" w:eastAsia="Times New Roman" w:hAnsi="Times New Roman"/>
          <w:sz w:val="28"/>
          <w:szCs w:val="28"/>
        </w:rPr>
        <w:t xml:space="preserve">Nutqiy muloqotning tahlil birliklari</w:t>
      </w:r>
    </w:p>
    <w:p>
      <w:pPr>
        <w:pStyle w:val="ListParagraph"/>
        <w:numPr>
          <w:ilvl w:val="0"/>
          <w:numId w:val="2"/>
        </w:numPr>
        <w:spacing w:line="360"/>
        <w:jc w:val="both"/>
      </w:pPr>
      <w:r>
        <w:rPr>
          <w:rFonts w:ascii="Times New Roman" w:cs="Times New Roman" w:eastAsia="Times New Roman" w:hAnsi="Times New Roman"/>
          <w:sz w:val="28"/>
          <w:szCs w:val="28"/>
        </w:rPr>
        <w:t xml:space="preserve">SPEAKING modeli</w:t>
      </w:r>
    </w:p>
    <w:p>
      <w:pPr>
        <w:pStyle w:val="ListParagraph"/>
        <w:numPr>
          <w:ilvl w:val="0"/>
          <w:numId w:val="2"/>
        </w:numPr>
        <w:spacing w:line="360"/>
        <w:jc w:val="both"/>
      </w:pPr>
      <w:r>
        <w:rPr>
          <w:rFonts w:ascii="Times New Roman" w:cs="Times New Roman" w:eastAsia="Times New Roman" w:hAnsi="Times New Roman"/>
          <w:sz w:val="28"/>
          <w:szCs w:val="28"/>
        </w:rPr>
        <w:t xml:space="preserve">J. Gumperz va interaksion sotsiolingvistika</w:t>
      </w:r>
    </w:p>
    <w:p>
      <w:pPr>
        <w:pStyle w:val="ListParagraph"/>
        <w:numPr>
          <w:ilvl w:val="0"/>
          <w:numId w:val="2"/>
        </w:numPr>
        <w:spacing w:line="360"/>
        <w:jc w:val="both"/>
      </w:pPr>
      <w:r>
        <w:rPr>
          <w:rFonts w:ascii="Times New Roman" w:cs="Times New Roman" w:eastAsia="Times New Roman" w:hAnsi="Times New Roman"/>
          <w:sz w:val="28"/>
          <w:szCs w:val="28"/>
        </w:rPr>
        <w:t xml:space="preserve">Kontekstlashtirish belgilari va madaniyatlararo tushunmovchilik</w:t>
      </w:r>
    </w:p>
    <w:p>
      <w:pPr>
        <w:pStyle w:val="ListParagraph"/>
        <w:numPr>
          <w:ilvl w:val="0"/>
          <w:numId w:val="2"/>
        </w:numPr>
        <w:spacing w:line="360"/>
        <w:jc w:val="both"/>
      </w:pPr>
      <w:r>
        <w:rPr>
          <w:rFonts w:ascii="Times New Roman" w:cs="Times New Roman" w:eastAsia="Times New Roman" w:hAnsi="Times New Roman"/>
          <w:sz w:val="28"/>
          <w:szCs w:val="28"/>
        </w:rPr>
        <w:t xml:space="preserve">Nazariyalarni o'zbek nutq madaniyati materialida qo'llash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kommunikatsiya etnografiyasi, kommunikativ kompetensiya, nutq jamoasi, nutqiy vaziyat, nutqiy hodisa, nutqiy akt, SPEAKING modeli, interaksion sotsiolingvistika, kontekstlashtirish belgilari, xulosa chiqarish, vaziyatli va metaforik kod almashinuvi.</w:t>
      </w:r>
    </w:p>
    <w:p>
      <w:pPr>
        <w:keepNext/>
        <w:spacing w:after="120" w:before="240" w:line="360"/>
        <w:jc w:val="center"/>
      </w:pPr>
      <w:r>
        <w:rPr>
          <w:rFonts w:ascii="Times New Roman" w:cs="Times New Roman" w:eastAsia="Times New Roman" w:hAnsi="Times New Roman"/>
          <w:b/>
          <w:bCs/>
          <w:sz w:val="28"/>
          <w:szCs w:val="28"/>
        </w:rPr>
        <w:t xml:space="preserve">1. Kommunikatsiya etnografiyasining paydo bo'lishi</w:t>
      </w:r>
    </w:p>
    <w:p>
      <w:pPr>
        <w:spacing w:line="360"/>
        <w:ind w:firstLine="709"/>
        <w:jc w:val="both"/>
      </w:pPr>
      <w:r>
        <w:rPr>
          <w:rFonts w:ascii="Times New Roman" w:cs="Times New Roman" w:eastAsia="Times New Roman" w:hAnsi="Times New Roman"/>
          <w:sz w:val="28"/>
          <w:szCs w:val="28"/>
        </w:rPr>
        <w:t xml:space="preserve">Kommunikatsiya etnografiyasi tilni muayyan madaniyat va jamiyat ichida, uning a'zolari qanday muloqot qilishi nuqtai nazaridan o'rganuvchi yo'nalishdir. U antropologiya va tilshunoslik kesishmasida vujudga kelgan. Uning ildizlari F. Boas va E. Sepir asos solgan amerikan antropologik tilshunosligiga borib taqaladi.</w:t>
      </w:r>
    </w:p>
    <w:p>
      <w:pPr>
        <w:spacing w:line="360"/>
        <w:ind w:firstLine="709"/>
        <w:jc w:val="both"/>
      </w:pPr>
      <w:r>
        <w:rPr>
          <w:rFonts w:ascii="Times New Roman" w:cs="Times New Roman" w:eastAsia="Times New Roman" w:hAnsi="Times New Roman"/>
          <w:sz w:val="28"/>
          <w:szCs w:val="28"/>
        </w:rPr>
        <w:t xml:space="preserve">Yo'nalishning asoschisi amerikalik tilshunos va antropolog Dell Hymes (1927–2009) hisoblanadi. U 1962-yilda "Nutq etnografiyasi" (The Ethnography of Speaking) maqolasini e'lon qilib, tilshunoslikda yangi tadqiqot dasturini taklif qildi. Hymes fikricha, tilshunoslar grammatikani batafsil tavsiflagan, antropologlar esa madaniyatni o'rgangan, lekin ularning oralig'idagi soha, ya'ni odamlarning muayyan madaniyatda qanday gapirishi, deyarli o'rganilmagan edi.</w:t>
      </w:r>
    </w:p>
    <w:p>
      <w:pPr>
        <w:spacing w:line="360"/>
        <w:ind w:firstLine="709"/>
        <w:jc w:val="both"/>
      </w:pPr>
      <w:r>
        <w:rPr>
          <w:rFonts w:ascii="Times New Roman" w:cs="Times New Roman" w:eastAsia="Times New Roman" w:hAnsi="Times New Roman"/>
          <w:sz w:val="28"/>
          <w:szCs w:val="28"/>
        </w:rPr>
        <w:t xml:space="preserve">1964-yilda J. Gumperz va D. Hymes muharrirligida "American Anthropologist" jurnalining "Kommunikatsiya etnografiyasi" (The Ethnography of Communication) nomli maxsus soni chiqdi. 1972-yilda esa ular "Sotsiolingvistika yo'nalishlari: kommunikatsiya etnografiyasi" (Directions in Sociolinguistics) to'plamini nashr ettirdi. Bu nashrlar yangi yo'nalishning dasturiy hujjatlariga aylandi.</w:t>
      </w:r>
    </w:p>
    <w:p>
      <w:pPr>
        <w:spacing w:line="360"/>
        <w:ind w:firstLine="709"/>
        <w:jc w:val="both"/>
      </w:pPr>
      <w:r>
        <w:rPr>
          <w:rFonts w:ascii="Times New Roman" w:cs="Times New Roman" w:eastAsia="Times New Roman" w:hAnsi="Times New Roman"/>
          <w:sz w:val="28"/>
          <w:szCs w:val="28"/>
        </w:rPr>
        <w:t xml:space="preserve">Kommunikatsiya etnografiyasining asosiy usuli </w:t>
      </w:r>
      <w:r>
        <w:rPr>
          <w:rFonts w:ascii="Times New Roman" w:cs="Times New Roman" w:eastAsia="Times New Roman" w:hAnsi="Times New Roman"/>
          <w:b/>
          <w:bCs/>
          <w:sz w:val="28"/>
          <w:szCs w:val="28"/>
        </w:rPr>
        <w:t xml:space="preserve">ishtirokchi kuzatuv</w:t>
      </w:r>
      <w:r>
        <w:rPr>
          <w:rFonts w:ascii="Times New Roman" w:cs="Times New Roman" w:eastAsia="Times New Roman" w:hAnsi="Times New Roman"/>
          <w:sz w:val="28"/>
          <w:szCs w:val="28"/>
        </w:rPr>
        <w:t xml:space="preserve">dir: tadqiqotchi o'rganilayotgan jamoa hayotida uzoq vaqt ishtirok etadi, muloqotni tabiiy sharoitda kuzatadi va qayd etadi. Bunda tadqiqotchi jamoa a'zolarining o'z nuqtai nazarini, ya'ni ular o'z nutqiy xulqini qanday tushunishi va baholashini aniqlashga intiladi.</w:t>
      </w:r>
    </w:p>
    <w:p>
      <w:pPr>
        <w:keepNext/>
        <w:spacing w:after="120" w:before="240" w:line="360"/>
        <w:jc w:val="center"/>
      </w:pPr>
      <w:r>
        <w:rPr>
          <w:rFonts w:ascii="Times New Roman" w:cs="Times New Roman" w:eastAsia="Times New Roman" w:hAnsi="Times New Roman"/>
          <w:b/>
          <w:bCs/>
          <w:sz w:val="28"/>
          <w:szCs w:val="28"/>
        </w:rPr>
        <w:t xml:space="preserve">2. D. Hymes: kommunikativ kompetensiya tushunchasi</w:t>
      </w:r>
    </w:p>
    <w:p>
      <w:pPr>
        <w:spacing w:line="360"/>
        <w:ind w:firstLine="709"/>
        <w:jc w:val="both"/>
      </w:pPr>
      <w:r>
        <w:rPr>
          <w:rFonts w:ascii="Times New Roman" w:cs="Times New Roman" w:eastAsia="Times New Roman" w:hAnsi="Times New Roman"/>
          <w:sz w:val="28"/>
          <w:szCs w:val="28"/>
        </w:rPr>
        <w:t xml:space="preserve">Hymes nazariyasining markaziy tushunchasi </w:t>
      </w:r>
      <w:r>
        <w:rPr>
          <w:rFonts w:ascii="Times New Roman" w:cs="Times New Roman" w:eastAsia="Times New Roman" w:hAnsi="Times New Roman"/>
          <w:b/>
          <w:bCs/>
          <w:sz w:val="28"/>
          <w:szCs w:val="28"/>
        </w:rPr>
        <w:t xml:space="preserve">kommunikativ kompetensiya</w:t>
      </w:r>
      <w:r>
        <w:rPr>
          <w:rFonts w:ascii="Times New Roman" w:cs="Times New Roman" w:eastAsia="Times New Roman" w:hAnsi="Times New Roman"/>
          <w:sz w:val="28"/>
          <w:szCs w:val="28"/>
        </w:rPr>
        <w:t xml:space="preserve">dir. Bu tushuncha N. Xomskiyning lingvistik kompetensiya haqidagi qarashlariga javob sifatida paydo bo'lgan. Xomskiy uchun kompetensiya "ideal so'zlovchi-tinglovchi"ning grammatik jihatdan to'g'ri gaplarni tuzish va tushunish qobiliyatidir. Hymes esa bu tushunchani juda tor deb hisobladi.</w:t>
      </w:r>
    </w:p>
    <w:p>
      <w:pPr>
        <w:spacing w:line="360"/>
        <w:ind w:firstLine="709"/>
        <w:jc w:val="both"/>
      </w:pPr>
      <w:r>
        <w:rPr>
          <w:rFonts w:ascii="Times New Roman" w:cs="Times New Roman" w:eastAsia="Times New Roman" w:hAnsi="Times New Roman"/>
          <w:sz w:val="28"/>
          <w:szCs w:val="28"/>
        </w:rPr>
        <w:t xml:space="preserve">Hymes o'zining "Kommunikativ kompetensiya haqida" (On Communicative Competence, 1972) maqolasida ta'kidlaganidek, bola faqat grammatik jihatdan to'g'ri gaplarni emas, balki ularni qachon, kimga, qayerda va qanday aytish kerakligini ham o'rganadi. Uning mashhur fikriga ko'ra, qo'llanish qoidalarisiz grammatika qoidalari foydasiz bo'lar edi.</w:t>
      </w:r>
    </w:p>
    <w:p>
      <w:pPr>
        <w:spacing w:line="360"/>
        <w:ind w:firstLine="709"/>
        <w:jc w:val="both"/>
      </w:pPr>
      <w:r>
        <w:rPr>
          <w:rFonts w:ascii="Times New Roman" w:cs="Times New Roman" w:eastAsia="Times New Roman" w:hAnsi="Times New Roman"/>
          <w:sz w:val="28"/>
          <w:szCs w:val="28"/>
        </w:rPr>
        <w:t xml:space="preserve">Hymes kommunikativ kompetensiyaning to'rt jihatini ajratgan. So'zlovchi biror nutqiy ifoda haqida quyidagilarni biladi:</w:t>
      </w:r>
    </w:p>
    <w:p>
      <w:pPr>
        <w:pStyle w:val="ListParagraph"/>
        <w:numPr>
          <w:ilvl w:val="0"/>
          <w:numId w:val="3"/>
        </w:numPr>
        <w:spacing w:line="360"/>
        <w:jc w:val="both"/>
      </w:pPr>
      <w:r>
        <w:rPr>
          <w:rFonts w:ascii="Times New Roman" w:cs="Times New Roman" w:eastAsia="Times New Roman" w:hAnsi="Times New Roman"/>
          <w:sz w:val="28"/>
          <w:szCs w:val="28"/>
        </w:rPr>
        <w:t xml:space="preserve">u grammatik jihatdan </w:t>
      </w:r>
      <w:r>
        <w:rPr>
          <w:rFonts w:ascii="Times New Roman" w:cs="Times New Roman" w:eastAsia="Times New Roman" w:hAnsi="Times New Roman"/>
          <w:b/>
          <w:bCs/>
          <w:sz w:val="28"/>
          <w:szCs w:val="28"/>
        </w:rPr>
        <w:t xml:space="preserve">mumkinmi</w:t>
      </w:r>
      <w:r>
        <w:rPr>
          <w:rFonts w:ascii="Times New Roman" w:cs="Times New Roman" w:eastAsia="Times New Roman" w:hAnsi="Times New Roman"/>
          <w:sz w:val="28"/>
          <w:szCs w:val="28"/>
        </w:rPr>
        <w:t xml:space="preserve"> (formal imkoniyat);</w:t>
      </w:r>
    </w:p>
    <w:p>
      <w:pPr>
        <w:pStyle w:val="ListParagraph"/>
        <w:numPr>
          <w:ilvl w:val="0"/>
          <w:numId w:val="3"/>
        </w:numPr>
        <w:spacing w:line="360"/>
        <w:jc w:val="both"/>
      </w:pPr>
      <w:r>
        <w:rPr>
          <w:rFonts w:ascii="Times New Roman" w:cs="Times New Roman" w:eastAsia="Times New Roman" w:hAnsi="Times New Roman"/>
          <w:sz w:val="28"/>
          <w:szCs w:val="28"/>
        </w:rPr>
        <w:t xml:space="preserve">uni aytish va tushunish </w:t>
      </w:r>
      <w:r>
        <w:rPr>
          <w:rFonts w:ascii="Times New Roman" w:cs="Times New Roman" w:eastAsia="Times New Roman" w:hAnsi="Times New Roman"/>
          <w:b/>
          <w:bCs/>
          <w:sz w:val="28"/>
          <w:szCs w:val="28"/>
        </w:rPr>
        <w:t xml:space="preserve">amalga oshirish mumkinmi</w:t>
      </w:r>
      <w:r>
        <w:rPr>
          <w:rFonts w:ascii="Times New Roman" w:cs="Times New Roman" w:eastAsia="Times New Roman" w:hAnsi="Times New Roman"/>
          <w:sz w:val="28"/>
          <w:szCs w:val="28"/>
        </w:rPr>
        <w:t xml:space="preserve"> (psixologik imkoniyat);</w:t>
      </w:r>
    </w:p>
    <w:p>
      <w:pPr>
        <w:pStyle w:val="ListParagraph"/>
        <w:numPr>
          <w:ilvl w:val="0"/>
          <w:numId w:val="3"/>
        </w:numPr>
        <w:spacing w:line="360"/>
        <w:jc w:val="both"/>
      </w:pPr>
      <w:r>
        <w:rPr>
          <w:rFonts w:ascii="Times New Roman" w:cs="Times New Roman" w:eastAsia="Times New Roman" w:hAnsi="Times New Roman"/>
          <w:sz w:val="28"/>
          <w:szCs w:val="28"/>
        </w:rPr>
        <w:t xml:space="preserve">u muayyan vaziyatga </w:t>
      </w:r>
      <w:r>
        <w:rPr>
          <w:rFonts w:ascii="Times New Roman" w:cs="Times New Roman" w:eastAsia="Times New Roman" w:hAnsi="Times New Roman"/>
          <w:b/>
          <w:bCs/>
          <w:sz w:val="28"/>
          <w:szCs w:val="28"/>
        </w:rPr>
        <w:t xml:space="preserve">mosmi</w:t>
      </w:r>
      <w:r>
        <w:rPr>
          <w:rFonts w:ascii="Times New Roman" w:cs="Times New Roman" w:eastAsia="Times New Roman" w:hAnsi="Times New Roman"/>
          <w:sz w:val="28"/>
          <w:szCs w:val="28"/>
        </w:rPr>
        <w:t xml:space="preserve"> (maqbullik);</w:t>
      </w:r>
    </w:p>
    <w:p>
      <w:pPr>
        <w:pStyle w:val="ListParagraph"/>
        <w:numPr>
          <w:ilvl w:val="0"/>
          <w:numId w:val="3"/>
        </w:numPr>
        <w:spacing w:line="360"/>
        <w:jc w:val="both"/>
      </w:pPr>
      <w:r>
        <w:rPr>
          <w:rFonts w:ascii="Times New Roman" w:cs="Times New Roman" w:eastAsia="Times New Roman" w:hAnsi="Times New Roman"/>
          <w:sz w:val="28"/>
          <w:szCs w:val="28"/>
        </w:rPr>
        <w:t xml:space="preserve">u haqiqatda </w:t>
      </w:r>
      <w:r>
        <w:rPr>
          <w:rFonts w:ascii="Times New Roman" w:cs="Times New Roman" w:eastAsia="Times New Roman" w:hAnsi="Times New Roman"/>
          <w:b/>
          <w:bCs/>
          <w:sz w:val="28"/>
          <w:szCs w:val="28"/>
        </w:rPr>
        <w:t xml:space="preserve">qo'llanadimi</w:t>
      </w:r>
      <w:r>
        <w:rPr>
          <w:rFonts w:ascii="Times New Roman" w:cs="Times New Roman" w:eastAsia="Times New Roman" w:hAnsi="Times New Roman"/>
          <w:sz w:val="28"/>
          <w:szCs w:val="28"/>
        </w:rPr>
        <w:t xml:space="preserve"> va qanchalik tez-tez (real qo'llanish).</w:t>
      </w:r>
    </w:p>
    <w:p>
      <w:pPr>
        <w:spacing w:line="360"/>
        <w:ind w:firstLine="709"/>
        <w:jc w:val="both"/>
      </w:pPr>
      <w:r>
        <w:rPr>
          <w:rFonts w:ascii="Times New Roman" w:cs="Times New Roman" w:eastAsia="Times New Roman" w:hAnsi="Times New Roman"/>
          <w:sz w:val="28"/>
          <w:szCs w:val="28"/>
        </w:rPr>
        <w:t xml:space="preserve">Masalan, "Hurmatli janob, menga non uzatib yuborishingizni so'rasam bo'ladimi?" gapi grammatik jihatdan to'g'ri, ammo oila davrasida dasturxon atrofida aytilsa, g'alati yoki kinoyali eshitiladi. Buni bilish kommunikativ kompetensiyaning bir qismidir. Kommunikativ kompetensiya tushunchasi keyinchalik chet tillarni o'qitishda "kommunikativ yondashuv"ning nazariy asosiga aylandi.</w:t>
      </w:r>
    </w:p>
    <w:p>
      <w:pPr>
        <w:keepNext/>
        <w:spacing w:after="120" w:before="240" w:line="360"/>
        <w:jc w:val="center"/>
      </w:pPr>
      <w:r>
        <w:rPr>
          <w:rFonts w:ascii="Times New Roman" w:cs="Times New Roman" w:eastAsia="Times New Roman" w:hAnsi="Times New Roman"/>
          <w:b/>
          <w:bCs/>
          <w:sz w:val="28"/>
          <w:szCs w:val="28"/>
        </w:rPr>
        <w:t xml:space="preserve">3. Nutqiy muloqotning tahlil birliklari</w:t>
      </w:r>
    </w:p>
    <w:p>
      <w:pPr>
        <w:spacing w:line="360"/>
        <w:ind w:firstLine="709"/>
        <w:jc w:val="both"/>
      </w:pPr>
      <w:r>
        <w:rPr>
          <w:rFonts w:ascii="Times New Roman" w:cs="Times New Roman" w:eastAsia="Times New Roman" w:hAnsi="Times New Roman"/>
          <w:sz w:val="28"/>
          <w:szCs w:val="28"/>
        </w:rPr>
        <w:t xml:space="preserve">Hymes muloqotni tahlil qilish uchun bir-birining ichiga joylashgan birliklar tizimini taklif qilgan.</w:t>
      </w:r>
    </w:p>
    <w:p>
      <w:pPr>
        <w:spacing w:line="360"/>
        <w:ind w:firstLine="709"/>
        <w:jc w:val="both"/>
      </w:pPr>
      <w:r>
        <w:rPr>
          <w:rFonts w:ascii="Times New Roman" w:cs="Times New Roman" w:eastAsia="Times New Roman" w:hAnsi="Times New Roman"/>
          <w:b/>
          <w:bCs/>
          <w:sz w:val="28"/>
          <w:szCs w:val="28"/>
        </w:rPr>
        <w:t xml:space="preserve">Nutq jamoasi</w:t>
      </w:r>
      <w:r>
        <w:rPr>
          <w:rFonts w:ascii="Times New Roman" w:cs="Times New Roman" w:eastAsia="Times New Roman" w:hAnsi="Times New Roman"/>
          <w:sz w:val="28"/>
          <w:szCs w:val="28"/>
        </w:rPr>
        <w:t xml:space="preserve"> (speech community) umumiy til va, eng muhimi, nutqdan foydalanishning umumiy qoidalariga ega bo'lgan guruhdir. Hymes uchun bir tilda gaplashish nutq jamoasi uchun yetarli emas: uning a'zolari nutqni qanday qo'llash va talqin qilish me'yorlarini ham bo'lishishi kerak.</w:t>
      </w:r>
    </w:p>
    <w:p>
      <w:pPr>
        <w:spacing w:line="360"/>
        <w:ind w:firstLine="709"/>
        <w:jc w:val="both"/>
      </w:pPr>
      <w:r>
        <w:rPr>
          <w:rFonts w:ascii="Times New Roman" w:cs="Times New Roman" w:eastAsia="Times New Roman" w:hAnsi="Times New Roman"/>
          <w:b/>
          <w:bCs/>
          <w:sz w:val="28"/>
          <w:szCs w:val="28"/>
        </w:rPr>
        <w:t xml:space="preserve">Nutqiy vaziyat</w:t>
      </w:r>
      <w:r>
        <w:rPr>
          <w:rFonts w:ascii="Times New Roman" w:cs="Times New Roman" w:eastAsia="Times New Roman" w:hAnsi="Times New Roman"/>
          <w:sz w:val="28"/>
          <w:szCs w:val="28"/>
        </w:rPr>
        <w:t xml:space="preserve"> (speech situation) muloqot sodir bo'ladigan ijtimoiy vaziyatdir: marosim, ziyofat, dars, ov, savdo. Vaziyatning o'zi faqat nutqdan iborat emas.</w:t>
      </w:r>
    </w:p>
    <w:p>
      <w:pPr>
        <w:spacing w:line="360"/>
        <w:ind w:firstLine="709"/>
        <w:jc w:val="both"/>
      </w:pPr>
      <w:r>
        <w:rPr>
          <w:rFonts w:ascii="Times New Roman" w:cs="Times New Roman" w:eastAsia="Times New Roman" w:hAnsi="Times New Roman"/>
          <w:b/>
          <w:bCs/>
          <w:sz w:val="28"/>
          <w:szCs w:val="28"/>
        </w:rPr>
        <w:t xml:space="preserve">Nutqiy hodisa</w:t>
      </w:r>
      <w:r>
        <w:rPr>
          <w:rFonts w:ascii="Times New Roman" w:cs="Times New Roman" w:eastAsia="Times New Roman" w:hAnsi="Times New Roman"/>
          <w:sz w:val="28"/>
          <w:szCs w:val="28"/>
        </w:rPr>
        <w:t xml:space="preserve"> (speech event) nutq qo'llanishi qoidalari bilan bevosita boshqariladigan faoliyatdir: suhbat, ma'ruza, intervyu, tabrik nutqi.</w:t>
      </w:r>
    </w:p>
    <w:p>
      <w:pPr>
        <w:spacing w:line="360"/>
        <w:ind w:firstLine="709"/>
        <w:jc w:val="both"/>
      </w:pPr>
      <w:r>
        <w:rPr>
          <w:rFonts w:ascii="Times New Roman" w:cs="Times New Roman" w:eastAsia="Times New Roman" w:hAnsi="Times New Roman"/>
          <w:b/>
          <w:bCs/>
          <w:sz w:val="28"/>
          <w:szCs w:val="28"/>
        </w:rPr>
        <w:t xml:space="preserve">Nutqiy akt</w:t>
      </w:r>
      <w:r>
        <w:rPr>
          <w:rFonts w:ascii="Times New Roman" w:cs="Times New Roman" w:eastAsia="Times New Roman" w:hAnsi="Times New Roman"/>
          <w:sz w:val="28"/>
          <w:szCs w:val="28"/>
        </w:rPr>
        <w:t xml:space="preserve"> (speech act) eng kichik birlik: iltimos, buyruq, salomlashish, hazil, maqtov.</w:t>
      </w:r>
    </w:p>
    <w:p>
      <w:pPr>
        <w:spacing w:line="360"/>
        <w:ind w:firstLine="709"/>
        <w:jc w:val="both"/>
      </w:pPr>
      <w:r>
        <w:rPr>
          <w:rFonts w:ascii="Times New Roman" w:cs="Times New Roman" w:eastAsia="Times New Roman" w:hAnsi="Times New Roman"/>
          <w:sz w:val="28"/>
          <w:szCs w:val="28"/>
        </w:rPr>
        <w:t xml:space="preserve">Hymes bu birliklarni quyidagi misol bilan izohlagan: ziyofat nutqiy vaziyat, undagi suhbat nutqiy hodisa, suhbat davomida aytilgan hazil esa nutqiy akt. O'zbek madaniyatidan misol keltirsak: to'y nutqiy vaziyat, undagi tabrik so'zi nutqiy hodisa, tabrik tarkibidagi duo esa nutqiy aktdir.</w:t>
      </w:r>
    </w:p>
    <w:p>
      <w:pPr>
        <w:keepNext/>
        <w:spacing w:after="120" w:before="240" w:line="360"/>
        <w:jc w:val="center"/>
      </w:pPr>
      <w:r>
        <w:rPr>
          <w:rFonts w:ascii="Times New Roman" w:cs="Times New Roman" w:eastAsia="Times New Roman" w:hAnsi="Times New Roman"/>
          <w:b/>
          <w:bCs/>
          <w:sz w:val="28"/>
          <w:szCs w:val="28"/>
        </w:rPr>
        <w:t xml:space="preserve">4. SPEAKING modeli</w:t>
      </w:r>
    </w:p>
    <w:p>
      <w:pPr>
        <w:spacing w:line="360"/>
        <w:ind w:firstLine="709"/>
        <w:jc w:val="both"/>
      </w:pPr>
      <w:r>
        <w:rPr>
          <w:rFonts w:ascii="Times New Roman" w:cs="Times New Roman" w:eastAsia="Times New Roman" w:hAnsi="Times New Roman"/>
          <w:sz w:val="28"/>
          <w:szCs w:val="28"/>
        </w:rPr>
        <w:t xml:space="preserve">Nutqiy hodisani tizimli tavsiflash uchun Hymes sakkiz tarkibiy qismdan iborat modelni taklif qilgan. Ularni eslab qolish oson bo'lishi uchun Hymes ingliz tilidagi bosh harflaridan </w:t>
      </w:r>
      <w:r>
        <w:rPr>
          <w:rFonts w:ascii="Times New Roman" w:cs="Times New Roman" w:eastAsia="Times New Roman" w:hAnsi="Times New Roman"/>
          <w:b/>
          <w:bCs/>
          <w:sz w:val="28"/>
          <w:szCs w:val="28"/>
        </w:rPr>
        <w:t xml:space="preserve">SPEAKING</w:t>
      </w:r>
      <w:r>
        <w:rPr>
          <w:rFonts w:ascii="Times New Roman" w:cs="Times New Roman" w:eastAsia="Times New Roman" w:hAnsi="Times New Roman"/>
          <w:sz w:val="28"/>
          <w:szCs w:val="28"/>
        </w:rPr>
        <w:t xml:space="preserve"> so'zini tuzgan.</w:t>
      </w:r>
    </w:p>
    <w:p>
      <w:pPr>
        <w:spacing w:line="360"/>
        <w:ind w:firstLine="709"/>
        <w:jc w:val="both"/>
      </w:pPr>
      <w:r>
        <w:rPr>
          <w:rFonts w:ascii="Times New Roman" w:cs="Times New Roman" w:eastAsia="Times New Roman" w:hAnsi="Times New Roman"/>
          <w:b/>
          <w:bCs/>
          <w:sz w:val="28"/>
          <w:szCs w:val="28"/>
        </w:rPr>
        <w:t xml:space="preserve">S: Setting and Scene (joy, vaqt va sahna).</w:t>
      </w:r>
      <w:r>
        <w:rPr>
          <w:rFonts w:ascii="Times New Roman" w:cs="Times New Roman" w:eastAsia="Times New Roman" w:hAnsi="Times New Roman"/>
          <w:sz w:val="28"/>
          <w:szCs w:val="28"/>
        </w:rPr>
        <w:t xml:space="preserve"> Nutqiy hodisaning jismoniy sharoiti, ya'ni joyi va vaqti, hamda uning psixologik yoki madaniy muhiti. Masalan, bir xil xona kunduzi auditoriya, kechqurun esa bayram zali bo'lishi mumkin.</w:t>
      </w:r>
    </w:p>
    <w:p>
      <w:pPr>
        <w:spacing w:line="360"/>
        <w:ind w:firstLine="709"/>
        <w:jc w:val="both"/>
      </w:pPr>
      <w:r>
        <w:rPr>
          <w:rFonts w:ascii="Times New Roman" w:cs="Times New Roman" w:eastAsia="Times New Roman" w:hAnsi="Times New Roman"/>
          <w:b/>
          <w:bCs/>
          <w:sz w:val="28"/>
          <w:szCs w:val="28"/>
        </w:rPr>
        <w:t xml:space="preserve">P: Participants (ishtirokchilar).</w:t>
      </w:r>
      <w:r>
        <w:rPr>
          <w:rFonts w:ascii="Times New Roman" w:cs="Times New Roman" w:eastAsia="Times New Roman" w:hAnsi="Times New Roman"/>
          <w:sz w:val="28"/>
          <w:szCs w:val="28"/>
        </w:rPr>
        <w:t xml:space="preserve"> So'zlovchi va tinglovchi, murojaat qiluvchi va murojaat qilinuvchi, auditoriya. Ularning yoshi, jinsi, ijtimoiy mavqei va o'zaro munosabati.</w:t>
      </w:r>
    </w:p>
    <w:p>
      <w:pPr>
        <w:spacing w:line="360"/>
        <w:ind w:firstLine="709"/>
        <w:jc w:val="both"/>
      </w:pPr>
      <w:r>
        <w:rPr>
          <w:rFonts w:ascii="Times New Roman" w:cs="Times New Roman" w:eastAsia="Times New Roman" w:hAnsi="Times New Roman"/>
          <w:b/>
          <w:bCs/>
          <w:sz w:val="28"/>
          <w:szCs w:val="28"/>
        </w:rPr>
        <w:t xml:space="preserve">E: Ends (maqsad va natija).</w:t>
      </w:r>
      <w:r>
        <w:rPr>
          <w:rFonts w:ascii="Times New Roman" w:cs="Times New Roman" w:eastAsia="Times New Roman" w:hAnsi="Times New Roman"/>
          <w:sz w:val="28"/>
          <w:szCs w:val="28"/>
        </w:rPr>
        <w:t xml:space="preserve"> Ishtirokchilar ko'zlagan maqsadlar va hodisaning madaniy jihatdan kutilgan natijasi. Masalan, sovchilik suhbatining maqsadi rozilik olishdir.</w:t>
      </w:r>
    </w:p>
    <w:p>
      <w:pPr>
        <w:spacing w:line="360"/>
        <w:ind w:firstLine="709"/>
        <w:jc w:val="both"/>
      </w:pPr>
      <w:r>
        <w:rPr>
          <w:rFonts w:ascii="Times New Roman" w:cs="Times New Roman" w:eastAsia="Times New Roman" w:hAnsi="Times New Roman"/>
          <w:b/>
          <w:bCs/>
          <w:sz w:val="28"/>
          <w:szCs w:val="28"/>
        </w:rPr>
        <w:t xml:space="preserve">A: Act sequence (aktlar ketma-ketligi).</w:t>
      </w:r>
      <w:r>
        <w:rPr>
          <w:rFonts w:ascii="Times New Roman" w:cs="Times New Roman" w:eastAsia="Times New Roman" w:hAnsi="Times New Roman"/>
          <w:sz w:val="28"/>
          <w:szCs w:val="28"/>
        </w:rPr>
        <w:t xml:space="preserve"> Nimalar aytiladi va qanday tartibda: xabarning shakli va mazmuni.</w:t>
      </w:r>
    </w:p>
    <w:p>
      <w:pPr>
        <w:spacing w:line="360"/>
        <w:ind w:firstLine="709"/>
        <w:jc w:val="both"/>
      </w:pPr>
      <w:r>
        <w:rPr>
          <w:rFonts w:ascii="Times New Roman" w:cs="Times New Roman" w:eastAsia="Times New Roman" w:hAnsi="Times New Roman"/>
          <w:b/>
          <w:bCs/>
          <w:sz w:val="28"/>
          <w:szCs w:val="28"/>
        </w:rPr>
        <w:t xml:space="preserve">K: Key (ohang).</w:t>
      </w:r>
      <w:r>
        <w:rPr>
          <w:rFonts w:ascii="Times New Roman" w:cs="Times New Roman" w:eastAsia="Times New Roman" w:hAnsi="Times New Roman"/>
          <w:sz w:val="28"/>
          <w:szCs w:val="28"/>
        </w:rPr>
        <w:t xml:space="preserve"> Nutqning ruhi va uslubi: jiddiy, hazil, kinoyali, tantanali.</w:t>
      </w:r>
    </w:p>
    <w:p>
      <w:pPr>
        <w:spacing w:line="360"/>
        <w:ind w:firstLine="709"/>
        <w:jc w:val="both"/>
      </w:pPr>
      <w:r>
        <w:rPr>
          <w:rFonts w:ascii="Times New Roman" w:cs="Times New Roman" w:eastAsia="Times New Roman" w:hAnsi="Times New Roman"/>
          <w:b/>
          <w:bCs/>
          <w:sz w:val="28"/>
          <w:szCs w:val="28"/>
        </w:rPr>
        <w:t xml:space="preserve">I: Instrumentalities (vositalar).</w:t>
      </w:r>
      <w:r>
        <w:rPr>
          <w:rFonts w:ascii="Times New Roman" w:cs="Times New Roman" w:eastAsia="Times New Roman" w:hAnsi="Times New Roman"/>
          <w:sz w:val="28"/>
          <w:szCs w:val="28"/>
        </w:rPr>
        <w:t xml:space="preserve"> Muloqot kanali (og'zaki, yozma, telefon, internet) va qo'llanadigan til, sheva yoki uslub.</w:t>
      </w:r>
    </w:p>
    <w:p>
      <w:pPr>
        <w:spacing w:line="360"/>
        <w:ind w:firstLine="709"/>
        <w:jc w:val="both"/>
      </w:pPr>
      <w:r>
        <w:rPr>
          <w:rFonts w:ascii="Times New Roman" w:cs="Times New Roman" w:eastAsia="Times New Roman" w:hAnsi="Times New Roman"/>
          <w:b/>
          <w:bCs/>
          <w:sz w:val="28"/>
          <w:szCs w:val="28"/>
        </w:rPr>
        <w:t xml:space="preserve">N: Norms (me'yorlar).</w:t>
      </w:r>
      <w:r>
        <w:rPr>
          <w:rFonts w:ascii="Times New Roman" w:cs="Times New Roman" w:eastAsia="Times New Roman" w:hAnsi="Times New Roman"/>
          <w:sz w:val="28"/>
          <w:szCs w:val="28"/>
        </w:rPr>
        <w:t xml:space="preserve"> Muloqot me'yorlari (kim gapini bo'lishi mumkin, qancha sukut qilish maqbul) va talqin me'yorlari (aytilganni qanday tushunish kerak).</w:t>
      </w:r>
    </w:p>
    <w:p>
      <w:pPr>
        <w:spacing w:line="360"/>
        <w:ind w:firstLine="709"/>
        <w:jc w:val="both"/>
      </w:pPr>
      <w:r>
        <w:rPr>
          <w:rFonts w:ascii="Times New Roman" w:cs="Times New Roman" w:eastAsia="Times New Roman" w:hAnsi="Times New Roman"/>
          <w:b/>
          <w:bCs/>
          <w:sz w:val="28"/>
          <w:szCs w:val="28"/>
        </w:rPr>
        <w:t xml:space="preserve">G: Genre (janr).</w:t>
      </w:r>
      <w:r>
        <w:rPr>
          <w:rFonts w:ascii="Times New Roman" w:cs="Times New Roman" w:eastAsia="Times New Roman" w:hAnsi="Times New Roman"/>
          <w:sz w:val="28"/>
          <w:szCs w:val="28"/>
        </w:rPr>
        <w:t xml:space="preserve"> Nutqiy hodisaning turi: she'r, maqol, duo, ma'ruza, latifa, xat.</w:t>
      </w:r>
    </w:p>
    <w:p>
      <w:pPr>
        <w:spacing w:line="360"/>
        <w:ind w:firstLine="709"/>
        <w:jc w:val="both"/>
      </w:pPr>
      <w:r>
        <w:rPr>
          <w:rFonts w:ascii="Times New Roman" w:cs="Times New Roman" w:eastAsia="Times New Roman" w:hAnsi="Times New Roman"/>
          <w:sz w:val="28"/>
          <w:szCs w:val="28"/>
        </w:rPr>
        <w:t xml:space="preserve">SPEAKING modeli tayyor nazariya emas, balki tadqiqotchi uchun </w:t>
      </w:r>
      <w:r>
        <w:rPr>
          <w:rFonts w:ascii="Times New Roman" w:cs="Times New Roman" w:eastAsia="Times New Roman" w:hAnsi="Times New Roman"/>
          <w:b/>
          <w:bCs/>
          <w:sz w:val="28"/>
          <w:szCs w:val="28"/>
        </w:rPr>
        <w:t xml:space="preserve">tekshiruv ro'yxati</w:t>
      </w:r>
      <w:r>
        <w:rPr>
          <w:rFonts w:ascii="Times New Roman" w:cs="Times New Roman" w:eastAsia="Times New Roman" w:hAnsi="Times New Roman"/>
          <w:sz w:val="28"/>
          <w:szCs w:val="28"/>
        </w:rPr>
        <w:t xml:space="preserve"> vazifasini bajaradi: u nutqiy hodisaning biror muhim jihatini e'tibordan chetda qoldirmaslikka yordam beradi. Masalan, turli madaniyatlarda sukutning ma'nosi turlicha bo'lishi mumkin. K. Basso G'arbiy Apachi hindulari madaniyatida notanish odam bilan birinchi uchrashuvda yoki uzoq ayriliqdan keyin qaytgan yaqin kishi bilan uchrashganda uzoq sukut saqlash me'yor ekanini ko'rsatgan. Boshqa madaniyat vakili uchun bu sovuqlik belgisi bo'lib tuyulishi mumkin. Bu hodisani faqat me'yorlar (N) komponentini hisobga olgandagina tushunish mumkin.</w:t>
      </w:r>
    </w:p>
    <w:p>
      <w:pPr>
        <w:keepNext/>
        <w:spacing w:after="120" w:before="240" w:line="360"/>
        <w:jc w:val="center"/>
      </w:pPr>
      <w:r>
        <w:rPr>
          <w:rFonts w:ascii="Times New Roman" w:cs="Times New Roman" w:eastAsia="Times New Roman" w:hAnsi="Times New Roman"/>
          <w:b/>
          <w:bCs/>
          <w:sz w:val="28"/>
          <w:szCs w:val="28"/>
        </w:rPr>
        <w:t xml:space="preserve">5. J. Gumperz va interaksion sotsiolingvistika</w:t>
      </w:r>
    </w:p>
    <w:p>
      <w:pPr>
        <w:spacing w:line="360"/>
        <w:ind w:firstLine="709"/>
        <w:jc w:val="both"/>
      </w:pPr>
      <w:r>
        <w:rPr>
          <w:rFonts w:ascii="Times New Roman" w:cs="Times New Roman" w:eastAsia="Times New Roman" w:hAnsi="Times New Roman"/>
          <w:sz w:val="28"/>
          <w:szCs w:val="28"/>
        </w:rPr>
        <w:t xml:space="preserve">Jon Gumperz (1922–2013) amerikalik tilshunos va antropolog bo'lib, uzoq yillar Kaliforniya universitetida (Berkli) faoliyat yuritgan. U Hymes bilan birga kommunikatsiya etnografiyasiga asos solgan, keyinchalik esa </w:t>
      </w:r>
      <w:r>
        <w:rPr>
          <w:rFonts w:ascii="Times New Roman" w:cs="Times New Roman" w:eastAsia="Times New Roman" w:hAnsi="Times New Roman"/>
          <w:b/>
          <w:bCs/>
          <w:sz w:val="28"/>
          <w:szCs w:val="28"/>
        </w:rPr>
        <w:t xml:space="preserve">interaksion sotsiolingvistika</w:t>
      </w:r>
      <w:r>
        <w:rPr>
          <w:rFonts w:ascii="Times New Roman" w:cs="Times New Roman" w:eastAsia="Times New Roman" w:hAnsi="Times New Roman"/>
          <w:sz w:val="28"/>
          <w:szCs w:val="28"/>
        </w:rPr>
        <w:t xml:space="preserve"> deb nomlangan yo'nalishni yaratgan. Bu yo'nalish muloqot jarayonida, ya'ni suhbatdoshlarning bevosita o'zaro ta'sirida ma'no qanday yaratilishi va talqin qilinishini o'rganadi.</w:t>
      </w:r>
    </w:p>
    <w:p>
      <w:pPr>
        <w:spacing w:line="360"/>
        <w:ind w:firstLine="709"/>
        <w:jc w:val="both"/>
      </w:pPr>
      <w:r>
        <w:rPr>
          <w:rFonts w:ascii="Times New Roman" w:cs="Times New Roman" w:eastAsia="Times New Roman" w:hAnsi="Times New Roman"/>
          <w:sz w:val="28"/>
          <w:szCs w:val="28"/>
        </w:rPr>
        <w:t xml:space="preserve">Gumperz Hindistonning Xalapur qishlog'ida va Norvegiyaning Hemnesberget shaharchasida dala tadqiqotlarini olib borgan. U </w:t>
      </w:r>
      <w:r>
        <w:rPr>
          <w:rFonts w:ascii="Times New Roman" w:cs="Times New Roman" w:eastAsia="Times New Roman" w:hAnsi="Times New Roman"/>
          <w:b/>
          <w:bCs/>
          <w:sz w:val="28"/>
          <w:szCs w:val="28"/>
        </w:rPr>
        <w:t xml:space="preserve">verbal repertuar</w:t>
      </w:r>
      <w:r>
        <w:rPr>
          <w:rFonts w:ascii="Times New Roman" w:cs="Times New Roman" w:eastAsia="Times New Roman" w:hAnsi="Times New Roman"/>
          <w:sz w:val="28"/>
          <w:szCs w:val="28"/>
        </w:rPr>
        <w:t xml:space="preserve"> tushunchasini kiritgan: bu jamoa a'zolari ixtiyoridagi barcha til va til variantlari majmuidir. Norvegiyada J.-P. Blom bilan birga o'tkazgan tadqiqotida esa kod almashinuvining ikki turini ajratgan. </w:t>
      </w:r>
      <w:r>
        <w:rPr>
          <w:rFonts w:ascii="Times New Roman" w:cs="Times New Roman" w:eastAsia="Times New Roman" w:hAnsi="Times New Roman"/>
          <w:b/>
          <w:bCs/>
          <w:sz w:val="28"/>
          <w:szCs w:val="28"/>
        </w:rPr>
        <w:t xml:space="preserve">Vaziyatli kod almashinuvi</w:t>
      </w:r>
      <w:r>
        <w:rPr>
          <w:rFonts w:ascii="Times New Roman" w:cs="Times New Roman" w:eastAsia="Times New Roman" w:hAnsi="Times New Roman"/>
          <w:sz w:val="28"/>
          <w:szCs w:val="28"/>
        </w:rPr>
        <w:t xml:space="preserve"> vaziyat o'zgarganda sodir bo'ladi: masalan, rasmiy ishdan norasmiy suhbatga o'tilganda. </w:t>
      </w:r>
      <w:r>
        <w:rPr>
          <w:rFonts w:ascii="Times New Roman" w:cs="Times New Roman" w:eastAsia="Times New Roman" w:hAnsi="Times New Roman"/>
          <w:b/>
          <w:bCs/>
          <w:sz w:val="28"/>
          <w:szCs w:val="28"/>
        </w:rPr>
        <w:t xml:space="preserve">Metaforik kod almashinuvi</w:t>
      </w:r>
      <w:r>
        <w:rPr>
          <w:rFonts w:ascii="Times New Roman" w:cs="Times New Roman" w:eastAsia="Times New Roman" w:hAnsi="Times New Roman"/>
          <w:sz w:val="28"/>
          <w:szCs w:val="28"/>
        </w:rPr>
        <w:t xml:space="preserve"> esa vaziyat o'zgarmasa ham, so'zlovchi biror ma'no, munosabat yoki ohangni ifodalash uchun boshqa kodga o'tganda sodir bo'ladi.</w:t>
      </w:r>
    </w:p>
    <w:p>
      <w:pPr>
        <w:spacing w:line="360"/>
        <w:ind w:firstLine="709"/>
        <w:jc w:val="both"/>
      </w:pPr>
      <w:r>
        <w:rPr>
          <w:rFonts w:ascii="Times New Roman" w:cs="Times New Roman" w:eastAsia="Times New Roman" w:hAnsi="Times New Roman"/>
          <w:sz w:val="28"/>
          <w:szCs w:val="28"/>
        </w:rPr>
        <w:t xml:space="preserve">Gumperzning asosiy asari "Diskurs strategiyalari" (Discourse Strategies, 1982) hisoblanadi. Unda u sotsiologlar E. Goffman va G. Garfinkel g'oyalariga tayanib, suhbat tahlilini sotsiolingvistika bilan birlashtirgan. Gumperz fikricha, suhbatdoshlar bir-birini tushunish uchun faqat so'zlarning lug'aviy ma'nosiga emas, balki muloqotning ko'plab "yashirin" belgilariga tayanadi va doimo </w:t>
      </w:r>
      <w:r>
        <w:rPr>
          <w:rFonts w:ascii="Times New Roman" w:cs="Times New Roman" w:eastAsia="Times New Roman" w:hAnsi="Times New Roman"/>
          <w:b/>
          <w:bCs/>
          <w:sz w:val="28"/>
          <w:szCs w:val="28"/>
        </w:rPr>
        <w:t xml:space="preserve">xulosa chiqaradi</w:t>
      </w:r>
      <w:r>
        <w:rPr>
          <w:rFonts w:ascii="Times New Roman" w:cs="Times New Roman" w:eastAsia="Times New Roman" w:hAnsi="Times New Roman"/>
          <w:sz w:val="28"/>
          <w:szCs w:val="28"/>
        </w:rPr>
        <w:t xml:space="preserve"> (inference): suhbatdosh nima demoqchi, u qanday niyatda gapiryapti?</w:t>
      </w:r>
    </w:p>
    <w:p>
      <w:pPr>
        <w:keepNext/>
        <w:spacing w:after="120" w:before="240" w:line="360"/>
        <w:jc w:val="center"/>
      </w:pPr>
      <w:r>
        <w:rPr>
          <w:rFonts w:ascii="Times New Roman" w:cs="Times New Roman" w:eastAsia="Times New Roman" w:hAnsi="Times New Roman"/>
          <w:b/>
          <w:bCs/>
          <w:sz w:val="28"/>
          <w:szCs w:val="28"/>
        </w:rPr>
        <w:t xml:space="preserve">6. Kontekstlashtirish belgilari va madaniyatlararo tushunmovchilik</w:t>
      </w:r>
    </w:p>
    <w:p>
      <w:pPr>
        <w:spacing w:line="360"/>
        <w:ind w:firstLine="709"/>
        <w:jc w:val="both"/>
      </w:pPr>
      <w:r>
        <w:rPr>
          <w:rFonts w:ascii="Times New Roman" w:cs="Times New Roman" w:eastAsia="Times New Roman" w:hAnsi="Times New Roman"/>
          <w:sz w:val="28"/>
          <w:szCs w:val="28"/>
        </w:rPr>
        <w:t xml:space="preserve">Gumperz nazariyasining markaziy tushunchasi </w:t>
      </w:r>
      <w:r>
        <w:rPr>
          <w:rFonts w:ascii="Times New Roman" w:cs="Times New Roman" w:eastAsia="Times New Roman" w:hAnsi="Times New Roman"/>
          <w:b/>
          <w:bCs/>
          <w:sz w:val="28"/>
          <w:szCs w:val="28"/>
        </w:rPr>
        <w:t xml:space="preserve">kontekstlashtirish belgilari</w:t>
      </w:r>
      <w:r>
        <w:rPr>
          <w:rFonts w:ascii="Times New Roman" w:cs="Times New Roman" w:eastAsia="Times New Roman" w:hAnsi="Times New Roman"/>
          <w:sz w:val="28"/>
          <w:szCs w:val="28"/>
        </w:rPr>
        <w:t xml:space="preserve">dir (contextualization cues). Bu so'zlovchi aytilayotgan gapni qanday tushunish kerakligini ko'rsatish uchun foydalanadigan til va nutq belgilaridir. Ular tinglovchiga qaysi kontekstni, ya'ni qanday "ramka"ni (hazil, jiddiy iltimos, e'tiroz) nazarda tutish kerakligini bildiradi. Bunday belgilarga quyidagilar kiradi: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prosodik belgilar:</w:t>
      </w:r>
      <w:r>
        <w:rPr>
          <w:rFonts w:ascii="Times New Roman" w:cs="Times New Roman" w:eastAsia="Times New Roman" w:hAnsi="Times New Roman"/>
          <w:sz w:val="28"/>
          <w:szCs w:val="28"/>
        </w:rPr>
        <w:t xml:space="preserve"> intonatsiya, urg'u, ovoz balandligi, nutq sur'ati, pauza;</w:t>
      </w:r>
    </w:p>
    <w:p>
      <w:pPr>
        <w:pStyle w:val="ListParagraph"/>
        <w:numPr>
          <w:ilvl w:val="0"/>
          <w:numId w:val="3"/>
        </w:numPr>
        <w:spacing w:line="360"/>
        <w:jc w:val="both"/>
      </w:pPr>
      <w:r>
        <w:rPr>
          <w:rFonts w:ascii="Times New Roman" w:cs="Times New Roman" w:eastAsia="Times New Roman" w:hAnsi="Times New Roman"/>
          <w:b/>
          <w:bCs/>
          <w:sz w:val="28"/>
          <w:szCs w:val="28"/>
        </w:rPr>
        <w:t xml:space="preserve">kod, sheva yoki uslubni almashtirish;</w:t>
      </w:r>
    </w:p>
    <w:p>
      <w:pPr>
        <w:pStyle w:val="ListParagraph"/>
        <w:numPr>
          <w:ilvl w:val="0"/>
          <w:numId w:val="3"/>
        </w:numPr>
        <w:spacing w:line="360"/>
        <w:jc w:val="both"/>
      </w:pPr>
      <w:r>
        <w:rPr>
          <w:rFonts w:ascii="Times New Roman" w:cs="Times New Roman" w:eastAsia="Times New Roman" w:hAnsi="Times New Roman"/>
          <w:b/>
          <w:bCs/>
          <w:sz w:val="28"/>
          <w:szCs w:val="28"/>
        </w:rPr>
        <w:t xml:space="preserve">leksik tanlov va turg'un iboralar:</w:t>
      </w:r>
      <w:r>
        <w:rPr>
          <w:rFonts w:ascii="Times New Roman" w:cs="Times New Roman" w:eastAsia="Times New Roman" w:hAnsi="Times New Roman"/>
          <w:sz w:val="28"/>
          <w:szCs w:val="28"/>
        </w:rPr>
        <w:t xml:space="preserve"> murojaat shakllari, xushmuomalalik formulalari;</w:t>
      </w:r>
    </w:p>
    <w:p>
      <w:pPr>
        <w:pStyle w:val="ListParagraph"/>
        <w:numPr>
          <w:ilvl w:val="0"/>
          <w:numId w:val="3"/>
        </w:numPr>
        <w:spacing w:line="360"/>
        <w:jc w:val="both"/>
      </w:pPr>
      <w:r>
        <w:rPr>
          <w:rFonts w:ascii="Times New Roman" w:cs="Times New Roman" w:eastAsia="Times New Roman" w:hAnsi="Times New Roman"/>
          <w:b/>
          <w:bCs/>
          <w:sz w:val="28"/>
          <w:szCs w:val="28"/>
        </w:rPr>
        <w:t xml:space="preserve">suhbatni boshlash va tugatish usullari, navbat almashish tartibi.</w:t>
      </w:r>
    </w:p>
    <w:p>
      <w:pPr>
        <w:spacing w:line="360"/>
        <w:ind w:firstLine="709"/>
        <w:jc w:val="both"/>
      </w:pPr>
      <w:r>
        <w:rPr>
          <w:rFonts w:ascii="Times New Roman" w:cs="Times New Roman" w:eastAsia="Times New Roman" w:hAnsi="Times New Roman"/>
          <w:sz w:val="28"/>
          <w:szCs w:val="28"/>
        </w:rPr>
        <w:t xml:space="preserve">Kontekstlashtirish belgilarining muhim xususiyati shundaki, ular odatda ongsiz ravishda qo'llanadi va madaniyatga bog'liq bo'ladi. Bir madaniyatda tabiiy bo'lgan belgi boshqa madaniyat vakili tomonidan butunlay boshqacha talqin qilinishi mumkin. Natijada suhbatdoshlar bir tilda gapirsa ham, bir-birini noto'g'ri tushunadi va buning sababini anglamaydi: ular tilni emas, balki suhbatdoshning xarakterini yoki niyatini ayblaydi.</w:t>
      </w:r>
    </w:p>
    <w:p>
      <w:pPr>
        <w:spacing w:line="360"/>
        <w:ind w:firstLine="709"/>
        <w:jc w:val="both"/>
      </w:pPr>
      <w:r>
        <w:rPr>
          <w:rFonts w:ascii="Times New Roman" w:cs="Times New Roman" w:eastAsia="Times New Roman" w:hAnsi="Times New Roman"/>
          <w:sz w:val="28"/>
          <w:szCs w:val="28"/>
        </w:rPr>
        <w:t xml:space="preserve">Gumperzning Londondagi Xitrou aeroporti oshxonasida o'tkazgan tadqiqoti buning klassik namunasidir. U yerda ishlaydigan Hindiston va Pokistondan kelgan ayollar mijozlarga go'shtli sous (gravy) taklif qilganda, "Gravy" so'zini pasayuvchi intonatsiya bilan aytgan. Ingliz mijozlari buni qo'pol, taklif emas, balki "Mana, sous" degan beparvo xabar sifatida qabul qilgan. Ingliz tilida taklif ko'tariluvchi intonatsiya bilan ("Gravy?") aytilishi kutiladi. Ayollarning o'z tillarida esa pasayuvchi intonatsiya odatiy va xushmuomala taklif shakli edi. Gumperz ular bilan ishlab, muammoning sababi xarakterda emas, balki kontekstlashtirish belgilaridagi farqda ekanini tushuntirgan va vaziyat yaxshilangan.</w:t>
      </w:r>
    </w:p>
    <w:p>
      <w:pPr>
        <w:spacing w:line="360"/>
        <w:ind w:firstLine="709"/>
        <w:jc w:val="both"/>
      </w:pPr>
      <w:r>
        <w:rPr>
          <w:rFonts w:ascii="Times New Roman" w:cs="Times New Roman" w:eastAsia="Times New Roman" w:hAnsi="Times New Roman"/>
          <w:sz w:val="28"/>
          <w:szCs w:val="28"/>
        </w:rPr>
        <w:t xml:space="preserve">Bunday tadqiqotlar amaliy ahamiyatga ham ega. Gumperz g'oyalari asosida Britaniyada madaniyatlararo muloqot bo'yicha o'quv dasturlari va "Crosstalk" nomli teledastur (1979) tayyorlangan. Bugungi kunda interaksion sotsiolingvistika usullari ish joyidagi muloqot, tibbiyot, sud va ta'lim sohalarida keng qo'llanadi. Gumperzning shogirdi D. Tannen esa bu yondashuvni suhbat uslublari va gender masalalariga tatbiq etgan.</w:t>
      </w:r>
    </w:p>
    <w:p>
      <w:pPr>
        <w:keepNext/>
        <w:spacing w:after="120" w:before="240" w:line="360"/>
        <w:jc w:val="center"/>
      </w:pPr>
      <w:r>
        <w:rPr>
          <w:rFonts w:ascii="Times New Roman" w:cs="Times New Roman" w:eastAsia="Times New Roman" w:hAnsi="Times New Roman"/>
          <w:b/>
          <w:bCs/>
          <w:sz w:val="28"/>
          <w:szCs w:val="28"/>
        </w:rPr>
        <w:t xml:space="preserve">7. Nazariyalarni o'zbek nutq madaniyati materialida qo'llash</w:t>
      </w:r>
    </w:p>
    <w:p>
      <w:pPr>
        <w:spacing w:line="360"/>
        <w:ind w:firstLine="709"/>
        <w:jc w:val="both"/>
      </w:pPr>
      <w:r>
        <w:rPr>
          <w:rFonts w:ascii="Times New Roman" w:cs="Times New Roman" w:eastAsia="Times New Roman" w:hAnsi="Times New Roman"/>
          <w:sz w:val="28"/>
          <w:szCs w:val="28"/>
        </w:rPr>
        <w:t xml:space="preserve">Kommunikatsiya etnografiyasi va interaksion sotsiolingvistika o'zbek nutq madaniyatini o'rganish uchun boy imkoniyatlar yaratadi.</w:t>
      </w:r>
    </w:p>
    <w:p>
      <w:pPr>
        <w:spacing w:line="360"/>
        <w:ind w:firstLine="709"/>
        <w:jc w:val="both"/>
      </w:pPr>
      <w:r>
        <w:rPr>
          <w:rFonts w:ascii="Times New Roman" w:cs="Times New Roman" w:eastAsia="Times New Roman" w:hAnsi="Times New Roman"/>
          <w:b/>
          <w:bCs/>
          <w:sz w:val="28"/>
          <w:szCs w:val="28"/>
        </w:rPr>
        <w:t xml:space="preserve">SPEAKING modeli</w:t>
      </w:r>
      <w:r>
        <w:rPr>
          <w:rFonts w:ascii="Times New Roman" w:cs="Times New Roman" w:eastAsia="Times New Roman" w:hAnsi="Times New Roman"/>
          <w:sz w:val="28"/>
          <w:szCs w:val="28"/>
        </w:rPr>
        <w:t xml:space="preserve"> asosida o'zbek madaniyatiga xos nutqiy hodisalarni tavsiflash mumkin: to'ydagi tabrik va duolar, fotiha marosimi, sovchilik suhbati, gap va gashtaklar, bozordagi savdolashish, mahalla yig'ini, ta'ziyadagi nutq odatlari. Har bir hodisada ishtirokchilar kimligi, gapirish navbati qanday belgilanishi (masalan, yoshi kattaga birinchi so'z berilishi), qaysi janrlar qo'llanishi va qanday me'yorlar amal qilishi aniqlanadi.</w:t>
      </w:r>
    </w:p>
    <w:p>
      <w:pPr>
        <w:spacing w:line="360"/>
        <w:ind w:firstLine="709"/>
        <w:jc w:val="both"/>
      </w:pPr>
      <w:r>
        <w:rPr>
          <w:rFonts w:ascii="Times New Roman" w:cs="Times New Roman" w:eastAsia="Times New Roman" w:hAnsi="Times New Roman"/>
          <w:b/>
          <w:bCs/>
          <w:sz w:val="28"/>
          <w:szCs w:val="28"/>
        </w:rPr>
        <w:t xml:space="preserve">Kommunikativ kompetensiya</w:t>
      </w:r>
      <w:r>
        <w:rPr>
          <w:rFonts w:ascii="Times New Roman" w:cs="Times New Roman" w:eastAsia="Times New Roman" w:hAnsi="Times New Roman"/>
          <w:sz w:val="28"/>
          <w:szCs w:val="28"/>
        </w:rPr>
        <w:t xml:space="preserve"> tushunchasi o'zbek tilini ona tili yoki chet tili sifatida o'qitishda muhim. O'quvchi faqat grammatikani emas, balki </w:t>
      </w:r>
      <w:r>
        <w:rPr>
          <w:rFonts w:ascii="Times New Roman" w:cs="Times New Roman" w:eastAsia="Times New Roman" w:hAnsi="Times New Roman"/>
          <w:i/>
          <w:iCs/>
          <w:sz w:val="28"/>
          <w:szCs w:val="28"/>
        </w:rPr>
        <w:t xml:space="preserve">siz</w:t>
      </w:r>
      <w:r>
        <w:rPr>
          <w:rFonts w:ascii="Times New Roman" w:cs="Times New Roman" w:eastAsia="Times New Roman" w:hAnsi="Times New Roman"/>
          <w:sz w:val="28"/>
          <w:szCs w:val="28"/>
        </w:rPr>
        <w:t xml:space="preserve"> va </w:t>
      </w:r>
      <w:r>
        <w:rPr>
          <w:rFonts w:ascii="Times New Roman" w:cs="Times New Roman" w:eastAsia="Times New Roman" w:hAnsi="Times New Roman"/>
          <w:i/>
          <w:iCs/>
          <w:sz w:val="28"/>
          <w:szCs w:val="28"/>
        </w:rPr>
        <w:t xml:space="preserve">sen</w:t>
      </w:r>
      <w:r>
        <w:rPr>
          <w:rFonts w:ascii="Times New Roman" w:cs="Times New Roman" w:eastAsia="Times New Roman" w:hAnsi="Times New Roman"/>
          <w:sz w:val="28"/>
          <w:szCs w:val="28"/>
        </w:rPr>
        <w:t xml:space="preserve"> olmoshlarini, </w:t>
      </w:r>
      <w:r>
        <w:rPr>
          <w:rFonts w:ascii="Times New Roman" w:cs="Times New Roman" w:eastAsia="Times New Roman" w:hAnsi="Times New Roman"/>
          <w:i/>
          <w:iCs/>
          <w:sz w:val="28"/>
          <w:szCs w:val="28"/>
        </w:rPr>
        <w:t xml:space="preserve">aka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opa</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ustoz</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domla</w:t>
      </w:r>
      <w:r>
        <w:rPr>
          <w:rFonts w:ascii="Times New Roman" w:cs="Times New Roman" w:eastAsia="Times New Roman" w:hAnsi="Times New Roman"/>
          <w:sz w:val="28"/>
          <w:szCs w:val="28"/>
        </w:rPr>
        <w:t xml:space="preserve"> kabi murojaat shakllarini, salomlashish va xayrlashish odatlarini ham vaziyatga mos qo'llashni o'rganishi kerak.</w:t>
      </w:r>
    </w:p>
    <w:p>
      <w:pPr>
        <w:spacing w:line="360"/>
        <w:ind w:firstLine="709"/>
        <w:jc w:val="both"/>
      </w:pPr>
      <w:r>
        <w:rPr>
          <w:rFonts w:ascii="Times New Roman" w:cs="Times New Roman" w:eastAsia="Times New Roman" w:hAnsi="Times New Roman"/>
          <w:b/>
          <w:bCs/>
          <w:sz w:val="28"/>
          <w:szCs w:val="28"/>
        </w:rPr>
        <w:t xml:space="preserve">Kontekstlashtirish belgilari</w:t>
      </w:r>
      <w:r>
        <w:rPr>
          <w:rFonts w:ascii="Times New Roman" w:cs="Times New Roman" w:eastAsia="Times New Roman" w:hAnsi="Times New Roman"/>
          <w:sz w:val="28"/>
          <w:szCs w:val="28"/>
        </w:rPr>
        <w:t xml:space="preserve"> nuqtai nazaridan o'zbek nutqidagi intonatsiya, </w:t>
      </w:r>
      <w:r>
        <w:rPr>
          <w:rFonts w:ascii="Times New Roman" w:cs="Times New Roman" w:eastAsia="Times New Roman" w:hAnsi="Times New Roman"/>
          <w:i/>
          <w:iCs/>
          <w:sz w:val="28"/>
          <w:szCs w:val="28"/>
        </w:rPr>
        <w:t xml:space="preserve">labbay</w:t>
      </w:r>
      <w:r>
        <w:rPr>
          <w:rFonts w:ascii="Times New Roman" w:cs="Times New Roman" w:eastAsia="Times New Roman" w:hAnsi="Times New Roman"/>
          <w:sz w:val="28"/>
          <w:szCs w:val="28"/>
        </w:rPr>
        <w:t xml:space="preserve"> kabi javob shakllari, o'zbek va rus tillari o'rtasidagi kod almashinuvining ma'nosi, xushmuomalalik formulalarini o'rganish mumkin. Masalan, suhbat davomida rus tiliga o'tish rasmiylik, masofa yoki aksincha yaqinlikni bildirishi mumkin. Bu metaforik kod almashinuvining namunasidir. Shuningdek, o'zbek va xorijiy suhbatdoshlar o'rtasidagi tushunmovchiliklarni tahlil qilish madaniyatlararo muloqot uchun amaliy tavsiyalar ishlab chiqishga yordam beradi.</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Kommunikatsiya etnografiyasi va interaksion sotsiolingvistika tilni jonli muloqot jarayonida, madaniy va ijtimoiy kontekstda o'rganishga asoslanadi. D. Hymes kommunikativ kompetensiya tushunchasini kiritib, til bilish faqat grammatika bilan cheklanmasligini ko'rsatdi. Uning SPEAKING modeli esa nutqiy hodisalarni tizimli tavsiflash vositasiga aylandi. J. Gumperz muloqotda ma'no qanday yaratilishini o'rganib, kontekstlashtirish belgilari tushunchasini kiritdi va madaniyatlararo tushunmovchiliklarning yashirin sabablarini ochib berdi. Bu yondashuvlar zamonaviy pragmatika, diskurs tahlili, til o'qitish metodikasi va madaniyatlararo muloqot nazariyasiga katta ta'sir ko'rsatdi.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Kommunikatsiya etnografiyasi qanday ehtiyoj asosida paydo bo'lgan? Uning asosiy usuli nima?</w:t>
      </w:r>
    </w:p>
    <w:p>
      <w:pPr>
        <w:pStyle w:val="ListParagraph"/>
        <w:numPr>
          <w:ilvl w:val="0"/>
          <w:numId w:val="4"/>
        </w:numPr>
        <w:spacing w:line="360"/>
        <w:jc w:val="both"/>
      </w:pPr>
      <w:r>
        <w:rPr>
          <w:rFonts w:ascii="Times New Roman" w:cs="Times New Roman" w:eastAsia="Times New Roman" w:hAnsi="Times New Roman"/>
          <w:sz w:val="28"/>
          <w:szCs w:val="28"/>
        </w:rPr>
        <w:t xml:space="preserve">D. Hymes kommunikativ kompetensiya tushunchasini qaysi qarashga javob sifatida kiritgan?</w:t>
      </w:r>
    </w:p>
    <w:p>
      <w:pPr>
        <w:pStyle w:val="ListParagraph"/>
        <w:numPr>
          <w:ilvl w:val="0"/>
          <w:numId w:val="4"/>
        </w:numPr>
        <w:spacing w:line="360"/>
        <w:jc w:val="both"/>
      </w:pPr>
      <w:r>
        <w:rPr>
          <w:rFonts w:ascii="Times New Roman" w:cs="Times New Roman" w:eastAsia="Times New Roman" w:hAnsi="Times New Roman"/>
          <w:sz w:val="28"/>
          <w:szCs w:val="28"/>
        </w:rPr>
        <w:t xml:space="preserve">Kommunikativ kompetensiyaning to'rt jihatini misollar bilan izohlang.</w:t>
      </w:r>
    </w:p>
    <w:p>
      <w:pPr>
        <w:pStyle w:val="ListParagraph"/>
        <w:numPr>
          <w:ilvl w:val="0"/>
          <w:numId w:val="4"/>
        </w:numPr>
        <w:spacing w:line="360"/>
        <w:jc w:val="both"/>
      </w:pPr>
      <w:r>
        <w:rPr>
          <w:rFonts w:ascii="Times New Roman" w:cs="Times New Roman" w:eastAsia="Times New Roman" w:hAnsi="Times New Roman"/>
          <w:sz w:val="28"/>
          <w:szCs w:val="28"/>
        </w:rPr>
        <w:t xml:space="preserve">Nutqiy vaziyat, nutqiy hodisa va nutqiy aktni farqlang. O'zbek madaniyatidan misol keltiring.</w:t>
      </w:r>
    </w:p>
    <w:p>
      <w:pPr>
        <w:pStyle w:val="ListParagraph"/>
        <w:numPr>
          <w:ilvl w:val="0"/>
          <w:numId w:val="4"/>
        </w:numPr>
        <w:spacing w:line="360"/>
        <w:jc w:val="both"/>
      </w:pPr>
      <w:r>
        <w:rPr>
          <w:rFonts w:ascii="Times New Roman" w:cs="Times New Roman" w:eastAsia="Times New Roman" w:hAnsi="Times New Roman"/>
          <w:sz w:val="28"/>
          <w:szCs w:val="28"/>
        </w:rPr>
        <w:t xml:space="preserve">SPEAKING modelining har bir tarkibiy qismini tushuntiring.</w:t>
      </w:r>
    </w:p>
    <w:p>
      <w:pPr>
        <w:pStyle w:val="ListParagraph"/>
        <w:numPr>
          <w:ilvl w:val="0"/>
          <w:numId w:val="4"/>
        </w:numPr>
        <w:spacing w:line="360"/>
        <w:jc w:val="both"/>
      </w:pPr>
      <w:r>
        <w:rPr>
          <w:rFonts w:ascii="Times New Roman" w:cs="Times New Roman" w:eastAsia="Times New Roman" w:hAnsi="Times New Roman"/>
          <w:sz w:val="28"/>
          <w:szCs w:val="28"/>
        </w:rPr>
        <w:t xml:space="preserve">SPEAKING modeli asosida o'zbek nutqiy hodisalaridan birini (masalan, sovchilik suhbatini) tahlil qiling.</w:t>
      </w:r>
    </w:p>
    <w:p>
      <w:pPr>
        <w:pStyle w:val="ListParagraph"/>
        <w:numPr>
          <w:ilvl w:val="0"/>
          <w:numId w:val="4"/>
        </w:numPr>
        <w:spacing w:line="360"/>
        <w:jc w:val="both"/>
      </w:pPr>
      <w:r>
        <w:rPr>
          <w:rFonts w:ascii="Times New Roman" w:cs="Times New Roman" w:eastAsia="Times New Roman" w:hAnsi="Times New Roman"/>
          <w:sz w:val="28"/>
          <w:szCs w:val="28"/>
        </w:rPr>
        <w:t xml:space="preserve">Interaksion sotsiolingvistika nimani o'rganadi? Unga qaysi olimlarning g'oyalari ta'sir ko'rsatgan?</w:t>
      </w:r>
    </w:p>
    <w:p>
      <w:pPr>
        <w:pStyle w:val="ListParagraph"/>
        <w:numPr>
          <w:ilvl w:val="0"/>
          <w:numId w:val="4"/>
        </w:numPr>
        <w:spacing w:line="360"/>
        <w:jc w:val="both"/>
      </w:pPr>
      <w:r>
        <w:rPr>
          <w:rFonts w:ascii="Times New Roman" w:cs="Times New Roman" w:eastAsia="Times New Roman" w:hAnsi="Times New Roman"/>
          <w:sz w:val="28"/>
          <w:szCs w:val="28"/>
        </w:rPr>
        <w:t xml:space="preserve">Vaziyatli va metaforik kod almashinuvini farqlang.</w:t>
      </w:r>
    </w:p>
    <w:p>
      <w:pPr>
        <w:pStyle w:val="ListParagraph"/>
        <w:numPr>
          <w:ilvl w:val="0"/>
          <w:numId w:val="4"/>
        </w:numPr>
        <w:spacing w:line="360"/>
        <w:jc w:val="both"/>
      </w:pPr>
      <w:r>
        <w:rPr>
          <w:rFonts w:ascii="Times New Roman" w:cs="Times New Roman" w:eastAsia="Times New Roman" w:hAnsi="Times New Roman"/>
          <w:sz w:val="28"/>
          <w:szCs w:val="28"/>
        </w:rPr>
        <w:t xml:space="preserve">Kontekstlashtirish belgilari nima? Ularning turlarini ayting.</w:t>
      </w:r>
    </w:p>
    <w:p>
      <w:pPr>
        <w:pStyle w:val="ListParagraph"/>
        <w:numPr>
          <w:ilvl w:val="0"/>
          <w:numId w:val="4"/>
        </w:numPr>
        <w:spacing w:line="360"/>
        <w:jc w:val="both"/>
      </w:pPr>
      <w:r>
        <w:rPr>
          <w:rFonts w:ascii="Times New Roman" w:cs="Times New Roman" w:eastAsia="Times New Roman" w:hAnsi="Times New Roman"/>
          <w:sz w:val="28"/>
          <w:szCs w:val="28"/>
        </w:rPr>
        <w:t xml:space="preserve">Xitrou aeroporti misolida madaniyatlararo tushunmovchilikning sababini tushuntiring.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Hymes D. The Ethnography of Speaking // Gladwin T., Sturtevant W. (eds.) </w:t>
      </w:r>
      <w:r>
        <w:rPr>
          <w:rFonts w:ascii="Times New Roman" w:cs="Times New Roman" w:eastAsia="Times New Roman" w:hAnsi="Times New Roman"/>
          <w:i/>
          <w:iCs/>
          <w:sz w:val="28"/>
          <w:szCs w:val="28"/>
        </w:rPr>
        <w:t xml:space="preserve">Anthropology and Human Behavior.</w:t>
      </w:r>
      <w:r>
        <w:rPr>
          <w:rFonts w:ascii="Times New Roman" w:cs="Times New Roman" w:eastAsia="Times New Roman" w:hAnsi="Times New Roman"/>
          <w:sz w:val="28"/>
          <w:szCs w:val="28"/>
        </w:rPr>
        <w:t xml:space="preserve"> Washington: Anthropological Society of Washington, 1962.</w:t>
      </w:r>
    </w:p>
    <w:p>
      <w:pPr>
        <w:pStyle w:val="ListParagraph"/>
        <w:numPr>
          <w:ilvl w:val="0"/>
          <w:numId w:val="5"/>
        </w:numPr>
        <w:spacing w:line="360"/>
        <w:jc w:val="both"/>
      </w:pPr>
      <w:r>
        <w:rPr>
          <w:rFonts w:ascii="Times New Roman" w:cs="Times New Roman" w:eastAsia="Times New Roman" w:hAnsi="Times New Roman"/>
          <w:sz w:val="28"/>
          <w:szCs w:val="28"/>
        </w:rPr>
        <w:t xml:space="preserve">Hymes D. On Communicative Competence // Pride J.B., Holmes J. (eds.) </w:t>
      </w:r>
      <w:r>
        <w:rPr>
          <w:rFonts w:ascii="Times New Roman" w:cs="Times New Roman" w:eastAsia="Times New Roman" w:hAnsi="Times New Roman"/>
          <w:i/>
          <w:iCs/>
          <w:sz w:val="28"/>
          <w:szCs w:val="28"/>
        </w:rPr>
        <w:t xml:space="preserve">Sociolinguistics.</w:t>
      </w:r>
      <w:r>
        <w:rPr>
          <w:rFonts w:ascii="Times New Roman" w:cs="Times New Roman" w:eastAsia="Times New Roman" w:hAnsi="Times New Roman"/>
          <w:sz w:val="28"/>
          <w:szCs w:val="28"/>
        </w:rPr>
        <w:t xml:space="preserve"> Harmondsworth: Penguin, 1972.</w:t>
      </w:r>
    </w:p>
    <w:p>
      <w:pPr>
        <w:pStyle w:val="ListParagraph"/>
        <w:numPr>
          <w:ilvl w:val="0"/>
          <w:numId w:val="5"/>
        </w:numPr>
        <w:spacing w:line="360"/>
        <w:jc w:val="both"/>
      </w:pPr>
      <w:r>
        <w:rPr>
          <w:rFonts w:ascii="Times New Roman" w:cs="Times New Roman" w:eastAsia="Times New Roman" w:hAnsi="Times New Roman"/>
          <w:sz w:val="28"/>
          <w:szCs w:val="28"/>
        </w:rPr>
        <w:t xml:space="preserve">Hymes D. </w:t>
      </w:r>
      <w:r>
        <w:rPr>
          <w:rFonts w:ascii="Times New Roman" w:cs="Times New Roman" w:eastAsia="Times New Roman" w:hAnsi="Times New Roman"/>
          <w:i/>
          <w:iCs/>
          <w:sz w:val="28"/>
          <w:szCs w:val="28"/>
        </w:rPr>
        <w:t xml:space="preserve">Foundations in Sociolinguistics: An Ethnographic Approach.</w:t>
      </w:r>
      <w:r>
        <w:rPr>
          <w:rFonts w:ascii="Times New Roman" w:cs="Times New Roman" w:eastAsia="Times New Roman" w:hAnsi="Times New Roman"/>
          <w:sz w:val="28"/>
          <w:szCs w:val="28"/>
        </w:rPr>
        <w:t xml:space="preserve"> Philadelphia: University of Pennsylvania Press, 1974.</w:t>
      </w:r>
    </w:p>
    <w:p>
      <w:pPr>
        <w:pStyle w:val="ListParagraph"/>
        <w:numPr>
          <w:ilvl w:val="0"/>
          <w:numId w:val="5"/>
        </w:numPr>
        <w:spacing w:line="360"/>
        <w:jc w:val="both"/>
      </w:pPr>
      <w:r>
        <w:rPr>
          <w:rFonts w:ascii="Times New Roman" w:cs="Times New Roman" w:eastAsia="Times New Roman" w:hAnsi="Times New Roman"/>
          <w:sz w:val="28"/>
          <w:szCs w:val="28"/>
        </w:rPr>
        <w:t xml:space="preserve">Gumperz J., Hymes D. (eds.) </w:t>
      </w:r>
      <w:r>
        <w:rPr>
          <w:rFonts w:ascii="Times New Roman" w:cs="Times New Roman" w:eastAsia="Times New Roman" w:hAnsi="Times New Roman"/>
          <w:i/>
          <w:iCs/>
          <w:sz w:val="28"/>
          <w:szCs w:val="28"/>
        </w:rPr>
        <w:t xml:space="preserve">Directions in Sociolinguistics: The Ethnography of Communication.</w:t>
      </w:r>
      <w:r>
        <w:rPr>
          <w:rFonts w:ascii="Times New Roman" w:cs="Times New Roman" w:eastAsia="Times New Roman" w:hAnsi="Times New Roman"/>
          <w:sz w:val="28"/>
          <w:szCs w:val="28"/>
        </w:rPr>
        <w:t xml:space="preserve"> New York: Holt, Rinehart and Winston, 1972.</w:t>
      </w:r>
    </w:p>
    <w:p>
      <w:pPr>
        <w:pStyle w:val="ListParagraph"/>
        <w:numPr>
          <w:ilvl w:val="0"/>
          <w:numId w:val="5"/>
        </w:numPr>
        <w:spacing w:line="360"/>
        <w:jc w:val="both"/>
      </w:pPr>
      <w:r>
        <w:rPr>
          <w:rFonts w:ascii="Times New Roman" w:cs="Times New Roman" w:eastAsia="Times New Roman" w:hAnsi="Times New Roman"/>
          <w:sz w:val="28"/>
          <w:szCs w:val="28"/>
        </w:rPr>
        <w:t xml:space="preserve">Blom J.-P., Gumperz J. Social Meaning in Linguistic Structure: Code-Switching in Norway // Gumperz J., Hymes D. (eds.) </w:t>
      </w:r>
      <w:r>
        <w:rPr>
          <w:rFonts w:ascii="Times New Roman" w:cs="Times New Roman" w:eastAsia="Times New Roman" w:hAnsi="Times New Roman"/>
          <w:i/>
          <w:iCs/>
          <w:sz w:val="28"/>
          <w:szCs w:val="28"/>
        </w:rPr>
        <w:t xml:space="preserve">Directions in Sociolinguistics.</w:t>
      </w:r>
      <w:r>
        <w:rPr>
          <w:rFonts w:ascii="Times New Roman" w:cs="Times New Roman" w:eastAsia="Times New Roman" w:hAnsi="Times New Roman"/>
          <w:sz w:val="28"/>
          <w:szCs w:val="28"/>
        </w:rPr>
        <w:t xml:space="preserve"> New York, 1972.</w:t>
      </w:r>
    </w:p>
    <w:p>
      <w:pPr>
        <w:pStyle w:val="ListParagraph"/>
        <w:numPr>
          <w:ilvl w:val="0"/>
          <w:numId w:val="5"/>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5"/>
        </w:numPr>
        <w:spacing w:line="360"/>
        <w:jc w:val="both"/>
      </w:pPr>
      <w:r>
        <w:rPr>
          <w:rFonts w:ascii="Times New Roman" w:cs="Times New Roman" w:eastAsia="Times New Roman" w:hAnsi="Times New Roman"/>
          <w:sz w:val="28"/>
          <w:szCs w:val="28"/>
        </w:rPr>
        <w:t xml:space="preserve">Basso K. "To Give Up on Words": Silence in Western Apache Culture // </w:t>
      </w:r>
      <w:r>
        <w:rPr>
          <w:rFonts w:ascii="Times New Roman" w:cs="Times New Roman" w:eastAsia="Times New Roman" w:hAnsi="Times New Roman"/>
          <w:i/>
          <w:iCs/>
          <w:sz w:val="28"/>
          <w:szCs w:val="28"/>
        </w:rPr>
        <w:t xml:space="preserve">Southwestern Journal of Anthropology.</w:t>
      </w:r>
      <w:r>
        <w:rPr>
          <w:rFonts w:ascii="Times New Roman" w:cs="Times New Roman" w:eastAsia="Times New Roman" w:hAnsi="Times New Roman"/>
          <w:sz w:val="28"/>
          <w:szCs w:val="28"/>
        </w:rPr>
        <w:t xml:space="preserve"> 1970. Vol. 26.</w:t>
      </w:r>
    </w:p>
    <w:p>
      <w:pPr>
        <w:pStyle w:val="ListParagraph"/>
        <w:numPr>
          <w:ilvl w:val="0"/>
          <w:numId w:val="5"/>
        </w:numPr>
        <w:spacing w:line="360"/>
        <w:jc w:val="both"/>
      </w:pPr>
      <w:r>
        <w:rPr>
          <w:rFonts w:ascii="Times New Roman" w:cs="Times New Roman" w:eastAsia="Times New Roman" w:hAnsi="Times New Roman"/>
          <w:sz w:val="28"/>
          <w:szCs w:val="28"/>
        </w:rPr>
        <w:t xml:space="preserve">Saville-Troike M. </w:t>
      </w:r>
      <w:r>
        <w:rPr>
          <w:rFonts w:ascii="Times New Roman" w:cs="Times New Roman" w:eastAsia="Times New Roman" w:hAnsi="Times New Roman"/>
          <w:i/>
          <w:iCs/>
          <w:sz w:val="28"/>
          <w:szCs w:val="28"/>
        </w:rPr>
        <w:t xml:space="preserve">The Ethnography of Communication: An Introduction.</w:t>
      </w:r>
      <w:r>
        <w:rPr>
          <w:rFonts w:ascii="Times New Roman" w:cs="Times New Roman" w:eastAsia="Times New Roman" w:hAnsi="Times New Roman"/>
          <w:sz w:val="28"/>
          <w:szCs w:val="28"/>
        </w:rPr>
        <w:t xml:space="preserve"> 3rd ed. Oxford: Blackwell, 2003.</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2026-09-24T10:52:19.378Z</dcterms:created>
  <dcterms:modified xsi:type="dcterms:W3CDTF">2026-09-24T10:52:19.389Z</dcterms:modified>
</cp:coreProperties>
</file>

<file path=docProps/custom.xml><?xml version="1.0" encoding="utf-8"?>
<Properties xmlns="http://schemas.openxmlformats.org/officeDocument/2006/custom-properties" xmlns:vt="http://schemas.openxmlformats.org/officeDocument/2006/docPropsVTypes"/>
</file>